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AD2B5" w14:textId="71B0BDDB" w:rsidR="00B930B0" w:rsidRDefault="00B930B0" w:rsidP="00B930B0">
      <w:pPr>
        <w:pStyle w:val="Title"/>
      </w:pPr>
      <w:r>
        <w:t>UPAC Assessment Report</w:t>
      </w:r>
    </w:p>
    <w:p w14:paraId="2470700C" w14:textId="23E67F1C" w:rsidR="00B930B0" w:rsidRPr="00877383" w:rsidRDefault="00B930B0" w:rsidP="00877383">
      <w:pPr>
        <w:pStyle w:val="Subtitle"/>
        <w:rPr>
          <w:rStyle w:val="SubtleEmphasis"/>
          <w:i/>
          <w:iCs/>
          <w:color w:val="4472C4" w:themeColor="accent1"/>
        </w:rPr>
      </w:pPr>
      <w:r w:rsidRPr="00877383">
        <w:rPr>
          <w:rStyle w:val="SubtleEmphasis"/>
          <w:i/>
          <w:iCs/>
          <w:color w:val="4472C4" w:themeColor="accent1"/>
        </w:rPr>
        <w:t>Department of Gemology</w:t>
      </w:r>
    </w:p>
    <w:p w14:paraId="5CA70A85" w14:textId="46C008F6" w:rsidR="00B930B0" w:rsidRPr="00877383" w:rsidRDefault="00B930B0" w:rsidP="00877383">
      <w:pPr>
        <w:pStyle w:val="Subtitle"/>
        <w:rPr>
          <w:rStyle w:val="SubtleEmphasis"/>
          <w:i/>
          <w:iCs/>
          <w:color w:val="4472C4" w:themeColor="accent1"/>
        </w:rPr>
      </w:pPr>
      <w:r w:rsidRPr="00877383">
        <w:t>BS Gemology</w:t>
      </w:r>
    </w:p>
    <w:p w14:paraId="3E0C02B5" w14:textId="1A2A3DEC" w:rsidR="00877383" w:rsidRDefault="00771049" w:rsidP="00877383">
      <w:pPr>
        <w:pStyle w:val="Subtitle"/>
      </w:pPr>
      <w:r>
        <w:t xml:space="preserve">Submitted </w:t>
      </w:r>
      <w:r w:rsidR="00681ED5">
        <w:t>February</w:t>
      </w:r>
      <w:r>
        <w:t xml:space="preserve"> </w:t>
      </w:r>
      <w:r w:rsidR="00B930B0" w:rsidRPr="00877383">
        <w:t>2021</w:t>
      </w:r>
    </w:p>
    <w:p w14:paraId="7A1C44AC" w14:textId="03C074FF" w:rsidR="00877383" w:rsidRDefault="00877383" w:rsidP="00877383">
      <w:pPr>
        <w:pStyle w:val="Heading1"/>
      </w:pPr>
      <w:r>
        <w:t>Program Student Learning Outcomes</w:t>
      </w:r>
    </w:p>
    <w:p w14:paraId="743E6A7D" w14:textId="7992B9A6" w:rsidR="00877383" w:rsidRDefault="00877383" w:rsidP="00877383">
      <w:pPr>
        <w:pStyle w:val="ListParagraph"/>
        <w:numPr>
          <w:ilvl w:val="0"/>
          <w:numId w:val="13"/>
        </w:numPr>
      </w:pPr>
      <w:r>
        <w:t>Students will be able to identify a gemstone</w:t>
      </w:r>
    </w:p>
    <w:p w14:paraId="09550952" w14:textId="72C78744" w:rsidR="00877383" w:rsidRDefault="00877383" w:rsidP="00877383">
      <w:pPr>
        <w:pStyle w:val="ListParagraph"/>
        <w:numPr>
          <w:ilvl w:val="0"/>
          <w:numId w:val="13"/>
        </w:numPr>
      </w:pPr>
      <w:r>
        <w:t>Students will be able to grade a gem</w:t>
      </w:r>
    </w:p>
    <w:p w14:paraId="4DC93734" w14:textId="1D15319C" w:rsidR="00BA01BD" w:rsidRDefault="00BA01BD" w:rsidP="00BA01BD">
      <w:pPr>
        <w:pStyle w:val="ListParagraph"/>
        <w:numPr>
          <w:ilvl w:val="0"/>
          <w:numId w:val="13"/>
        </w:numPr>
      </w:pPr>
      <w:r>
        <w:t>Students will be able to demonstrate knowledge of national and international laws regulating the mining and sale of gems</w:t>
      </w:r>
    </w:p>
    <w:p w14:paraId="5869E22A" w14:textId="18FA50C3" w:rsidR="00BA01BD" w:rsidRDefault="00BA01BD" w:rsidP="00BA01BD">
      <w:pPr>
        <w:pStyle w:val="Heading1"/>
      </w:pPr>
      <w:r>
        <w:t>Curriculum Map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A01BD" w14:paraId="2B8C6D14" w14:textId="77777777" w:rsidTr="00BA0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7" w:type="dxa"/>
          </w:tcPr>
          <w:p w14:paraId="34A9EFE7" w14:textId="2A9BEC92" w:rsidR="00BA01BD" w:rsidRDefault="00BA01BD" w:rsidP="00BA01BD">
            <w:r>
              <w:t>Course</w:t>
            </w:r>
          </w:p>
        </w:tc>
        <w:tc>
          <w:tcPr>
            <w:tcW w:w="2337" w:type="dxa"/>
          </w:tcPr>
          <w:p w14:paraId="7665376C" w14:textId="605184ED" w:rsidR="00BA01BD" w:rsidRDefault="00BA01BD" w:rsidP="00BA0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SLO 1</w:t>
            </w:r>
          </w:p>
        </w:tc>
        <w:tc>
          <w:tcPr>
            <w:tcW w:w="2338" w:type="dxa"/>
          </w:tcPr>
          <w:p w14:paraId="240C2784" w14:textId="159F7ED6" w:rsidR="00BA01BD" w:rsidRDefault="00BA01BD" w:rsidP="00BA0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SLO 2</w:t>
            </w:r>
          </w:p>
        </w:tc>
        <w:tc>
          <w:tcPr>
            <w:tcW w:w="2338" w:type="dxa"/>
          </w:tcPr>
          <w:p w14:paraId="0154C168" w14:textId="4D838CC4" w:rsidR="00BA01BD" w:rsidRDefault="00BA01BD" w:rsidP="00BA0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SLO 3</w:t>
            </w:r>
          </w:p>
        </w:tc>
      </w:tr>
      <w:tr w:rsidR="00BA01BD" w14:paraId="4BC98296" w14:textId="77777777" w:rsidTr="00BA0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54157E2" w14:textId="6668BE02" w:rsidR="00BA01BD" w:rsidRDefault="00BA01BD" w:rsidP="00BA01BD">
            <w:r>
              <w:t>GEM 101</w:t>
            </w:r>
          </w:p>
        </w:tc>
        <w:tc>
          <w:tcPr>
            <w:tcW w:w="2337" w:type="dxa"/>
          </w:tcPr>
          <w:p w14:paraId="76D5403E" w14:textId="76ADECFC" w:rsidR="00BA01BD" w:rsidRDefault="00820959" w:rsidP="00BA0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2338" w:type="dxa"/>
          </w:tcPr>
          <w:p w14:paraId="6E0E8973" w14:textId="77777777" w:rsidR="00BA01BD" w:rsidRDefault="00BA01BD" w:rsidP="00BA0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EBBF597" w14:textId="023CEFAD" w:rsidR="00BA01BD" w:rsidRDefault="00820959" w:rsidP="00BA0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</w:tr>
      <w:tr w:rsidR="00BA01BD" w14:paraId="47763C30" w14:textId="77777777" w:rsidTr="00BA0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CA3A171" w14:textId="4FEF7AB1" w:rsidR="00BA01BD" w:rsidRDefault="00BA01BD" w:rsidP="00BA01BD">
            <w:r>
              <w:t>GEM 201</w:t>
            </w:r>
          </w:p>
        </w:tc>
        <w:tc>
          <w:tcPr>
            <w:tcW w:w="2337" w:type="dxa"/>
          </w:tcPr>
          <w:p w14:paraId="7C752392" w14:textId="77777777" w:rsidR="00BA01BD" w:rsidRDefault="00BA01BD" w:rsidP="00BA0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4E288BB" w14:textId="09E98876" w:rsidR="00BA01BD" w:rsidRDefault="00820959" w:rsidP="00BA0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2338" w:type="dxa"/>
          </w:tcPr>
          <w:p w14:paraId="71A44EF7" w14:textId="76C37E09" w:rsidR="00BA01BD" w:rsidRDefault="00820959" w:rsidP="00BA0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</w:p>
        </w:tc>
      </w:tr>
      <w:tr w:rsidR="00BA01BD" w14:paraId="0616A827" w14:textId="77777777" w:rsidTr="00BA0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DEFCAFE" w14:textId="5A21723D" w:rsidR="00BA01BD" w:rsidRDefault="00BA01BD" w:rsidP="00BA01BD">
            <w:r>
              <w:t>GEM 301</w:t>
            </w:r>
          </w:p>
        </w:tc>
        <w:tc>
          <w:tcPr>
            <w:tcW w:w="2337" w:type="dxa"/>
          </w:tcPr>
          <w:p w14:paraId="134B25AD" w14:textId="2EC14139" w:rsidR="00BA01BD" w:rsidRDefault="00820959" w:rsidP="00BA0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</w:p>
        </w:tc>
        <w:tc>
          <w:tcPr>
            <w:tcW w:w="2338" w:type="dxa"/>
          </w:tcPr>
          <w:p w14:paraId="44F1288D" w14:textId="77777777" w:rsidR="00BA01BD" w:rsidRDefault="00BA01BD" w:rsidP="00BA0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2AD86BB" w14:textId="77777777" w:rsidR="00BA01BD" w:rsidRDefault="00BA01BD" w:rsidP="00BA0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01BD" w14:paraId="462B73BF" w14:textId="77777777" w:rsidTr="00BA0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E3D8928" w14:textId="7120DBCD" w:rsidR="00BA01BD" w:rsidRDefault="00BA01BD" w:rsidP="00BA01BD">
            <w:r>
              <w:t>GEM 401</w:t>
            </w:r>
          </w:p>
        </w:tc>
        <w:tc>
          <w:tcPr>
            <w:tcW w:w="2337" w:type="dxa"/>
          </w:tcPr>
          <w:p w14:paraId="09C384B9" w14:textId="77777777" w:rsidR="00BA01BD" w:rsidRDefault="00BA01BD" w:rsidP="00BA0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CC761BC" w14:textId="77777777" w:rsidR="00BA01BD" w:rsidRDefault="00BA01BD" w:rsidP="00BA0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7FD296F" w14:textId="24B09D69" w:rsidR="00BA01BD" w:rsidRDefault="00820959" w:rsidP="00BA0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</w:p>
        </w:tc>
      </w:tr>
      <w:tr w:rsidR="00BA01BD" w14:paraId="0D1D690F" w14:textId="77777777" w:rsidTr="00BA0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C0439EF" w14:textId="4AF1D11A" w:rsidR="00BA01BD" w:rsidRDefault="00BA01BD" w:rsidP="00BA01BD">
            <w:r>
              <w:t>GEM 499</w:t>
            </w:r>
          </w:p>
        </w:tc>
        <w:tc>
          <w:tcPr>
            <w:tcW w:w="2337" w:type="dxa"/>
          </w:tcPr>
          <w:p w14:paraId="192F4D9C" w14:textId="4B75EBA9" w:rsidR="00BA01BD" w:rsidRDefault="00820959" w:rsidP="00BA0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M,</w:t>
            </w:r>
            <w:r w:rsidR="0081008D">
              <w:t xml:space="preserve"> </w:t>
            </w:r>
            <w:r>
              <w:t>A</w:t>
            </w:r>
          </w:p>
        </w:tc>
        <w:tc>
          <w:tcPr>
            <w:tcW w:w="2338" w:type="dxa"/>
          </w:tcPr>
          <w:p w14:paraId="46C10D99" w14:textId="39056E0E" w:rsidR="00BA01BD" w:rsidRDefault="00820959" w:rsidP="00BA0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M, A</w:t>
            </w:r>
          </w:p>
        </w:tc>
        <w:tc>
          <w:tcPr>
            <w:tcW w:w="2338" w:type="dxa"/>
          </w:tcPr>
          <w:p w14:paraId="77337BB3" w14:textId="077524AA" w:rsidR="00BA01BD" w:rsidRDefault="00820959" w:rsidP="00BA0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</w:tbl>
    <w:p w14:paraId="7DFB0E30" w14:textId="77777777" w:rsidR="00BA01BD" w:rsidRPr="00BA01BD" w:rsidRDefault="00BA01BD" w:rsidP="00BA01BD"/>
    <w:p w14:paraId="377BF3CF" w14:textId="6C88E3A1" w:rsidR="00BA01BD" w:rsidRDefault="00BA01BD" w:rsidP="00BA01BD">
      <w:pPr>
        <w:pStyle w:val="FootnoteText"/>
      </w:pPr>
      <w:r w:rsidRPr="00BA01BD">
        <w:rPr>
          <w:b/>
          <w:bCs/>
        </w:rPr>
        <w:t>I:</w:t>
      </w:r>
      <w:r>
        <w:t xml:space="preserve"> The SLO is introduced to students in this course.  </w:t>
      </w:r>
    </w:p>
    <w:p w14:paraId="22818202" w14:textId="253C4A56" w:rsidR="00BA01BD" w:rsidRDefault="00BA01BD" w:rsidP="00BA01BD">
      <w:pPr>
        <w:pStyle w:val="FootnoteText"/>
      </w:pPr>
      <w:r w:rsidRPr="00BA01BD">
        <w:rPr>
          <w:b/>
          <w:bCs/>
        </w:rPr>
        <w:t>R</w:t>
      </w:r>
      <w:r>
        <w:t>: The SLO is reinforced in this course</w:t>
      </w:r>
    </w:p>
    <w:p w14:paraId="14FC8229" w14:textId="50585925" w:rsidR="00BA01BD" w:rsidRDefault="00BA01BD" w:rsidP="00BA01BD">
      <w:pPr>
        <w:pStyle w:val="FootnoteText"/>
      </w:pPr>
      <w:r w:rsidRPr="00BA01BD">
        <w:rPr>
          <w:b/>
          <w:bCs/>
        </w:rPr>
        <w:t>M</w:t>
      </w:r>
      <w:r>
        <w:t>: The SLO is mastered by students in this course</w:t>
      </w:r>
    </w:p>
    <w:p w14:paraId="11024F21" w14:textId="1192A31A" w:rsidR="00820959" w:rsidRDefault="00BA01BD" w:rsidP="00BA01BD">
      <w:pPr>
        <w:pStyle w:val="FootnoteText"/>
      </w:pPr>
      <w:r w:rsidRPr="00BA01BD">
        <w:rPr>
          <w:b/>
          <w:bCs/>
        </w:rPr>
        <w:t>A:</w:t>
      </w:r>
      <w:r>
        <w:t xml:space="preserve"> The SLO is assessed in this course</w:t>
      </w:r>
    </w:p>
    <w:p w14:paraId="4187CBCD" w14:textId="11A24986" w:rsidR="00820959" w:rsidRDefault="00820959" w:rsidP="00BA01BD">
      <w:pPr>
        <w:pStyle w:val="FootnoteText"/>
      </w:pPr>
    </w:p>
    <w:p w14:paraId="19EB4930" w14:textId="7263700E" w:rsidR="00820959" w:rsidRDefault="00820959">
      <w:pPr>
        <w:rPr>
          <w:sz w:val="20"/>
          <w:szCs w:val="20"/>
        </w:rPr>
      </w:pPr>
      <w:r>
        <w:br w:type="page"/>
      </w:r>
    </w:p>
    <w:p w14:paraId="6BCEBD13" w14:textId="3C834E9E" w:rsidR="00820959" w:rsidRDefault="00820959" w:rsidP="00820959">
      <w:pPr>
        <w:pStyle w:val="Heading1"/>
      </w:pPr>
      <w:r>
        <w:lastRenderedPageBreak/>
        <w:t>Assessment</w:t>
      </w:r>
      <w:r w:rsidR="009961FB">
        <w:t xml:space="preserve"> 1</w:t>
      </w:r>
      <w:r w:rsidR="009F4D51">
        <w:t>: Identify 10 Gems</w:t>
      </w:r>
    </w:p>
    <w:p w14:paraId="6CA8F2FD" w14:textId="6FCE3900" w:rsidR="009961FB" w:rsidRDefault="009961FB" w:rsidP="009961FB">
      <w:pPr>
        <w:pStyle w:val="Heading2"/>
      </w:pPr>
      <w:r>
        <w:t>Student Learning Outcome Assessed</w:t>
      </w:r>
    </w:p>
    <w:p w14:paraId="3932C9E6" w14:textId="77C571BA" w:rsidR="009961FB" w:rsidRDefault="009961FB" w:rsidP="009961FB">
      <w:r>
        <w:t>SLO1: Students will be able to identify a gemstone</w:t>
      </w:r>
    </w:p>
    <w:p w14:paraId="5F4E4458" w14:textId="16B8BB32" w:rsidR="009961FB" w:rsidRPr="009961FB" w:rsidRDefault="009961FB" w:rsidP="009961FB">
      <w:pPr>
        <w:pStyle w:val="Heading2"/>
      </w:pPr>
      <w:r>
        <w:t>Task</w:t>
      </w:r>
    </w:p>
    <w:p w14:paraId="2B3015A7" w14:textId="55A89807" w:rsidR="009961FB" w:rsidRDefault="009961FB" w:rsidP="009961FB">
      <w:r>
        <w:t>Each student in GEM 499 was given 10 gemstones and asked to identify them.</w:t>
      </w:r>
    </w:p>
    <w:p w14:paraId="55F53E75" w14:textId="6EB6A5B2" w:rsidR="009961FB" w:rsidRDefault="009961FB" w:rsidP="009961FB">
      <w:pPr>
        <w:pStyle w:val="Heading2"/>
      </w:pPr>
      <w:r w:rsidRPr="009961FB">
        <w:t>Rubric</w:t>
      </w:r>
    </w:p>
    <w:p w14:paraId="6FFF8B22" w14:textId="1B75E530" w:rsidR="009961FB" w:rsidRDefault="009961FB" w:rsidP="009961FB">
      <w:r>
        <w:t>Each student was classified as either exceptional, proficient, satisfactory, or underdeveloped.  The classification criteria are given below.</w:t>
      </w:r>
    </w:p>
    <w:p w14:paraId="14E61099" w14:textId="040D91FC" w:rsidR="009961FB" w:rsidRDefault="009961FB" w:rsidP="009961FB">
      <w:pPr>
        <w:pStyle w:val="ListParagraph"/>
        <w:numPr>
          <w:ilvl w:val="0"/>
          <w:numId w:val="14"/>
        </w:numPr>
      </w:pPr>
      <w:r>
        <w:t>Exceptional: All 10 gemstones were correctly identified.</w:t>
      </w:r>
    </w:p>
    <w:p w14:paraId="36A3AAD6" w14:textId="17A61E2E" w:rsidR="009961FB" w:rsidRDefault="009961FB" w:rsidP="009961FB">
      <w:pPr>
        <w:pStyle w:val="ListParagraph"/>
        <w:numPr>
          <w:ilvl w:val="0"/>
          <w:numId w:val="14"/>
        </w:numPr>
      </w:pPr>
      <w:r>
        <w:t>Proficient: Either 8 or 9 of the gemstones were correctly identified.</w:t>
      </w:r>
    </w:p>
    <w:p w14:paraId="5AE095F0" w14:textId="10F94E30" w:rsidR="009961FB" w:rsidRDefault="009961FB" w:rsidP="009961FB">
      <w:pPr>
        <w:pStyle w:val="ListParagraph"/>
        <w:numPr>
          <w:ilvl w:val="0"/>
          <w:numId w:val="14"/>
        </w:numPr>
      </w:pPr>
      <w:r>
        <w:t>Satisfactory: Either 5, 6, or 7 of the gemstones were correctly identified.</w:t>
      </w:r>
    </w:p>
    <w:p w14:paraId="300A9E33" w14:textId="3EFC824E" w:rsidR="009961FB" w:rsidRDefault="009961FB" w:rsidP="009961FB">
      <w:pPr>
        <w:pStyle w:val="ListParagraph"/>
        <w:numPr>
          <w:ilvl w:val="0"/>
          <w:numId w:val="14"/>
        </w:numPr>
      </w:pPr>
      <w:r>
        <w:t>Underdeveloped: Less than 5 of the gemstones were correctly identified.</w:t>
      </w:r>
    </w:p>
    <w:p w14:paraId="6E05F2C4" w14:textId="781FB616" w:rsidR="009961FB" w:rsidRDefault="009961FB" w:rsidP="009961FB">
      <w:pPr>
        <w:pStyle w:val="Heading2"/>
      </w:pPr>
      <w:r>
        <w:t>Benchmark</w:t>
      </w:r>
    </w:p>
    <w:p w14:paraId="73995C54" w14:textId="10C55F28" w:rsidR="009961FB" w:rsidRDefault="009961FB" w:rsidP="009961FB">
      <w:r>
        <w:t xml:space="preserve">At least 85% of students are classified as </w:t>
      </w:r>
      <w:r w:rsidR="000D170A">
        <w:t>at least satisfactory.</w:t>
      </w:r>
    </w:p>
    <w:p w14:paraId="064869BE" w14:textId="491740B5" w:rsidR="009961FB" w:rsidRPr="009961FB" w:rsidRDefault="009961FB" w:rsidP="009961FB">
      <w:pPr>
        <w:pStyle w:val="Heading2"/>
      </w:pPr>
      <w:r w:rsidRPr="009961FB">
        <w:t>Delivery</w:t>
      </w:r>
    </w:p>
    <w:p w14:paraId="1C1A4AF1" w14:textId="228D9780" w:rsidR="009961FB" w:rsidRDefault="009961FB" w:rsidP="009961FB">
      <w:r>
        <w:t>The task was part of a mid-term exam administered to all students in GEM 499</w:t>
      </w:r>
      <w:r w:rsidR="000D170A">
        <w:t xml:space="preserve"> during the Fall 2022 </w:t>
      </w:r>
      <w:r w:rsidR="00876DE1">
        <w:t xml:space="preserve">and Fall 2023 </w:t>
      </w:r>
      <w:r w:rsidR="000D170A">
        <w:t>semester</w:t>
      </w:r>
      <w:r w:rsidR="00876DE1">
        <w:t>s</w:t>
      </w:r>
      <w:r>
        <w:t xml:space="preserve">.  </w:t>
      </w:r>
      <w:r w:rsidR="00876DE1">
        <w:t xml:space="preserve">The same 10 gems were used for this assessment as they were available for inspection on a central lab table.  </w:t>
      </w:r>
      <w:r>
        <w:t>Only one section of GEM 499 was offered and the delivery was identical for all students.</w:t>
      </w:r>
    </w:p>
    <w:p w14:paraId="03191097" w14:textId="73D4E615" w:rsidR="009961FB" w:rsidRDefault="009961FB" w:rsidP="000D170A">
      <w:pPr>
        <w:pStyle w:val="Heading2"/>
      </w:pPr>
      <w:r>
        <w:t>Results</w:t>
      </w:r>
    </w:p>
    <w:p w14:paraId="498BBBEC" w14:textId="0A351F17" w:rsidR="00876DE1" w:rsidRPr="00876DE1" w:rsidRDefault="00876DE1" w:rsidP="00876DE1">
      <w:r>
        <w:t>Students received the following classifications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6DE1" w14:paraId="2FDD108C" w14:textId="77777777" w:rsidTr="00876DE1">
        <w:tc>
          <w:tcPr>
            <w:tcW w:w="3116" w:type="dxa"/>
          </w:tcPr>
          <w:p w14:paraId="6AB5F05E" w14:textId="21DF9634" w:rsidR="00876DE1" w:rsidRDefault="00876DE1" w:rsidP="009961FB">
            <w:r>
              <w:t>Classification</w:t>
            </w:r>
          </w:p>
        </w:tc>
        <w:tc>
          <w:tcPr>
            <w:tcW w:w="3117" w:type="dxa"/>
          </w:tcPr>
          <w:p w14:paraId="60D333D7" w14:textId="36C0E12F" w:rsidR="00876DE1" w:rsidRDefault="00876DE1" w:rsidP="009961FB">
            <w:r>
              <w:t>Fall 2022</w:t>
            </w:r>
          </w:p>
        </w:tc>
        <w:tc>
          <w:tcPr>
            <w:tcW w:w="3117" w:type="dxa"/>
          </w:tcPr>
          <w:p w14:paraId="2178BC50" w14:textId="32784304" w:rsidR="00876DE1" w:rsidRDefault="00876DE1" w:rsidP="009961FB">
            <w:r>
              <w:t>Fall 2023</w:t>
            </w:r>
          </w:p>
        </w:tc>
      </w:tr>
      <w:tr w:rsidR="00876DE1" w14:paraId="4D5AA0E2" w14:textId="77777777" w:rsidTr="00876DE1">
        <w:tc>
          <w:tcPr>
            <w:tcW w:w="3116" w:type="dxa"/>
          </w:tcPr>
          <w:p w14:paraId="4ED08946" w14:textId="6DFF7A9B" w:rsidR="00876DE1" w:rsidRDefault="00876DE1" w:rsidP="009961FB">
            <w:r>
              <w:t>Exceptional</w:t>
            </w:r>
          </w:p>
        </w:tc>
        <w:tc>
          <w:tcPr>
            <w:tcW w:w="3117" w:type="dxa"/>
          </w:tcPr>
          <w:p w14:paraId="312F2809" w14:textId="645A678A" w:rsidR="00876DE1" w:rsidRDefault="00876DE1" w:rsidP="009961FB">
            <w:r>
              <w:t>5/29</w:t>
            </w:r>
          </w:p>
        </w:tc>
        <w:tc>
          <w:tcPr>
            <w:tcW w:w="3117" w:type="dxa"/>
          </w:tcPr>
          <w:p w14:paraId="791FA06E" w14:textId="25AB6901" w:rsidR="00876DE1" w:rsidRDefault="00876DE1" w:rsidP="009961FB">
            <w:r>
              <w:t>4/26</w:t>
            </w:r>
          </w:p>
        </w:tc>
      </w:tr>
      <w:tr w:rsidR="00876DE1" w14:paraId="6E9053B6" w14:textId="77777777" w:rsidTr="00876DE1">
        <w:tc>
          <w:tcPr>
            <w:tcW w:w="3116" w:type="dxa"/>
          </w:tcPr>
          <w:p w14:paraId="28DAE0EF" w14:textId="134FAF2B" w:rsidR="00876DE1" w:rsidRDefault="00876DE1" w:rsidP="009961FB">
            <w:r>
              <w:t>Proficient</w:t>
            </w:r>
          </w:p>
        </w:tc>
        <w:tc>
          <w:tcPr>
            <w:tcW w:w="3117" w:type="dxa"/>
          </w:tcPr>
          <w:p w14:paraId="6FF3FAB3" w14:textId="05E93210" w:rsidR="00876DE1" w:rsidRDefault="00876DE1" w:rsidP="009961FB">
            <w:r>
              <w:t>9/29</w:t>
            </w:r>
          </w:p>
        </w:tc>
        <w:tc>
          <w:tcPr>
            <w:tcW w:w="3117" w:type="dxa"/>
          </w:tcPr>
          <w:p w14:paraId="7DE5A8F9" w14:textId="02C218B8" w:rsidR="00876DE1" w:rsidRDefault="00876DE1" w:rsidP="009961FB">
            <w:r>
              <w:t>6/26</w:t>
            </w:r>
          </w:p>
        </w:tc>
      </w:tr>
      <w:tr w:rsidR="00876DE1" w14:paraId="7593E368" w14:textId="77777777" w:rsidTr="00876DE1">
        <w:tc>
          <w:tcPr>
            <w:tcW w:w="3116" w:type="dxa"/>
          </w:tcPr>
          <w:p w14:paraId="31E865AE" w14:textId="16B55BEA" w:rsidR="00876DE1" w:rsidRDefault="00876DE1" w:rsidP="009961FB">
            <w:r>
              <w:t>Satisfactory</w:t>
            </w:r>
          </w:p>
        </w:tc>
        <w:tc>
          <w:tcPr>
            <w:tcW w:w="3117" w:type="dxa"/>
          </w:tcPr>
          <w:p w14:paraId="3B9181BA" w14:textId="7B86039D" w:rsidR="00876DE1" w:rsidRDefault="00876DE1" w:rsidP="009961FB">
            <w:r>
              <w:t>12/29</w:t>
            </w:r>
          </w:p>
        </w:tc>
        <w:tc>
          <w:tcPr>
            <w:tcW w:w="3117" w:type="dxa"/>
          </w:tcPr>
          <w:p w14:paraId="582A9B47" w14:textId="21B6FAD0" w:rsidR="00876DE1" w:rsidRDefault="00876DE1" w:rsidP="009961FB">
            <w:r>
              <w:t>12/26</w:t>
            </w:r>
          </w:p>
        </w:tc>
      </w:tr>
      <w:tr w:rsidR="00876DE1" w14:paraId="032FFA2C" w14:textId="77777777" w:rsidTr="00876DE1">
        <w:tc>
          <w:tcPr>
            <w:tcW w:w="3116" w:type="dxa"/>
          </w:tcPr>
          <w:p w14:paraId="3A5B2B37" w14:textId="785A4E0C" w:rsidR="00876DE1" w:rsidRDefault="00876DE1" w:rsidP="009961FB">
            <w:r>
              <w:t>Underdeveloped</w:t>
            </w:r>
          </w:p>
        </w:tc>
        <w:tc>
          <w:tcPr>
            <w:tcW w:w="3117" w:type="dxa"/>
          </w:tcPr>
          <w:p w14:paraId="5695BEC3" w14:textId="43CA536A" w:rsidR="00876DE1" w:rsidRDefault="00876DE1" w:rsidP="009961FB">
            <w:r>
              <w:t>3/29</w:t>
            </w:r>
          </w:p>
        </w:tc>
        <w:tc>
          <w:tcPr>
            <w:tcW w:w="3117" w:type="dxa"/>
          </w:tcPr>
          <w:p w14:paraId="49C41A41" w14:textId="28F255DE" w:rsidR="00876DE1" w:rsidRDefault="00876DE1" w:rsidP="009961FB">
            <w:r>
              <w:t>4/26</w:t>
            </w:r>
          </w:p>
        </w:tc>
      </w:tr>
    </w:tbl>
    <w:p w14:paraId="31EFA740" w14:textId="77777777" w:rsidR="00876DE1" w:rsidRDefault="00876DE1" w:rsidP="000D170A"/>
    <w:p w14:paraId="2344F0EC" w14:textId="51F014F8" w:rsidR="000D170A" w:rsidRDefault="000D170A" w:rsidP="000D170A">
      <w:r>
        <w:t>The aggregate rate of successful identification is given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6DE1" w14:paraId="0327D662" w14:textId="77777777" w:rsidTr="00876DE1">
        <w:tc>
          <w:tcPr>
            <w:tcW w:w="3116" w:type="dxa"/>
          </w:tcPr>
          <w:p w14:paraId="21687E7C" w14:textId="2E30B64D" w:rsidR="00876DE1" w:rsidRDefault="00876DE1" w:rsidP="000D170A">
            <w:r>
              <w:t>Gem</w:t>
            </w:r>
          </w:p>
        </w:tc>
        <w:tc>
          <w:tcPr>
            <w:tcW w:w="3117" w:type="dxa"/>
          </w:tcPr>
          <w:p w14:paraId="40C92441" w14:textId="0CAD11DA" w:rsidR="00876DE1" w:rsidRDefault="00876DE1" w:rsidP="000D170A">
            <w:r>
              <w:t>Fall 2022</w:t>
            </w:r>
          </w:p>
        </w:tc>
        <w:tc>
          <w:tcPr>
            <w:tcW w:w="3117" w:type="dxa"/>
          </w:tcPr>
          <w:p w14:paraId="7F8096D8" w14:textId="1BC28E9F" w:rsidR="00876DE1" w:rsidRDefault="00876DE1" w:rsidP="000D170A">
            <w:r>
              <w:t>Fall 2023</w:t>
            </w:r>
          </w:p>
        </w:tc>
      </w:tr>
      <w:tr w:rsidR="00876DE1" w14:paraId="2320C8A0" w14:textId="77777777" w:rsidTr="00876DE1">
        <w:tc>
          <w:tcPr>
            <w:tcW w:w="3116" w:type="dxa"/>
          </w:tcPr>
          <w:p w14:paraId="2A580F19" w14:textId="0430647C" w:rsidR="00876DE1" w:rsidRDefault="00876DE1" w:rsidP="000D170A">
            <w:r>
              <w:t>amber</w:t>
            </w:r>
          </w:p>
        </w:tc>
        <w:tc>
          <w:tcPr>
            <w:tcW w:w="3117" w:type="dxa"/>
          </w:tcPr>
          <w:p w14:paraId="0F47ECFB" w14:textId="2236BFB3" w:rsidR="00876DE1" w:rsidRDefault="00876DE1" w:rsidP="000D170A">
            <w:r>
              <w:t>26/29</w:t>
            </w:r>
          </w:p>
        </w:tc>
        <w:tc>
          <w:tcPr>
            <w:tcW w:w="3117" w:type="dxa"/>
          </w:tcPr>
          <w:p w14:paraId="555B1AD2" w14:textId="1987F257" w:rsidR="00876DE1" w:rsidRDefault="00B32E50" w:rsidP="000D170A">
            <w:r>
              <w:t>24/26</w:t>
            </w:r>
          </w:p>
        </w:tc>
      </w:tr>
      <w:tr w:rsidR="00876DE1" w14:paraId="37502EC8" w14:textId="77777777" w:rsidTr="00876DE1">
        <w:tc>
          <w:tcPr>
            <w:tcW w:w="3116" w:type="dxa"/>
          </w:tcPr>
          <w:p w14:paraId="3BBD6FE7" w14:textId="61B23332" w:rsidR="00876DE1" w:rsidRDefault="00876DE1" w:rsidP="000D170A">
            <w:r>
              <w:t>beryl</w:t>
            </w:r>
          </w:p>
        </w:tc>
        <w:tc>
          <w:tcPr>
            <w:tcW w:w="3117" w:type="dxa"/>
          </w:tcPr>
          <w:p w14:paraId="6D7AB939" w14:textId="69B41964" w:rsidR="00876DE1" w:rsidRDefault="00B32E50" w:rsidP="000D170A">
            <w:r>
              <w:t>12/29</w:t>
            </w:r>
          </w:p>
        </w:tc>
        <w:tc>
          <w:tcPr>
            <w:tcW w:w="3117" w:type="dxa"/>
          </w:tcPr>
          <w:p w14:paraId="1820A46A" w14:textId="07C64988" w:rsidR="00876DE1" w:rsidRDefault="00B32E50" w:rsidP="000D170A">
            <w:r>
              <w:t>14/26</w:t>
            </w:r>
          </w:p>
        </w:tc>
      </w:tr>
      <w:tr w:rsidR="00876DE1" w14:paraId="0F60D10D" w14:textId="77777777" w:rsidTr="00876DE1">
        <w:tc>
          <w:tcPr>
            <w:tcW w:w="3116" w:type="dxa"/>
          </w:tcPr>
          <w:p w14:paraId="1A1F71F2" w14:textId="07D1040A" w:rsidR="00876DE1" w:rsidRDefault="00876DE1" w:rsidP="000D170A">
            <w:r>
              <w:t>chalcedony</w:t>
            </w:r>
          </w:p>
        </w:tc>
        <w:tc>
          <w:tcPr>
            <w:tcW w:w="3117" w:type="dxa"/>
          </w:tcPr>
          <w:p w14:paraId="436308BC" w14:textId="13A6916E" w:rsidR="00876DE1" w:rsidRDefault="00B32E50" w:rsidP="000D170A">
            <w:r>
              <w:t>22/29</w:t>
            </w:r>
          </w:p>
        </w:tc>
        <w:tc>
          <w:tcPr>
            <w:tcW w:w="3117" w:type="dxa"/>
          </w:tcPr>
          <w:p w14:paraId="4952FA80" w14:textId="53A38BC7" w:rsidR="00876DE1" w:rsidRDefault="00B32E50" w:rsidP="000D170A">
            <w:r>
              <w:t>16/26</w:t>
            </w:r>
          </w:p>
        </w:tc>
      </w:tr>
      <w:tr w:rsidR="00876DE1" w14:paraId="0EB73EF9" w14:textId="77777777" w:rsidTr="00876DE1">
        <w:tc>
          <w:tcPr>
            <w:tcW w:w="3116" w:type="dxa"/>
          </w:tcPr>
          <w:p w14:paraId="10409D51" w14:textId="1FCF8960" w:rsidR="00876DE1" w:rsidRDefault="00876DE1" w:rsidP="000D170A">
            <w:r>
              <w:t>coral</w:t>
            </w:r>
          </w:p>
        </w:tc>
        <w:tc>
          <w:tcPr>
            <w:tcW w:w="3117" w:type="dxa"/>
          </w:tcPr>
          <w:p w14:paraId="19DFEBBE" w14:textId="706FADD7" w:rsidR="00876DE1" w:rsidRDefault="00B32E50" w:rsidP="000D170A">
            <w:r>
              <w:t>15/29</w:t>
            </w:r>
          </w:p>
        </w:tc>
        <w:tc>
          <w:tcPr>
            <w:tcW w:w="3117" w:type="dxa"/>
          </w:tcPr>
          <w:p w14:paraId="3E639E28" w14:textId="6E4F8A31" w:rsidR="00876DE1" w:rsidRDefault="00B32E50" w:rsidP="000D170A">
            <w:r>
              <w:t>18/26</w:t>
            </w:r>
          </w:p>
        </w:tc>
      </w:tr>
      <w:tr w:rsidR="00876DE1" w14:paraId="766D2E35" w14:textId="77777777" w:rsidTr="00876DE1">
        <w:tc>
          <w:tcPr>
            <w:tcW w:w="3116" w:type="dxa"/>
          </w:tcPr>
          <w:p w14:paraId="26F79327" w14:textId="7A025D96" w:rsidR="00876DE1" w:rsidRDefault="00876DE1" w:rsidP="000D170A">
            <w:r>
              <w:t>emerald</w:t>
            </w:r>
          </w:p>
        </w:tc>
        <w:tc>
          <w:tcPr>
            <w:tcW w:w="3117" w:type="dxa"/>
          </w:tcPr>
          <w:p w14:paraId="02D4F798" w14:textId="29CE161B" w:rsidR="00876DE1" w:rsidRDefault="00B32E50" w:rsidP="000D170A">
            <w:r>
              <w:t>18/29</w:t>
            </w:r>
          </w:p>
        </w:tc>
        <w:tc>
          <w:tcPr>
            <w:tcW w:w="3117" w:type="dxa"/>
          </w:tcPr>
          <w:p w14:paraId="3F2B2D14" w14:textId="5B3C5FE9" w:rsidR="00876DE1" w:rsidRDefault="00B32E50" w:rsidP="000D170A">
            <w:r>
              <w:t>14/26</w:t>
            </w:r>
          </w:p>
        </w:tc>
      </w:tr>
      <w:tr w:rsidR="00876DE1" w14:paraId="21A1ECB2" w14:textId="77777777" w:rsidTr="00876DE1">
        <w:tc>
          <w:tcPr>
            <w:tcW w:w="3116" w:type="dxa"/>
          </w:tcPr>
          <w:p w14:paraId="5592A535" w14:textId="1C2C5AC5" w:rsidR="00876DE1" w:rsidRDefault="00876DE1" w:rsidP="000D170A">
            <w:r>
              <w:t>hessonite</w:t>
            </w:r>
          </w:p>
        </w:tc>
        <w:tc>
          <w:tcPr>
            <w:tcW w:w="3117" w:type="dxa"/>
          </w:tcPr>
          <w:p w14:paraId="75D8C921" w14:textId="43AC94CC" w:rsidR="00876DE1" w:rsidRDefault="00B32E50" w:rsidP="000D170A">
            <w:r>
              <w:t>16/29</w:t>
            </w:r>
          </w:p>
        </w:tc>
        <w:tc>
          <w:tcPr>
            <w:tcW w:w="3117" w:type="dxa"/>
          </w:tcPr>
          <w:p w14:paraId="18A8DFE4" w14:textId="228F0ADF" w:rsidR="00876DE1" w:rsidRDefault="00B32E50" w:rsidP="000D170A">
            <w:r>
              <w:t>16/26</w:t>
            </w:r>
          </w:p>
        </w:tc>
      </w:tr>
      <w:tr w:rsidR="00876DE1" w14:paraId="47638177" w14:textId="77777777" w:rsidTr="00876DE1">
        <w:tc>
          <w:tcPr>
            <w:tcW w:w="3116" w:type="dxa"/>
          </w:tcPr>
          <w:p w14:paraId="5C022B59" w14:textId="32CCE2C4" w:rsidR="00876DE1" w:rsidRDefault="00876DE1" w:rsidP="000D170A">
            <w:r>
              <w:lastRenderedPageBreak/>
              <w:t>lapis lazuli</w:t>
            </w:r>
          </w:p>
        </w:tc>
        <w:tc>
          <w:tcPr>
            <w:tcW w:w="3117" w:type="dxa"/>
          </w:tcPr>
          <w:p w14:paraId="5A45E87F" w14:textId="7C7621F3" w:rsidR="00876DE1" w:rsidRDefault="00B32E50" w:rsidP="000D170A">
            <w:r>
              <w:t>28/29</w:t>
            </w:r>
          </w:p>
        </w:tc>
        <w:tc>
          <w:tcPr>
            <w:tcW w:w="3117" w:type="dxa"/>
          </w:tcPr>
          <w:p w14:paraId="46F530F2" w14:textId="1A6A8483" w:rsidR="00876DE1" w:rsidRDefault="00B32E50" w:rsidP="000D170A">
            <w:r>
              <w:t>26/26</w:t>
            </w:r>
          </w:p>
        </w:tc>
      </w:tr>
      <w:tr w:rsidR="00876DE1" w14:paraId="60373E86" w14:textId="77777777" w:rsidTr="00876DE1">
        <w:tc>
          <w:tcPr>
            <w:tcW w:w="3116" w:type="dxa"/>
          </w:tcPr>
          <w:p w14:paraId="4B8A470E" w14:textId="2649814C" w:rsidR="00876DE1" w:rsidRDefault="00876DE1" w:rsidP="000D170A">
            <w:r>
              <w:t>moonstone</w:t>
            </w:r>
          </w:p>
        </w:tc>
        <w:tc>
          <w:tcPr>
            <w:tcW w:w="3117" w:type="dxa"/>
          </w:tcPr>
          <w:p w14:paraId="12D4C7D2" w14:textId="1BAC438D" w:rsidR="00876DE1" w:rsidRDefault="00B32E50" w:rsidP="000D170A">
            <w:r>
              <w:t>5/29</w:t>
            </w:r>
          </w:p>
        </w:tc>
        <w:tc>
          <w:tcPr>
            <w:tcW w:w="3117" w:type="dxa"/>
          </w:tcPr>
          <w:p w14:paraId="08026DB4" w14:textId="14717368" w:rsidR="00876DE1" w:rsidRDefault="00B32E50" w:rsidP="000D170A">
            <w:r>
              <w:t>15/26</w:t>
            </w:r>
          </w:p>
        </w:tc>
      </w:tr>
      <w:tr w:rsidR="00876DE1" w14:paraId="6048BCD5" w14:textId="77777777" w:rsidTr="00876DE1">
        <w:tc>
          <w:tcPr>
            <w:tcW w:w="3116" w:type="dxa"/>
          </w:tcPr>
          <w:p w14:paraId="59919866" w14:textId="05EBDD32" w:rsidR="00876DE1" w:rsidRDefault="00876DE1" w:rsidP="000D170A">
            <w:r>
              <w:t>pearl</w:t>
            </w:r>
          </w:p>
        </w:tc>
        <w:tc>
          <w:tcPr>
            <w:tcW w:w="3117" w:type="dxa"/>
          </w:tcPr>
          <w:p w14:paraId="41905CD8" w14:textId="17C606E8" w:rsidR="00876DE1" w:rsidRDefault="00B32E50" w:rsidP="000D170A">
            <w:r>
              <w:t>29/29</w:t>
            </w:r>
          </w:p>
        </w:tc>
        <w:tc>
          <w:tcPr>
            <w:tcW w:w="3117" w:type="dxa"/>
          </w:tcPr>
          <w:p w14:paraId="5A469180" w14:textId="4EBD0215" w:rsidR="00876DE1" w:rsidRDefault="00B32E50" w:rsidP="000D170A">
            <w:r>
              <w:t>25/26</w:t>
            </w:r>
          </w:p>
        </w:tc>
      </w:tr>
      <w:tr w:rsidR="00876DE1" w14:paraId="2E2F9B4C" w14:textId="77777777" w:rsidTr="00876DE1">
        <w:tc>
          <w:tcPr>
            <w:tcW w:w="3116" w:type="dxa"/>
          </w:tcPr>
          <w:p w14:paraId="0A2367B3" w14:textId="4C16767D" w:rsidR="00876DE1" w:rsidRDefault="00876DE1" w:rsidP="000D170A">
            <w:r>
              <w:t>ruby</w:t>
            </w:r>
          </w:p>
        </w:tc>
        <w:tc>
          <w:tcPr>
            <w:tcW w:w="3117" w:type="dxa"/>
          </w:tcPr>
          <w:p w14:paraId="0B4E054A" w14:textId="5B59BD89" w:rsidR="00876DE1" w:rsidRDefault="00B32E50" w:rsidP="000D170A">
            <w:r>
              <w:t>18/29</w:t>
            </w:r>
          </w:p>
        </w:tc>
        <w:tc>
          <w:tcPr>
            <w:tcW w:w="3117" w:type="dxa"/>
          </w:tcPr>
          <w:p w14:paraId="4B2D9165" w14:textId="27A96590" w:rsidR="00876DE1" w:rsidRDefault="00B32E50" w:rsidP="000D170A">
            <w:r>
              <w:t>15/26</w:t>
            </w:r>
          </w:p>
        </w:tc>
      </w:tr>
    </w:tbl>
    <w:p w14:paraId="02615C51" w14:textId="77777777" w:rsidR="00876DE1" w:rsidRDefault="00876DE1" w:rsidP="000D170A"/>
    <w:p w14:paraId="398A8D17" w14:textId="4062C3CD" w:rsidR="000D170A" w:rsidRDefault="000D170A" w:rsidP="000D170A">
      <w:pPr>
        <w:pStyle w:val="Heading2"/>
      </w:pPr>
      <w:r w:rsidRPr="000D170A">
        <w:t>Analysis</w:t>
      </w:r>
    </w:p>
    <w:p w14:paraId="27FE5DED" w14:textId="5431471E" w:rsidR="000D170A" w:rsidRDefault="000D170A" w:rsidP="000D170A">
      <w:r>
        <w:t xml:space="preserve">The benchmark was met </w:t>
      </w:r>
      <w:r w:rsidR="00B32E50">
        <w:t xml:space="preserve">in both semesters as 90% and 92% of students were classified as at least proficient.  </w:t>
      </w:r>
      <w:r w:rsidR="00876DE1">
        <w:t xml:space="preserve">Students </w:t>
      </w:r>
      <w:r w:rsidR="00B32E50">
        <w:t xml:space="preserve">in the Fall 2022 course </w:t>
      </w:r>
      <w:r w:rsidR="00876DE1">
        <w:t xml:space="preserve">demonstrated less success in identifying moonstones than any other type.  </w:t>
      </w:r>
      <w:r w:rsidR="00771049">
        <w:t>This result demonstrated the need to</w:t>
      </w:r>
      <w:r w:rsidR="00B32E50">
        <w:t xml:space="preserve"> </w:t>
      </w:r>
      <w:r w:rsidR="00876DE1">
        <w:t>devote more attention to the distinct properties of moonstone that relate to correct identification.</w:t>
      </w:r>
    </w:p>
    <w:p w14:paraId="6B1B0DFE" w14:textId="38868C96" w:rsidR="00876DE1" w:rsidRPr="000D170A" w:rsidRDefault="00876DE1" w:rsidP="00876DE1">
      <w:pPr>
        <w:pStyle w:val="Heading2"/>
      </w:pPr>
      <w:r>
        <w:t>Actions Taken</w:t>
      </w:r>
    </w:p>
    <w:p w14:paraId="52B9F920" w14:textId="2C41895C" w:rsidR="009961FB" w:rsidRPr="009961FB" w:rsidRDefault="00876DE1" w:rsidP="009961FB">
      <w:r>
        <w:t>In the Fall of 2023, more attention was given in classroom lecture to the distinct properties of moonstone that relate to correct identification.  The aggregate rate of success improved significantly</w:t>
      </w:r>
      <w:r w:rsidR="00B32E50">
        <w:t xml:space="preserve">; moving from 5/29 in the Fall of 2022 to 15/26 in the Fall 2023. </w:t>
      </w:r>
    </w:p>
    <w:p w14:paraId="01A92144" w14:textId="274210A6" w:rsidR="00B32E50" w:rsidRDefault="00B32E50">
      <w:r>
        <w:br w:type="page"/>
      </w:r>
    </w:p>
    <w:p w14:paraId="167C885F" w14:textId="7A8E3FA5" w:rsidR="00B32E50" w:rsidRDefault="00B32E50" w:rsidP="00B32E50">
      <w:pPr>
        <w:pStyle w:val="Heading1"/>
      </w:pPr>
      <w:r>
        <w:lastRenderedPageBreak/>
        <w:t>Assessment 2</w:t>
      </w:r>
      <w:r w:rsidR="009F4D51">
        <w:t xml:space="preserve">: </w:t>
      </w:r>
      <w:r w:rsidR="005D4056">
        <w:t>Bureau of Land Management</w:t>
      </w:r>
      <w:r w:rsidR="009F4D51">
        <w:t xml:space="preserve"> Mining Law</w:t>
      </w:r>
    </w:p>
    <w:p w14:paraId="428861CE" w14:textId="77777777" w:rsidR="00B32E50" w:rsidRDefault="00B32E50" w:rsidP="00B32E50">
      <w:pPr>
        <w:pStyle w:val="Heading2"/>
      </w:pPr>
      <w:r>
        <w:t>Student Learning Outcome Assessed</w:t>
      </w:r>
    </w:p>
    <w:p w14:paraId="051CE5A5" w14:textId="763F5951" w:rsidR="00B32E50" w:rsidRDefault="00B32E50" w:rsidP="00B32E50">
      <w:r>
        <w:t>Students will be able to demonstrate knowledge of national and international laws regulating the mining and sale of gems</w:t>
      </w:r>
    </w:p>
    <w:p w14:paraId="40A29B32" w14:textId="77777777" w:rsidR="00B32E50" w:rsidRPr="009961FB" w:rsidRDefault="00B32E50" w:rsidP="00B32E50">
      <w:pPr>
        <w:pStyle w:val="Heading2"/>
      </w:pPr>
      <w:r>
        <w:t>Task</w:t>
      </w:r>
    </w:p>
    <w:p w14:paraId="3928A61B" w14:textId="04602E1A" w:rsidR="00B32E50" w:rsidRDefault="00B32E50" w:rsidP="00B32E50">
      <w:r>
        <w:t xml:space="preserve">Each student in GEM 499 was asked to describe the changes made in 1955 to the </w:t>
      </w:r>
      <w:r w:rsidR="00811F4F">
        <w:t xml:space="preserve">U.S. </w:t>
      </w:r>
      <w:r>
        <w:t>Bureau of Land Management Mining Law.</w:t>
      </w:r>
    </w:p>
    <w:p w14:paraId="67792496" w14:textId="77777777" w:rsidR="00B32E50" w:rsidRDefault="00B32E50" w:rsidP="00B32E50">
      <w:pPr>
        <w:pStyle w:val="Heading2"/>
      </w:pPr>
      <w:r w:rsidRPr="009961FB">
        <w:t>Rubric</w:t>
      </w:r>
    </w:p>
    <w:p w14:paraId="2D7D72F9" w14:textId="5F47B92F" w:rsidR="00B32E50" w:rsidRDefault="00B32E50" w:rsidP="00B32E50">
      <w:r>
        <w:t>Each student was classified as either exceptional, proficient, satisfactory, or underdeveloped.  The classification criteria are given below.</w:t>
      </w:r>
    </w:p>
    <w:p w14:paraId="5D9826B9" w14:textId="310D27B5" w:rsidR="00B32E50" w:rsidRDefault="00B32E50" w:rsidP="00B32E50">
      <w:r>
        <w:t>…</w:t>
      </w:r>
    </w:p>
    <w:p w14:paraId="3A93146A" w14:textId="77777777" w:rsidR="00B32E50" w:rsidRDefault="00B32E50" w:rsidP="00B32E50">
      <w:pPr>
        <w:pStyle w:val="Heading2"/>
      </w:pPr>
      <w:r>
        <w:t>Benchmark</w:t>
      </w:r>
    </w:p>
    <w:p w14:paraId="3782E9FB" w14:textId="0B4652C3" w:rsidR="00B32E50" w:rsidRDefault="00B32E50" w:rsidP="00B32E50">
      <w:r>
        <w:t>….</w:t>
      </w:r>
    </w:p>
    <w:p w14:paraId="34571EA5" w14:textId="77777777" w:rsidR="00B32E50" w:rsidRPr="009961FB" w:rsidRDefault="00B32E50" w:rsidP="00B32E50">
      <w:pPr>
        <w:pStyle w:val="Heading2"/>
      </w:pPr>
      <w:r w:rsidRPr="009961FB">
        <w:t>Delivery</w:t>
      </w:r>
    </w:p>
    <w:p w14:paraId="0D3F7F54" w14:textId="030479F0" w:rsidR="00B32E50" w:rsidRDefault="00B32E50" w:rsidP="00B32E50">
      <w:r>
        <w:t xml:space="preserve">The task was part of </w:t>
      </w:r>
      <w:r w:rsidR="00771049">
        <w:t xml:space="preserve">the final </w:t>
      </w:r>
      <w:r>
        <w:t>exam administered to all students in GEM 499 during the Fall 202</w:t>
      </w:r>
      <w:r w:rsidR="00771049">
        <w:t>3</w:t>
      </w:r>
      <w:r>
        <w:t xml:space="preserve">.  </w:t>
      </w:r>
      <w:r w:rsidR="00771049">
        <w:t>There were two sections of GEM 499 taught by two different instructors that semester.  Each instructor agreed that this task would account for exactly 10% of their final exam and tha</w:t>
      </w:r>
      <w:r w:rsidR="00281C58">
        <w:t>t both</w:t>
      </w:r>
      <w:r w:rsidR="00771049">
        <w:t xml:space="preserve"> </w:t>
      </w:r>
      <w:r w:rsidR="00262A3C">
        <w:t>instructor’s</w:t>
      </w:r>
      <w:r w:rsidR="00771049">
        <w:t xml:space="preserve"> final exam would account for 30% of the</w:t>
      </w:r>
      <w:r w:rsidR="0018120B">
        <w:t>ir</w:t>
      </w:r>
      <w:r w:rsidR="00771049">
        <w:t xml:space="preserve"> overall course grade.</w:t>
      </w:r>
    </w:p>
    <w:p w14:paraId="580475C2" w14:textId="77777777" w:rsidR="00B32E50" w:rsidRDefault="00B32E50" w:rsidP="00B32E50">
      <w:pPr>
        <w:pStyle w:val="Heading2"/>
      </w:pPr>
      <w:r>
        <w:t>Results</w:t>
      </w:r>
    </w:p>
    <w:p w14:paraId="3E266ED1" w14:textId="77777777" w:rsidR="00B32E50" w:rsidRPr="00876DE1" w:rsidRDefault="00B32E50" w:rsidP="00B32E50">
      <w:r>
        <w:t>Students received the following classifications</w:t>
      </w:r>
    </w:p>
    <w:p w14:paraId="67C52C9D" w14:textId="039D9A5F" w:rsidR="00B32E50" w:rsidRDefault="00771049" w:rsidP="00B32E50">
      <w:r>
        <w:t>…</w:t>
      </w:r>
    </w:p>
    <w:p w14:paraId="124D6E1C" w14:textId="77777777" w:rsidR="00B32E50" w:rsidRDefault="00B32E50" w:rsidP="00B32E50">
      <w:r>
        <w:t>The aggregate rate of successful identification is given below.</w:t>
      </w:r>
    </w:p>
    <w:p w14:paraId="698B036D" w14:textId="7B607181" w:rsidR="00B32E50" w:rsidRDefault="00771049" w:rsidP="00B32E50">
      <w:r>
        <w:t>…</w:t>
      </w:r>
    </w:p>
    <w:p w14:paraId="150F6443" w14:textId="77777777" w:rsidR="00B32E50" w:rsidRDefault="00B32E50" w:rsidP="00B32E50">
      <w:pPr>
        <w:pStyle w:val="Heading2"/>
      </w:pPr>
      <w:r w:rsidRPr="000D170A">
        <w:t>Analysis</w:t>
      </w:r>
    </w:p>
    <w:p w14:paraId="0A8614E4" w14:textId="22878B69" w:rsidR="00B32E50" w:rsidRDefault="00B32E50" w:rsidP="00B32E50">
      <w:r>
        <w:t>…</w:t>
      </w:r>
    </w:p>
    <w:p w14:paraId="4B32B4FF" w14:textId="77777777" w:rsidR="00B32E50" w:rsidRPr="000D170A" w:rsidRDefault="00B32E50" w:rsidP="00B32E50">
      <w:pPr>
        <w:pStyle w:val="Heading2"/>
      </w:pPr>
      <w:r>
        <w:t>Actions Taken</w:t>
      </w:r>
    </w:p>
    <w:p w14:paraId="73566F74" w14:textId="28A9F59F" w:rsidR="00B32E50" w:rsidRPr="009961FB" w:rsidRDefault="00B32E50" w:rsidP="00B32E50">
      <w:r>
        <w:t>…</w:t>
      </w:r>
    </w:p>
    <w:p w14:paraId="55FEA6A8" w14:textId="77777777" w:rsidR="00B32E50" w:rsidRPr="00820959" w:rsidRDefault="00B32E50" w:rsidP="00B32E50"/>
    <w:p w14:paraId="2C85723E" w14:textId="77777777" w:rsidR="00820959" w:rsidRPr="00820959" w:rsidRDefault="00820959" w:rsidP="00820959"/>
    <w:sectPr w:rsidR="00820959" w:rsidRPr="00820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972EC" w14:textId="77777777" w:rsidR="00F9131D" w:rsidRDefault="00F9131D" w:rsidP="00820959">
      <w:pPr>
        <w:spacing w:after="0" w:line="240" w:lineRule="auto"/>
      </w:pPr>
      <w:r>
        <w:separator/>
      </w:r>
    </w:p>
  </w:endnote>
  <w:endnote w:type="continuationSeparator" w:id="0">
    <w:p w14:paraId="7B0DD053" w14:textId="77777777" w:rsidR="00F9131D" w:rsidRDefault="00F9131D" w:rsidP="0082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3DA0E" w14:textId="77777777" w:rsidR="00F9131D" w:rsidRDefault="00F9131D" w:rsidP="00820959">
      <w:pPr>
        <w:spacing w:after="0" w:line="240" w:lineRule="auto"/>
      </w:pPr>
      <w:r>
        <w:separator/>
      </w:r>
    </w:p>
  </w:footnote>
  <w:footnote w:type="continuationSeparator" w:id="0">
    <w:p w14:paraId="1D914581" w14:textId="77777777" w:rsidR="00F9131D" w:rsidRDefault="00F9131D" w:rsidP="00820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62DB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0CC2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0617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52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8439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86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5E6A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A47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70B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2C01C4"/>
    <w:multiLevelType w:val="hybridMultilevel"/>
    <w:tmpl w:val="C3C6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672B7"/>
    <w:multiLevelType w:val="hybridMultilevel"/>
    <w:tmpl w:val="3AFA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F7150"/>
    <w:multiLevelType w:val="hybridMultilevel"/>
    <w:tmpl w:val="A68CE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B0927"/>
    <w:multiLevelType w:val="hybridMultilevel"/>
    <w:tmpl w:val="B3E4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B0"/>
    <w:rsid w:val="0007637C"/>
    <w:rsid w:val="000D170A"/>
    <w:rsid w:val="0018120B"/>
    <w:rsid w:val="00196521"/>
    <w:rsid w:val="001A3B44"/>
    <w:rsid w:val="00262A3C"/>
    <w:rsid w:val="00281C58"/>
    <w:rsid w:val="002B3B62"/>
    <w:rsid w:val="003650C0"/>
    <w:rsid w:val="00481BD3"/>
    <w:rsid w:val="004A72F5"/>
    <w:rsid w:val="004F1F3F"/>
    <w:rsid w:val="00580F0F"/>
    <w:rsid w:val="005D4056"/>
    <w:rsid w:val="00681ED5"/>
    <w:rsid w:val="00771049"/>
    <w:rsid w:val="0081008D"/>
    <w:rsid w:val="00811F4F"/>
    <w:rsid w:val="00820959"/>
    <w:rsid w:val="00876DE1"/>
    <w:rsid w:val="00877383"/>
    <w:rsid w:val="008B7A23"/>
    <w:rsid w:val="009961FB"/>
    <w:rsid w:val="009F4D51"/>
    <w:rsid w:val="00A41C23"/>
    <w:rsid w:val="00B315C9"/>
    <w:rsid w:val="00B32E50"/>
    <w:rsid w:val="00B930B0"/>
    <w:rsid w:val="00BA01BD"/>
    <w:rsid w:val="00CB1238"/>
    <w:rsid w:val="00CE39B2"/>
    <w:rsid w:val="00CF495D"/>
    <w:rsid w:val="00F9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B3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383"/>
  </w:style>
  <w:style w:type="paragraph" w:styleId="Heading1">
    <w:name w:val="heading 1"/>
    <w:basedOn w:val="Normal"/>
    <w:next w:val="Normal"/>
    <w:link w:val="Heading1Char"/>
    <w:uiPriority w:val="9"/>
    <w:qFormat/>
    <w:rsid w:val="00877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73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73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73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73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73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73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73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73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877383"/>
    <w:rPr>
      <w:smallCaps/>
      <w:color w:val="ED7D31" w:themeColor="accent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7383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738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PersonalName">
    <w:name w:val="Personal Name"/>
    <w:basedOn w:val="Title"/>
    <w:rsid w:val="00877383"/>
    <w:rPr>
      <w:b/>
      <w:cap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7738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738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38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738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738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738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73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7383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73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7383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877383"/>
    <w:rPr>
      <w:b/>
      <w:bCs/>
    </w:rPr>
  </w:style>
  <w:style w:type="character" w:styleId="Emphasis">
    <w:name w:val="Emphasis"/>
    <w:basedOn w:val="DefaultParagraphFont"/>
    <w:uiPriority w:val="20"/>
    <w:qFormat/>
    <w:rsid w:val="00877383"/>
    <w:rPr>
      <w:i/>
      <w:iCs/>
    </w:rPr>
  </w:style>
  <w:style w:type="paragraph" w:styleId="NoSpacing">
    <w:name w:val="No Spacing"/>
    <w:link w:val="NoSpacingChar"/>
    <w:uiPriority w:val="1"/>
    <w:qFormat/>
    <w:rsid w:val="0087738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77383"/>
  </w:style>
  <w:style w:type="paragraph" w:styleId="ListParagraph">
    <w:name w:val="List Paragraph"/>
    <w:basedOn w:val="Normal"/>
    <w:uiPriority w:val="34"/>
    <w:qFormat/>
    <w:rsid w:val="008773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73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738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738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7383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87738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77383"/>
    <w:rPr>
      <w:b/>
      <w:bCs/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877383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738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7383"/>
    <w:pPr>
      <w:outlineLvl w:val="9"/>
    </w:pPr>
  </w:style>
  <w:style w:type="table" w:styleId="TableGrid">
    <w:name w:val="Table Grid"/>
    <w:basedOn w:val="TableNormal"/>
    <w:uiPriority w:val="39"/>
    <w:rsid w:val="00BA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BA01B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3">
    <w:name w:val="Grid Table 1 Light Accent 3"/>
    <w:basedOn w:val="TableNormal"/>
    <w:uiPriority w:val="46"/>
    <w:rsid w:val="00BA01B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A01B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BA01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BA01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01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95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B3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B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B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B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B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6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417A56-0795-A348-87B6-74A664DC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620</Words>
  <Characters>3187</Characters>
  <Application>Microsoft Office Word</Application>
  <DocSecurity>0</DocSecurity>
  <Lines>159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2021-06-11T15:28:00Z</cp:lastPrinted>
  <dcterms:created xsi:type="dcterms:W3CDTF">2021-06-11T15:28:00Z</dcterms:created>
  <dcterms:modified xsi:type="dcterms:W3CDTF">2021-06-11T15:53:00Z</dcterms:modified>
  <cp:category/>
</cp:coreProperties>
</file>