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CA7A" w14:textId="77777777" w:rsidR="00B01697" w:rsidRDefault="00B01697" w:rsidP="5C9CB5FF">
      <w:pPr>
        <w:ind w:left="1080" w:hanging="720"/>
        <w:rPr>
          <w:rFonts w:eastAsiaTheme="minorEastAsia"/>
          <w:sz w:val="24"/>
          <w:szCs w:val="24"/>
        </w:rPr>
      </w:pPr>
    </w:p>
    <w:p w14:paraId="731D7CBA" w14:textId="7EF12CE8" w:rsidR="00B01697" w:rsidRDefault="004305D0" w:rsidP="5C9CB5FF">
      <w:pPr>
        <w:pStyle w:val="ListParagraph"/>
        <w:ind w:left="1080"/>
        <w:rPr>
          <w:rFonts w:eastAsiaTheme="minorEastAsia"/>
          <w:b/>
          <w:bCs/>
          <w:sz w:val="24"/>
          <w:szCs w:val="24"/>
        </w:rPr>
      </w:pPr>
      <w:r w:rsidRPr="5C9CB5FF">
        <w:rPr>
          <w:rFonts w:eastAsiaTheme="minorEastAsia"/>
          <w:b/>
          <w:bCs/>
          <w:sz w:val="24"/>
          <w:szCs w:val="24"/>
        </w:rPr>
        <w:t>XI.</w:t>
      </w:r>
      <w:r w:rsidR="00B01697" w:rsidRPr="5C9CB5FF">
        <w:rPr>
          <w:rFonts w:eastAsiaTheme="minorEastAsia"/>
          <w:b/>
          <w:bCs/>
          <w:sz w:val="24"/>
          <w:szCs w:val="24"/>
        </w:rPr>
        <w:t xml:space="preserve"> Student Rights and Obligations </w:t>
      </w:r>
    </w:p>
    <w:p w14:paraId="0FE63394" w14:textId="77777777" w:rsidR="00B01697" w:rsidRDefault="00B01697" w:rsidP="5C9CB5FF">
      <w:pPr>
        <w:pStyle w:val="ListParagraph"/>
        <w:ind w:left="1080"/>
        <w:rPr>
          <w:rFonts w:eastAsiaTheme="minorEastAsia"/>
          <w:sz w:val="24"/>
          <w:szCs w:val="24"/>
        </w:rPr>
      </w:pPr>
    </w:p>
    <w:p w14:paraId="3F22596A" w14:textId="69CF9653" w:rsidR="00A9021F" w:rsidRDefault="0019316E" w:rsidP="5C9CB5F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C9CB5FF">
        <w:rPr>
          <w:rFonts w:eastAsiaTheme="minorEastAsia"/>
          <w:sz w:val="24"/>
          <w:szCs w:val="24"/>
        </w:rPr>
        <w:t>Academic Eligibility—Graduate Students</w:t>
      </w:r>
      <w:r w:rsidR="294B9A57" w:rsidRPr="5C9CB5FF">
        <w:rPr>
          <w:rFonts w:eastAsiaTheme="minorEastAsia"/>
          <w:sz w:val="24"/>
          <w:szCs w:val="24"/>
        </w:rPr>
        <w:t xml:space="preserve"> </w:t>
      </w:r>
    </w:p>
    <w:p w14:paraId="6CDADC84" w14:textId="6C656AB0" w:rsidR="0019316E" w:rsidRDefault="0019316E" w:rsidP="5C9CB5F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C9CB5FF">
        <w:rPr>
          <w:rFonts w:eastAsiaTheme="minorEastAsia"/>
          <w:sz w:val="24"/>
          <w:szCs w:val="24"/>
        </w:rPr>
        <w:t>The Department follows the policies of the University for graduate student retention, probation, dismissal</w:t>
      </w:r>
      <w:r w:rsidR="00CE076D" w:rsidRPr="5C9CB5FF">
        <w:rPr>
          <w:rFonts w:eastAsiaTheme="minorEastAsia"/>
          <w:sz w:val="24"/>
          <w:szCs w:val="24"/>
        </w:rPr>
        <w:t>, and appeals</w:t>
      </w:r>
      <w:r w:rsidRPr="5C9CB5FF">
        <w:rPr>
          <w:rFonts w:eastAsiaTheme="minorEastAsia"/>
          <w:sz w:val="24"/>
          <w:szCs w:val="24"/>
        </w:rPr>
        <w:t xml:space="preserve">. Those policies can be found in the </w:t>
      </w:r>
      <w:hyperlink r:id="rId8">
        <w:r w:rsidRPr="5C9CB5FF">
          <w:rPr>
            <w:rStyle w:val="Hyperlink"/>
            <w:rFonts w:eastAsiaTheme="minorEastAsia"/>
            <w:sz w:val="24"/>
            <w:szCs w:val="24"/>
          </w:rPr>
          <w:t>current UWL Catalog</w:t>
        </w:r>
      </w:hyperlink>
      <w:r w:rsidRPr="5C9CB5FF">
        <w:rPr>
          <w:rFonts w:eastAsiaTheme="minorEastAsia"/>
          <w:sz w:val="24"/>
          <w:szCs w:val="24"/>
        </w:rPr>
        <w:t xml:space="preserve"> for each academic year.</w:t>
      </w:r>
    </w:p>
    <w:p w14:paraId="5978BBE2" w14:textId="038385A6" w:rsidR="0019316E" w:rsidRDefault="0019316E" w:rsidP="5C9CB5F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C9CB5FF">
        <w:rPr>
          <w:rFonts w:eastAsiaTheme="minorEastAsia"/>
          <w:sz w:val="24"/>
          <w:szCs w:val="24"/>
        </w:rPr>
        <w:t>Readmission</w:t>
      </w:r>
      <w:r w:rsidR="00C93075" w:rsidRPr="5C9CB5FF">
        <w:rPr>
          <w:rFonts w:eastAsiaTheme="minorEastAsia"/>
          <w:sz w:val="24"/>
          <w:szCs w:val="24"/>
        </w:rPr>
        <w:t xml:space="preserve"> to </w:t>
      </w:r>
      <w:r w:rsidR="7B77C72F" w:rsidRPr="5C9CB5FF">
        <w:rPr>
          <w:rFonts w:eastAsiaTheme="minorEastAsia"/>
          <w:sz w:val="24"/>
          <w:szCs w:val="24"/>
        </w:rPr>
        <w:t xml:space="preserve">the MPH </w:t>
      </w:r>
      <w:r w:rsidR="00C93075" w:rsidRPr="5C9CB5FF">
        <w:rPr>
          <w:rFonts w:eastAsiaTheme="minorEastAsia"/>
          <w:sz w:val="24"/>
          <w:szCs w:val="24"/>
        </w:rPr>
        <w:t>Program after Dismissal</w:t>
      </w:r>
    </w:p>
    <w:p w14:paraId="7DE24276" w14:textId="48DCB6D1" w:rsidR="212E4CAB" w:rsidRDefault="212E4CAB" w:rsidP="5C9CB5FF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5C9CB5FF">
        <w:rPr>
          <w:rFonts w:eastAsiaTheme="minorEastAsia"/>
          <w:sz w:val="24"/>
          <w:szCs w:val="24"/>
        </w:rPr>
        <w:t>A student who has been dismissed may request readmission into the program.</w:t>
      </w:r>
    </w:p>
    <w:p w14:paraId="6F175F99" w14:textId="1FBE586C" w:rsidR="212E4CAB" w:rsidRDefault="212E4CAB" w:rsidP="5C9CB5FF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5C9CB5FF">
        <w:rPr>
          <w:rFonts w:eastAsiaTheme="minorEastAsia"/>
          <w:sz w:val="24"/>
          <w:szCs w:val="24"/>
        </w:rPr>
        <w:t>The student's request for readmission must be stated in a formal letter addressed to the MPH Program Director, outlining the rationale for the request and plans for improved performance. </w:t>
      </w:r>
    </w:p>
    <w:p w14:paraId="417FE5A3" w14:textId="1E403CAF" w:rsidR="212E4CAB" w:rsidRDefault="212E4CAB" w:rsidP="5C9CB5FF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5C9CB5FF">
        <w:rPr>
          <w:rFonts w:eastAsiaTheme="minorEastAsia"/>
          <w:sz w:val="24"/>
          <w:szCs w:val="24"/>
        </w:rPr>
        <w:t>The MPH Program Director and the Graduate Advisory Committee will review the letter and other pertinent information about the student’s past performance to determine whether to readmit the student.</w:t>
      </w:r>
    </w:p>
    <w:p w14:paraId="1401599B" w14:textId="681BA113" w:rsidR="212E4CAB" w:rsidRDefault="212E4CAB" w:rsidP="5C9CB5FF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5C9CB5FF">
        <w:rPr>
          <w:rFonts w:eastAsiaTheme="minorEastAsia"/>
          <w:sz w:val="24"/>
          <w:szCs w:val="24"/>
        </w:rPr>
        <w:t>If the MPH Director and the Committee decide to readmit the student, the MPH Director will inform both the student and the College of Science and Health Office via email.</w:t>
      </w:r>
    </w:p>
    <w:p w14:paraId="309AEB9C" w14:textId="77777777" w:rsidR="212E4CAB" w:rsidRDefault="212E4CAB" w:rsidP="5C9CB5FF">
      <w:pPr>
        <w:pStyle w:val="ListParagraph"/>
        <w:numPr>
          <w:ilvl w:val="3"/>
          <w:numId w:val="1"/>
        </w:numPr>
        <w:rPr>
          <w:rFonts w:eastAsiaTheme="minorEastAsia"/>
        </w:rPr>
      </w:pPr>
      <w:r w:rsidRPr="5C9CB5FF">
        <w:rPr>
          <w:rFonts w:eastAsiaTheme="minorEastAsia"/>
          <w:sz w:val="24"/>
          <w:szCs w:val="24"/>
        </w:rPr>
        <w:t xml:space="preserve">The Academic Services Director will formalize the readmission, informing the student, the graduate program, the Office of Records and Registration, and the Office of Graduate &amp; Extended Learning. </w:t>
      </w:r>
    </w:p>
    <w:p w14:paraId="00962625" w14:textId="3E110765" w:rsidR="212E4CAB" w:rsidRDefault="212E4CAB" w:rsidP="5C9CB5FF">
      <w:pPr>
        <w:pStyle w:val="ListParagraph"/>
        <w:numPr>
          <w:ilvl w:val="3"/>
          <w:numId w:val="1"/>
        </w:numPr>
        <w:rPr>
          <w:rFonts w:eastAsiaTheme="minorEastAsia"/>
        </w:rPr>
      </w:pPr>
      <w:r w:rsidRPr="5C9CB5FF">
        <w:rPr>
          <w:rFonts w:eastAsiaTheme="minorEastAsia"/>
          <w:sz w:val="24"/>
          <w:szCs w:val="24"/>
        </w:rPr>
        <w:t xml:space="preserve">Readmission may result in a student being placed on probation. </w:t>
      </w:r>
    </w:p>
    <w:p w14:paraId="421584C9" w14:textId="0E8C34D4" w:rsidR="212E4CAB" w:rsidRDefault="212E4CAB" w:rsidP="5C9CB5FF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9CB5FF">
        <w:rPr>
          <w:rFonts w:eastAsiaTheme="minorEastAsia"/>
          <w:sz w:val="24"/>
          <w:szCs w:val="24"/>
        </w:rPr>
        <w:t xml:space="preserve">If the MPH Director and Committee do not support readmission, the Director </w:t>
      </w:r>
      <w:r w:rsidR="18196240" w:rsidRPr="5C9CB5FF">
        <w:rPr>
          <w:rFonts w:eastAsiaTheme="minorEastAsia"/>
          <w:color w:val="000000" w:themeColor="text1"/>
          <w:sz w:val="24"/>
          <w:szCs w:val="24"/>
        </w:rPr>
        <w:t>will inform the student of the denial of their request for readmission in a formal letter. This letter will be emailed to the student with a CC to the college ASD.</w:t>
      </w:r>
    </w:p>
    <w:p w14:paraId="7633794B" w14:textId="56C5A16F" w:rsidR="212E4CAB" w:rsidRDefault="212E4CAB" w:rsidP="5C9CB5FF">
      <w:pPr>
        <w:pStyle w:val="ListParagraph"/>
        <w:numPr>
          <w:ilvl w:val="3"/>
          <w:numId w:val="1"/>
        </w:numPr>
        <w:rPr>
          <w:rFonts w:eastAsiaTheme="minorEastAsia"/>
        </w:rPr>
      </w:pPr>
      <w:r w:rsidRPr="5C9CB5FF">
        <w:rPr>
          <w:rFonts w:eastAsiaTheme="minorEastAsia"/>
          <w:sz w:val="24"/>
          <w:szCs w:val="24"/>
        </w:rPr>
        <w:t>The student may consult the College of Science and Health office and/or the Office of Graduate &amp; Extended Learning to discuss possible future actions.</w:t>
      </w:r>
    </w:p>
    <w:p w14:paraId="401C781C" w14:textId="7B41793B" w:rsidR="212E4CAB" w:rsidRDefault="212E4CAB" w:rsidP="5C9CB5FF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5C9CB5FF">
        <w:rPr>
          <w:rFonts w:eastAsiaTheme="minorEastAsia"/>
          <w:color w:val="000000" w:themeColor="text1"/>
          <w:sz w:val="24"/>
          <w:szCs w:val="24"/>
        </w:rPr>
        <w:t xml:space="preserve">The MPH Program Director will retain records documenting the review of the student’s request for readmission, so they are available should the student request a due-process appeal to the Graduate Council, as described in the </w:t>
      </w:r>
      <w:hyperlink r:id="rId9" w:anchor="appeals-process">
        <w:r w:rsidRPr="5C9CB5FF">
          <w:rPr>
            <w:rStyle w:val="Hyperlink"/>
            <w:rFonts w:eastAsiaTheme="minorEastAsia"/>
            <w:sz w:val="24"/>
            <w:szCs w:val="24"/>
          </w:rPr>
          <w:t>Appeals process for graduate students not re-admitted by graduate programs</w:t>
        </w:r>
      </w:hyperlink>
      <w:r w:rsidRPr="5C9CB5FF">
        <w:rPr>
          <w:rFonts w:eastAsiaTheme="minorEastAsia"/>
          <w:color w:val="000000" w:themeColor="text1"/>
          <w:sz w:val="24"/>
          <w:szCs w:val="24"/>
        </w:rPr>
        <w:t>.</w:t>
      </w:r>
    </w:p>
    <w:p w14:paraId="68BCD348" w14:textId="1B4070F6" w:rsidR="1EB2B63F" w:rsidRDefault="1EB2B63F" w:rsidP="5C9CB5FF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C9CB5FF">
        <w:rPr>
          <w:rFonts w:eastAsiaTheme="minorEastAsia"/>
          <w:sz w:val="24"/>
          <w:szCs w:val="24"/>
        </w:rPr>
        <w:t>Readmission to the HCA Program after Dismissal</w:t>
      </w:r>
    </w:p>
    <w:p w14:paraId="035F997F" w14:textId="4D74F8E5" w:rsidR="1EB2B63F" w:rsidRDefault="1EB2B63F" w:rsidP="5C9CB5FF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5C9CB5FF">
        <w:rPr>
          <w:rFonts w:eastAsiaTheme="minorEastAsia"/>
          <w:sz w:val="24"/>
          <w:szCs w:val="24"/>
        </w:rPr>
        <w:t>A student who has been dismissed may request readmission into the program.</w:t>
      </w:r>
    </w:p>
    <w:p w14:paraId="0FBC1E64" w14:textId="2A4B3483" w:rsidR="1EB2B63F" w:rsidRDefault="1EB2B63F" w:rsidP="5C9CB5FF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5C9CB5FF">
        <w:rPr>
          <w:rFonts w:eastAsiaTheme="minorEastAsia"/>
          <w:sz w:val="24"/>
          <w:szCs w:val="24"/>
        </w:rPr>
        <w:lastRenderedPageBreak/>
        <w:t>The student's request for readmission must be stated in a formal letter addressed to the HCA Program Director, outlining the rationale for the request and plans for improved performance. </w:t>
      </w:r>
    </w:p>
    <w:p w14:paraId="7FFCB467" w14:textId="6F310736" w:rsidR="04D2FD92" w:rsidRDefault="04D2FD92" w:rsidP="5C9CB5FF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9CB5FF">
        <w:rPr>
          <w:rFonts w:eastAsiaTheme="minorEastAsia"/>
          <w:color w:val="000000" w:themeColor="text1"/>
          <w:sz w:val="24"/>
          <w:szCs w:val="24"/>
        </w:rPr>
        <w:t xml:space="preserve">The UWL </w:t>
      </w:r>
      <w:r w:rsidR="4C7A77A7" w:rsidRPr="5C9CB5FF">
        <w:rPr>
          <w:rFonts w:eastAsiaTheme="minorEastAsia"/>
          <w:color w:val="000000" w:themeColor="text1"/>
          <w:sz w:val="24"/>
          <w:szCs w:val="24"/>
        </w:rPr>
        <w:t xml:space="preserve">HCA </w:t>
      </w:r>
      <w:r w:rsidRPr="5C9CB5FF">
        <w:rPr>
          <w:rFonts w:eastAsiaTheme="minorEastAsia"/>
          <w:color w:val="000000" w:themeColor="text1"/>
          <w:sz w:val="24"/>
          <w:szCs w:val="24"/>
        </w:rPr>
        <w:t xml:space="preserve">Graduate Program </w:t>
      </w:r>
      <w:r w:rsidR="0DA2C76C" w:rsidRPr="5C9CB5FF">
        <w:rPr>
          <w:rFonts w:eastAsiaTheme="minorEastAsia"/>
          <w:color w:val="000000" w:themeColor="text1"/>
          <w:sz w:val="24"/>
          <w:szCs w:val="24"/>
        </w:rPr>
        <w:t>Director</w:t>
      </w:r>
      <w:r w:rsidRPr="5C9CB5FF">
        <w:rPr>
          <w:rFonts w:eastAsiaTheme="minorEastAsia"/>
          <w:color w:val="000000" w:themeColor="text1"/>
          <w:sz w:val="24"/>
          <w:szCs w:val="24"/>
        </w:rPr>
        <w:t xml:space="preserve"> will review the student’s request for readmission. </w:t>
      </w:r>
    </w:p>
    <w:p w14:paraId="3FDE67EC" w14:textId="77CF21F1" w:rsidR="04D2FD92" w:rsidRDefault="04D2FD92" w:rsidP="774C03C5">
      <w:pPr>
        <w:pStyle w:val="ListParagraph"/>
        <w:numPr>
          <w:ilvl w:val="2"/>
          <w:numId w:val="1"/>
        </w:numPr>
        <w:rPr>
          <w:rFonts w:eastAsiaTheme="minorEastAsia"/>
          <w:sz w:val="24"/>
          <w:szCs w:val="24"/>
        </w:rPr>
      </w:pPr>
      <w:r w:rsidRPr="774C03C5">
        <w:rPr>
          <w:rFonts w:eastAsiaTheme="minorEastAsia"/>
          <w:color w:val="000000" w:themeColor="text1"/>
          <w:sz w:val="24"/>
          <w:szCs w:val="24"/>
        </w:rPr>
        <w:t xml:space="preserve">If the UWL </w:t>
      </w:r>
      <w:r w:rsidR="6AC1F731" w:rsidRPr="774C03C5">
        <w:rPr>
          <w:rFonts w:eastAsiaTheme="minorEastAsia"/>
          <w:color w:val="000000" w:themeColor="text1"/>
          <w:sz w:val="24"/>
          <w:szCs w:val="24"/>
        </w:rPr>
        <w:t>HCA Program Director</w:t>
      </w:r>
      <w:r w:rsidRPr="774C03C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5F631A1" w:rsidRPr="774C03C5">
        <w:rPr>
          <w:rFonts w:eastAsiaTheme="minorEastAsia"/>
          <w:sz w:val="24"/>
          <w:szCs w:val="24"/>
        </w:rPr>
        <w:t xml:space="preserve">decides to readmit the student, the </w:t>
      </w:r>
      <w:r w:rsidR="09072045" w:rsidRPr="774C03C5">
        <w:rPr>
          <w:rFonts w:eastAsiaTheme="minorEastAsia"/>
          <w:sz w:val="24"/>
          <w:szCs w:val="24"/>
        </w:rPr>
        <w:t>HCA</w:t>
      </w:r>
      <w:r w:rsidR="35F631A1" w:rsidRPr="774C03C5">
        <w:rPr>
          <w:rFonts w:eastAsiaTheme="minorEastAsia"/>
          <w:sz w:val="24"/>
          <w:szCs w:val="24"/>
        </w:rPr>
        <w:t xml:space="preserve"> Director will inform both the student and the College of Science and Health Office via email.</w:t>
      </w:r>
    </w:p>
    <w:p w14:paraId="5AD8CBF2" w14:textId="77777777" w:rsidR="35F631A1" w:rsidRDefault="35F631A1" w:rsidP="5C9CB5FF">
      <w:pPr>
        <w:pStyle w:val="ListParagraph"/>
        <w:numPr>
          <w:ilvl w:val="3"/>
          <w:numId w:val="1"/>
        </w:numPr>
        <w:rPr>
          <w:rFonts w:eastAsiaTheme="minorEastAsia"/>
        </w:rPr>
      </w:pPr>
      <w:r w:rsidRPr="5C9CB5FF">
        <w:rPr>
          <w:rFonts w:eastAsiaTheme="minorEastAsia"/>
          <w:sz w:val="24"/>
          <w:szCs w:val="24"/>
        </w:rPr>
        <w:t xml:space="preserve">The Academic Services Director will formalize the readmission, informing the student, the graduate program, the Office of Records and Registration, and the Office of Graduate &amp; Extended Learning. </w:t>
      </w:r>
    </w:p>
    <w:p w14:paraId="5F45732F" w14:textId="29740669" w:rsidR="35F631A1" w:rsidRDefault="35F631A1" w:rsidP="5C9CB5FF">
      <w:pPr>
        <w:pStyle w:val="ListParagraph"/>
        <w:numPr>
          <w:ilvl w:val="3"/>
          <w:numId w:val="1"/>
        </w:numPr>
        <w:rPr>
          <w:rFonts w:eastAsiaTheme="minorEastAsia"/>
        </w:rPr>
      </w:pPr>
      <w:r w:rsidRPr="5C9CB5FF">
        <w:rPr>
          <w:rFonts w:eastAsiaTheme="minorEastAsia"/>
          <w:sz w:val="24"/>
          <w:szCs w:val="24"/>
        </w:rPr>
        <w:t>Readmission may result in a student being placed on probation.</w:t>
      </w:r>
    </w:p>
    <w:p w14:paraId="0CFD3D72" w14:textId="1E9CB2E6" w:rsidR="04D2FD92" w:rsidRDefault="04D2FD92" w:rsidP="5C9CB5FF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9CB5FF">
        <w:rPr>
          <w:rFonts w:eastAsiaTheme="minorEastAsia"/>
          <w:color w:val="000000" w:themeColor="text1"/>
          <w:sz w:val="24"/>
          <w:szCs w:val="24"/>
        </w:rPr>
        <w:t xml:space="preserve">If the UWL </w:t>
      </w:r>
      <w:r w:rsidR="76F7737E" w:rsidRPr="5C9CB5FF">
        <w:rPr>
          <w:rFonts w:eastAsiaTheme="minorEastAsia"/>
          <w:color w:val="000000" w:themeColor="text1"/>
          <w:sz w:val="24"/>
          <w:szCs w:val="24"/>
        </w:rPr>
        <w:t xml:space="preserve">HCA Program Director </w:t>
      </w:r>
      <w:r w:rsidRPr="5C9CB5FF">
        <w:rPr>
          <w:rFonts w:eastAsiaTheme="minorEastAsia"/>
          <w:color w:val="000000" w:themeColor="text1"/>
          <w:sz w:val="24"/>
          <w:szCs w:val="24"/>
        </w:rPr>
        <w:t xml:space="preserve">does not approve the request for readmission, they will reach out to two other UWL Graduate Program Directors, or one UWL Graduate Program Director and one faculty member from the </w:t>
      </w:r>
      <w:r w:rsidR="4AE362D4" w:rsidRPr="5C9CB5FF">
        <w:rPr>
          <w:rFonts w:eastAsiaTheme="minorEastAsia"/>
          <w:color w:val="000000" w:themeColor="text1"/>
          <w:sz w:val="24"/>
          <w:szCs w:val="24"/>
        </w:rPr>
        <w:t>Department of Public Health &amp; Community Health Education.</w:t>
      </w:r>
      <w:r w:rsidRPr="5C9CB5FF">
        <w:rPr>
          <w:rFonts w:eastAsiaTheme="minorEastAsia"/>
          <w:color w:val="000000" w:themeColor="text1"/>
          <w:sz w:val="24"/>
          <w:szCs w:val="24"/>
        </w:rPr>
        <w:t xml:space="preserve"> The two other individuals will review the student’s record and request for readmission. If at least one of those individuals agrees with the decision not to re-admit (i.e., at least two out of three reviewers recommend the student not be readmitted), the UWL </w:t>
      </w:r>
      <w:r w:rsidR="2A11E9EE" w:rsidRPr="5C9CB5FF">
        <w:rPr>
          <w:rFonts w:eastAsiaTheme="minorEastAsia"/>
          <w:color w:val="000000" w:themeColor="text1"/>
          <w:sz w:val="24"/>
          <w:szCs w:val="24"/>
        </w:rPr>
        <w:t xml:space="preserve">HCA Program Director </w:t>
      </w:r>
      <w:r w:rsidRPr="5C9CB5FF">
        <w:rPr>
          <w:rFonts w:eastAsiaTheme="minorEastAsia"/>
          <w:color w:val="000000" w:themeColor="text1"/>
          <w:sz w:val="24"/>
          <w:szCs w:val="24"/>
        </w:rPr>
        <w:t xml:space="preserve">will inform the student of the denial of their request for readmission in a formal letter. This letter will be emailed to the student with a CC to the college ASD. </w:t>
      </w:r>
    </w:p>
    <w:p w14:paraId="6898A503" w14:textId="68EEC1A2" w:rsidR="04D2FD92" w:rsidRDefault="04D2FD92" w:rsidP="5C9CB5FF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9CB5FF">
        <w:rPr>
          <w:rFonts w:eastAsiaTheme="minorEastAsia"/>
          <w:color w:val="000000" w:themeColor="text1"/>
          <w:sz w:val="24"/>
          <w:szCs w:val="24"/>
        </w:rPr>
        <w:t xml:space="preserve">The UWL </w:t>
      </w:r>
      <w:r w:rsidR="1E6D3714" w:rsidRPr="5C9CB5FF">
        <w:rPr>
          <w:rFonts w:eastAsiaTheme="minorEastAsia"/>
          <w:color w:val="000000" w:themeColor="text1"/>
          <w:sz w:val="24"/>
          <w:szCs w:val="24"/>
        </w:rPr>
        <w:t>HCA</w:t>
      </w:r>
      <w:r w:rsidRPr="5C9CB5F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E6D3714" w:rsidRPr="5C9CB5FF">
        <w:rPr>
          <w:rFonts w:eastAsiaTheme="minorEastAsia"/>
          <w:color w:val="000000" w:themeColor="text1"/>
          <w:sz w:val="24"/>
          <w:szCs w:val="24"/>
        </w:rPr>
        <w:t xml:space="preserve">Program Director </w:t>
      </w:r>
      <w:r w:rsidRPr="5C9CB5FF">
        <w:rPr>
          <w:rFonts w:eastAsiaTheme="minorEastAsia"/>
          <w:color w:val="000000" w:themeColor="text1"/>
          <w:sz w:val="24"/>
          <w:szCs w:val="24"/>
        </w:rPr>
        <w:t xml:space="preserve">will retain records documenting the review of the student’s request for readmission, so they are available should the student request a due-process appeal to the Graduate Council, as described in the </w:t>
      </w:r>
      <w:hyperlink r:id="rId10" w:anchor="appeals-process">
        <w:r w:rsidRPr="5C9CB5FF">
          <w:rPr>
            <w:rStyle w:val="Hyperlink"/>
            <w:rFonts w:eastAsiaTheme="minorEastAsia"/>
            <w:sz w:val="24"/>
            <w:szCs w:val="24"/>
          </w:rPr>
          <w:t>Appeals process for graduate students not re-admitted by graduate programs</w:t>
        </w:r>
      </w:hyperlink>
      <w:r w:rsidRPr="5C9CB5FF">
        <w:rPr>
          <w:rFonts w:eastAsiaTheme="minorEastAsia"/>
          <w:color w:val="000000" w:themeColor="text1"/>
          <w:sz w:val="24"/>
          <w:szCs w:val="24"/>
        </w:rPr>
        <w:t>.</w:t>
      </w:r>
    </w:p>
    <w:p w14:paraId="3E27B060" w14:textId="3393FC76" w:rsidR="5C9CB5FF" w:rsidRDefault="5C9CB5FF" w:rsidP="5C9CB5FF">
      <w:pPr>
        <w:ind w:left="720"/>
        <w:rPr>
          <w:rFonts w:eastAsiaTheme="minorEastAsia"/>
          <w:sz w:val="24"/>
          <w:szCs w:val="24"/>
        </w:rPr>
      </w:pPr>
    </w:p>
    <w:sectPr w:rsidR="5C9CB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8376B"/>
    <w:multiLevelType w:val="hybridMultilevel"/>
    <w:tmpl w:val="E5D0FD50"/>
    <w:lvl w:ilvl="0" w:tplc="851021F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8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6E"/>
    <w:rsid w:val="001006AC"/>
    <w:rsid w:val="0019316E"/>
    <w:rsid w:val="00223BF4"/>
    <w:rsid w:val="002B0828"/>
    <w:rsid w:val="00407B12"/>
    <w:rsid w:val="004305D0"/>
    <w:rsid w:val="004C6F76"/>
    <w:rsid w:val="005D7CC2"/>
    <w:rsid w:val="0060063A"/>
    <w:rsid w:val="00721781"/>
    <w:rsid w:val="00A9021F"/>
    <w:rsid w:val="00B01697"/>
    <w:rsid w:val="00C93075"/>
    <w:rsid w:val="00CE076D"/>
    <w:rsid w:val="00E723DD"/>
    <w:rsid w:val="0423360F"/>
    <w:rsid w:val="04649AB6"/>
    <w:rsid w:val="04D2FD92"/>
    <w:rsid w:val="082C6442"/>
    <w:rsid w:val="09072045"/>
    <w:rsid w:val="0DA2C76C"/>
    <w:rsid w:val="13CF18B0"/>
    <w:rsid w:val="18196240"/>
    <w:rsid w:val="18ECCF64"/>
    <w:rsid w:val="1E6D3714"/>
    <w:rsid w:val="1E7FD4E6"/>
    <w:rsid w:val="1EB2B63F"/>
    <w:rsid w:val="212E4CAB"/>
    <w:rsid w:val="28FBD193"/>
    <w:rsid w:val="294B9A57"/>
    <w:rsid w:val="2A11E9EE"/>
    <w:rsid w:val="2D1C0B3C"/>
    <w:rsid w:val="2FA883D5"/>
    <w:rsid w:val="31DF828C"/>
    <w:rsid w:val="35F631A1"/>
    <w:rsid w:val="3DE750A1"/>
    <w:rsid w:val="46F8A4D8"/>
    <w:rsid w:val="4AE362D4"/>
    <w:rsid w:val="4C7A77A7"/>
    <w:rsid w:val="533BC316"/>
    <w:rsid w:val="5A7529BA"/>
    <w:rsid w:val="5C9CB5FF"/>
    <w:rsid w:val="6731A7C4"/>
    <w:rsid w:val="6AC1F731"/>
    <w:rsid w:val="6D46C2F4"/>
    <w:rsid w:val="76F7737E"/>
    <w:rsid w:val="774C03C5"/>
    <w:rsid w:val="7B77C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AECA"/>
  <w15:chartTrackingRefBased/>
  <w15:docId w15:val="{454147FF-6375-4E09-9E0A-F96CA53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1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31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wlax.edu/graduate/academicpolicies/academiceligibili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talog.uwlax.edu/graduate/academicpolicies/academiceligibilit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talog.uwlax.edu/graduate/academicpolicies/academiceligi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377D32E7D44BB5F5291D63202E44" ma:contentTypeVersion="16" ma:contentTypeDescription="Create a new document." ma:contentTypeScope="" ma:versionID="91b3c1b043214379d72bd308ed97cd5d">
  <xsd:schema xmlns:xsd="http://www.w3.org/2001/XMLSchema" xmlns:xs="http://www.w3.org/2001/XMLSchema" xmlns:p="http://schemas.microsoft.com/office/2006/metadata/properties" xmlns:ns2="3e36ce23-0be2-4826-92a2-fcdfa27089aa" xmlns:ns3="415d5847-38bf-44f4-a73d-75f14d832220" targetNamespace="http://schemas.microsoft.com/office/2006/metadata/properties" ma:root="true" ma:fieldsID="fa1a58ee7472b985a3c87970c224d7f7" ns2:_="" ns3:_="">
    <xsd:import namespace="3e36ce23-0be2-4826-92a2-fcdfa27089aa"/>
    <xsd:import namespace="415d5847-38bf-44f4-a73d-75f14d832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ce23-0be2-4826-92a2-fcdfa2708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d5847-38bf-44f4-a73d-75f14d832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7a2902-4ec9-48e1-90e6-ad829d422805}" ma:internalName="TaxCatchAll" ma:showField="CatchAllData" ma:web="415d5847-38bf-44f4-a73d-75f14d832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6ce23-0be2-4826-92a2-fcdfa27089aa">
      <Terms xmlns="http://schemas.microsoft.com/office/infopath/2007/PartnerControls"/>
    </lcf76f155ced4ddcb4097134ff3c332f>
    <TaxCatchAll xmlns="415d5847-38bf-44f4-a73d-75f14d8322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748FA-A903-48B2-B07F-23465F9C8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ce23-0be2-4826-92a2-fcdfa27089aa"/>
    <ds:schemaRef ds:uri="415d5847-38bf-44f4-a73d-75f14d832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6E9D9-DBD8-4816-A1B5-76E11483D74E}">
  <ds:schemaRefs>
    <ds:schemaRef ds:uri="http://schemas.microsoft.com/office/2006/metadata/properties"/>
    <ds:schemaRef ds:uri="http://schemas.microsoft.com/office/infopath/2007/PartnerControls"/>
    <ds:schemaRef ds:uri="3e36ce23-0be2-4826-92a2-fcdfa27089aa"/>
    <ds:schemaRef ds:uri="415d5847-38bf-44f4-a73d-75f14d832220"/>
  </ds:schemaRefs>
</ds:datastoreItem>
</file>

<file path=customXml/itemProps3.xml><?xml version="1.0" encoding="utf-8"?>
<ds:datastoreItem xmlns:ds="http://schemas.openxmlformats.org/officeDocument/2006/customXml" ds:itemID="{F2DD3C1D-7485-4D2A-8758-64C143E17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Pember</dc:creator>
  <cp:keywords/>
  <dc:description/>
  <cp:lastModifiedBy>Emily Whitney</cp:lastModifiedBy>
  <cp:revision>2</cp:revision>
  <dcterms:created xsi:type="dcterms:W3CDTF">2025-05-22T16:39:00Z</dcterms:created>
  <dcterms:modified xsi:type="dcterms:W3CDTF">2025-05-22T16:39:00Z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0x010100F34C377D32E7D44BB5F5291D63202E44</vt:lpwstr>
  </property>
  <property fmtid="{D5CDD505-2E9C-101B-9397-08002B2CF9AE}" pid="3" name="MediaServiceImageTags">
    <vt:lpwstr/>
  </property>
</Properties>
</file>