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3131" w14:textId="77777777" w:rsidR="006D6522" w:rsidRPr="00BE0EDD" w:rsidRDefault="006D6522" w:rsidP="0010321F">
      <w:pPr>
        <w:jc w:val="center"/>
        <w:rPr>
          <w:rFonts w:cstheme="minorHAnsi"/>
          <w:b/>
          <w:bCs/>
          <w:sz w:val="22"/>
          <w:szCs w:val="22"/>
        </w:rPr>
      </w:pPr>
    </w:p>
    <w:p w14:paraId="7DCCB65E" w14:textId="7007B2C5" w:rsidR="002D55D0" w:rsidRPr="002202D6" w:rsidRDefault="00540447" w:rsidP="002202D6">
      <w:pPr>
        <w:pStyle w:val="Title"/>
      </w:pPr>
      <w:r w:rsidRPr="002202D6">
        <w:t>University of Wisconsin-La Crosse</w:t>
      </w:r>
    </w:p>
    <w:p w14:paraId="335C0D95" w14:textId="1A1E520A" w:rsidR="00540447" w:rsidRPr="002202D6" w:rsidRDefault="00540447" w:rsidP="002202D6">
      <w:pPr>
        <w:pStyle w:val="Title"/>
      </w:pPr>
      <w:r w:rsidRPr="002202D6">
        <w:t>Institutional Biosafety Committee (IBC)</w:t>
      </w:r>
    </w:p>
    <w:p w14:paraId="219639A2" w14:textId="0E259808" w:rsidR="00540447" w:rsidRPr="00BE0EDD" w:rsidRDefault="00BE25ED" w:rsidP="0010321F">
      <w:pPr>
        <w:jc w:val="center"/>
        <w:rPr>
          <w:rFonts w:cstheme="minorHAnsi"/>
          <w:sz w:val="22"/>
          <w:szCs w:val="22"/>
        </w:rPr>
      </w:pPr>
      <w:r w:rsidRPr="00BE0EDD">
        <w:rPr>
          <w:rFonts w:cstheme="minorHAnsi"/>
          <w:sz w:val="22"/>
          <w:szCs w:val="22"/>
        </w:rPr>
        <w:t>Committee Meeting</w:t>
      </w:r>
      <w:r w:rsidR="0010321F" w:rsidRPr="00BE0EDD">
        <w:rPr>
          <w:rFonts w:cstheme="minorHAnsi"/>
          <w:sz w:val="22"/>
          <w:szCs w:val="22"/>
        </w:rPr>
        <w:t xml:space="preserve"> </w:t>
      </w:r>
      <w:r w:rsidR="00C767B0">
        <w:rPr>
          <w:rFonts w:cstheme="minorHAnsi"/>
          <w:sz w:val="22"/>
          <w:szCs w:val="22"/>
        </w:rPr>
        <w:t>Minutes</w:t>
      </w:r>
    </w:p>
    <w:p w14:paraId="58B82AF6" w14:textId="5E5EB6D8" w:rsidR="00FF54DA" w:rsidRPr="00BF75F8" w:rsidRDefault="00CD5153" w:rsidP="00BF75F8">
      <w:pPr>
        <w:jc w:val="center"/>
        <w:rPr>
          <w:rFonts w:cstheme="minorHAnsi"/>
          <w:sz w:val="22"/>
          <w:szCs w:val="22"/>
        </w:rPr>
      </w:pPr>
      <w:r>
        <w:rPr>
          <w:rFonts w:cstheme="minorHAnsi"/>
          <w:sz w:val="22"/>
          <w:szCs w:val="22"/>
        </w:rPr>
        <w:t>Mon</w:t>
      </w:r>
      <w:r w:rsidR="00447C3C" w:rsidRPr="00E538C7">
        <w:rPr>
          <w:rFonts w:cstheme="minorHAnsi"/>
          <w:sz w:val="22"/>
          <w:szCs w:val="22"/>
        </w:rPr>
        <w:t>day</w:t>
      </w:r>
      <w:r w:rsidR="005E3515" w:rsidRPr="00E538C7">
        <w:rPr>
          <w:rFonts w:cstheme="minorHAnsi"/>
          <w:sz w:val="22"/>
          <w:szCs w:val="22"/>
        </w:rPr>
        <w:t xml:space="preserve">, </w:t>
      </w:r>
      <w:r>
        <w:rPr>
          <w:rFonts w:cstheme="minorHAnsi"/>
          <w:sz w:val="22"/>
          <w:szCs w:val="22"/>
        </w:rPr>
        <w:t>April 13</w:t>
      </w:r>
      <w:r w:rsidR="005E3515" w:rsidRPr="00E538C7">
        <w:rPr>
          <w:rFonts w:cstheme="minorHAnsi"/>
          <w:sz w:val="22"/>
          <w:szCs w:val="22"/>
        </w:rPr>
        <w:t>, 202</w:t>
      </w:r>
      <w:r>
        <w:rPr>
          <w:rFonts w:cstheme="minorHAnsi"/>
          <w:sz w:val="22"/>
          <w:szCs w:val="22"/>
        </w:rPr>
        <w:t>6</w:t>
      </w:r>
      <w:r w:rsidR="00BE25ED" w:rsidRPr="00E538C7">
        <w:rPr>
          <w:rFonts w:cstheme="minorHAnsi"/>
          <w:sz w:val="22"/>
          <w:szCs w:val="22"/>
        </w:rPr>
        <w:t xml:space="preserve">, </w:t>
      </w:r>
      <w:r w:rsidR="005E3515" w:rsidRPr="00E538C7">
        <w:rPr>
          <w:rFonts w:cstheme="minorHAnsi"/>
          <w:sz w:val="22"/>
          <w:szCs w:val="22"/>
        </w:rPr>
        <w:t xml:space="preserve">at </w:t>
      </w:r>
      <w:r w:rsidR="00184323">
        <w:rPr>
          <w:rFonts w:cstheme="minorHAnsi"/>
          <w:sz w:val="22"/>
          <w:szCs w:val="22"/>
        </w:rPr>
        <w:t>8</w:t>
      </w:r>
      <w:r w:rsidR="007B59F5" w:rsidRPr="00E538C7">
        <w:rPr>
          <w:rFonts w:cstheme="minorHAnsi"/>
          <w:sz w:val="22"/>
          <w:szCs w:val="22"/>
        </w:rPr>
        <w:t xml:space="preserve"> </w:t>
      </w:r>
      <w:r w:rsidR="006221EF">
        <w:rPr>
          <w:rFonts w:cstheme="minorHAnsi"/>
          <w:sz w:val="22"/>
          <w:szCs w:val="22"/>
        </w:rPr>
        <w:t>a</w:t>
      </w:r>
      <w:r w:rsidR="00447C3C" w:rsidRPr="00E538C7">
        <w:rPr>
          <w:rFonts w:cstheme="minorHAnsi"/>
          <w:sz w:val="22"/>
          <w:szCs w:val="22"/>
        </w:rPr>
        <w:t>.</w:t>
      </w:r>
      <w:r w:rsidR="005E3515" w:rsidRPr="00E538C7">
        <w:rPr>
          <w:rFonts w:cstheme="minorHAnsi"/>
          <w:sz w:val="22"/>
          <w:szCs w:val="22"/>
        </w:rPr>
        <w:t>m</w:t>
      </w:r>
      <w:r w:rsidR="00447C3C" w:rsidRPr="000011E9">
        <w:rPr>
          <w:rFonts w:cstheme="minorHAnsi"/>
          <w:sz w:val="22"/>
          <w:szCs w:val="22"/>
        </w:rPr>
        <w:t>.</w:t>
      </w:r>
      <w:r w:rsidR="00BE25ED" w:rsidRPr="000011E9">
        <w:rPr>
          <w:rFonts w:cstheme="minorHAnsi"/>
          <w:sz w:val="22"/>
          <w:szCs w:val="22"/>
        </w:rPr>
        <w:t xml:space="preserve">, </w:t>
      </w:r>
      <w:r>
        <w:rPr>
          <w:rFonts w:cstheme="minorHAnsi"/>
          <w:sz w:val="22"/>
          <w:szCs w:val="22"/>
        </w:rPr>
        <w:t>228 Graff Main</w:t>
      </w:r>
      <w:r w:rsidR="006221EF">
        <w:rPr>
          <w:rFonts w:cstheme="minorHAnsi"/>
          <w:sz w:val="22"/>
          <w:szCs w:val="22"/>
        </w:rPr>
        <w:t xml:space="preserve"> </w:t>
      </w:r>
      <w:r w:rsidR="005E3515">
        <w:rPr>
          <w:rFonts w:cstheme="minorHAnsi"/>
          <w:sz w:val="22"/>
          <w:szCs w:val="22"/>
        </w:rPr>
        <w:t>Hall</w:t>
      </w:r>
      <w:r w:rsidR="005A5249">
        <w:rPr>
          <w:rFonts w:cstheme="minorHAnsi"/>
          <w:sz w:val="22"/>
          <w:szCs w:val="22"/>
        </w:rPr>
        <w:t xml:space="preserve"> &amp; </w:t>
      </w:r>
      <w:r w:rsidR="00C94823">
        <w:rPr>
          <w:rFonts w:cstheme="minorHAnsi"/>
          <w:sz w:val="22"/>
          <w:szCs w:val="22"/>
        </w:rPr>
        <w:t>Zoom</w:t>
      </w:r>
    </w:p>
    <w:p w14:paraId="70BF2258" w14:textId="77777777" w:rsidR="00104E99" w:rsidRPr="00BE0EDD" w:rsidRDefault="00104E99" w:rsidP="006B5CD0">
      <w:pPr>
        <w:jc w:val="center"/>
        <w:rPr>
          <w:rFonts w:cstheme="minorHAnsi"/>
          <w:sz w:val="22"/>
          <w:szCs w:val="22"/>
        </w:rPr>
      </w:pPr>
    </w:p>
    <w:p w14:paraId="670AB5B9" w14:textId="77777777" w:rsidR="002202D6" w:rsidRPr="002202D6" w:rsidRDefault="00810632" w:rsidP="002202D6">
      <w:pPr>
        <w:pStyle w:val="Heading1"/>
      </w:pPr>
      <w:r w:rsidRPr="002202D6">
        <w:t xml:space="preserve">Members Present: </w:t>
      </w:r>
    </w:p>
    <w:p w14:paraId="1B3AC621" w14:textId="39936807" w:rsidR="00810632" w:rsidRPr="00BF75F8" w:rsidRDefault="00810632" w:rsidP="00C767B0">
      <w:pPr>
        <w:spacing w:after="120"/>
        <w:rPr>
          <w:rFonts w:cstheme="minorHAnsi"/>
          <w:sz w:val="22"/>
          <w:szCs w:val="22"/>
        </w:rPr>
      </w:pPr>
      <w:r w:rsidRPr="00BF75F8">
        <w:rPr>
          <w:rFonts w:cstheme="minorHAnsi"/>
          <w:sz w:val="22"/>
          <w:szCs w:val="22"/>
        </w:rPr>
        <w:t xml:space="preserve">S. Liu (IBC Coordinator); P. Schweiger (Chair); S. Colavito; </w:t>
      </w:r>
      <w:r w:rsidR="00927797" w:rsidRPr="00BF75F8">
        <w:rPr>
          <w:rFonts w:cstheme="minorHAnsi"/>
          <w:sz w:val="22"/>
          <w:szCs w:val="22"/>
        </w:rPr>
        <w:t>W. Schwan</w:t>
      </w:r>
      <w:r w:rsidRPr="00BF75F8">
        <w:rPr>
          <w:rFonts w:cstheme="minorHAnsi"/>
          <w:sz w:val="22"/>
          <w:szCs w:val="22"/>
        </w:rPr>
        <w:t>; J. May; K. Fredricks</w:t>
      </w:r>
      <w:r w:rsidR="00757A2E" w:rsidRPr="00BF75F8">
        <w:rPr>
          <w:rFonts w:cstheme="minorHAnsi"/>
          <w:sz w:val="22"/>
          <w:szCs w:val="22"/>
        </w:rPr>
        <w:t>, B. Bhattacharyya</w:t>
      </w:r>
    </w:p>
    <w:p w14:paraId="2BD705B0" w14:textId="77777777" w:rsidR="002202D6" w:rsidRDefault="00810632" w:rsidP="002202D6">
      <w:pPr>
        <w:pStyle w:val="Heading1"/>
      </w:pPr>
      <w:r w:rsidRPr="00BF75F8">
        <w:t xml:space="preserve">Members Absent: </w:t>
      </w:r>
    </w:p>
    <w:p w14:paraId="249ACD5C" w14:textId="1307C32B" w:rsidR="00810632" w:rsidRPr="00BF75F8" w:rsidRDefault="00810632" w:rsidP="00C767B0">
      <w:pPr>
        <w:spacing w:after="120"/>
        <w:rPr>
          <w:rFonts w:cstheme="minorHAnsi"/>
          <w:sz w:val="22"/>
          <w:szCs w:val="22"/>
        </w:rPr>
      </w:pPr>
      <w:r w:rsidRPr="00BF75F8">
        <w:rPr>
          <w:rFonts w:cstheme="minorHAnsi"/>
          <w:sz w:val="22"/>
          <w:szCs w:val="22"/>
        </w:rPr>
        <w:t>S. Grunwald (</w:t>
      </w:r>
      <w:r w:rsidRPr="00BF75F8">
        <w:rPr>
          <w:rFonts w:cstheme="minorHAnsi"/>
          <w:i/>
          <w:iCs/>
          <w:sz w:val="22"/>
          <w:szCs w:val="22"/>
        </w:rPr>
        <w:t>ad-hoc</w:t>
      </w:r>
      <w:r w:rsidRPr="00BF75F8">
        <w:rPr>
          <w:rFonts w:cstheme="minorHAnsi"/>
          <w:sz w:val="22"/>
          <w:szCs w:val="22"/>
        </w:rPr>
        <w:t>); A. Sabin; J. Ellingson</w:t>
      </w:r>
      <w:r w:rsidR="00927797" w:rsidRPr="00BF75F8">
        <w:rPr>
          <w:rFonts w:cstheme="minorHAnsi"/>
          <w:sz w:val="22"/>
          <w:szCs w:val="22"/>
        </w:rPr>
        <w:t>; T. Osmundson</w:t>
      </w:r>
    </w:p>
    <w:p w14:paraId="04BCB7CC" w14:textId="77777777" w:rsidR="002202D6" w:rsidRDefault="00810632" w:rsidP="002202D6">
      <w:pPr>
        <w:pStyle w:val="Heading1"/>
      </w:pPr>
      <w:r w:rsidRPr="00BF75F8">
        <w:t xml:space="preserve">Other Members: </w:t>
      </w:r>
    </w:p>
    <w:p w14:paraId="6459627C" w14:textId="58BA78E4" w:rsidR="00810632" w:rsidRPr="00BF75F8" w:rsidRDefault="00810632" w:rsidP="00C767B0">
      <w:pPr>
        <w:spacing w:after="120"/>
        <w:rPr>
          <w:rFonts w:cstheme="minorHAnsi"/>
          <w:sz w:val="22"/>
          <w:szCs w:val="22"/>
        </w:rPr>
      </w:pPr>
      <w:r w:rsidRPr="00BF75F8">
        <w:rPr>
          <w:rFonts w:cstheme="minorHAnsi"/>
          <w:sz w:val="22"/>
          <w:szCs w:val="22"/>
        </w:rPr>
        <w:t>A. Nowak</w:t>
      </w:r>
    </w:p>
    <w:p w14:paraId="1F0FCB0F" w14:textId="289A651F" w:rsidR="002202D6" w:rsidRDefault="0010321F" w:rsidP="002202D6">
      <w:pPr>
        <w:pStyle w:val="Heading1"/>
      </w:pPr>
      <w:r w:rsidRPr="00BF75F8">
        <w:t>Call</w:t>
      </w:r>
      <w:r w:rsidR="00C767B0" w:rsidRPr="00BF75F8">
        <w:t>ed</w:t>
      </w:r>
      <w:r w:rsidRPr="00BF75F8">
        <w:t xml:space="preserve"> to </w:t>
      </w:r>
      <w:r w:rsidR="00C767B0" w:rsidRPr="00BF75F8">
        <w:t>o</w:t>
      </w:r>
      <w:r w:rsidRPr="00BF75F8">
        <w:t>rder</w:t>
      </w:r>
      <w:r w:rsidR="00C767B0" w:rsidRPr="00BF75F8">
        <w:t xml:space="preserve"> at</w:t>
      </w:r>
      <w:r w:rsidR="002202D6">
        <w:t>:</w:t>
      </w:r>
    </w:p>
    <w:p w14:paraId="4E6B1B4A" w14:textId="7ECD24F5" w:rsidR="006D6522" w:rsidRPr="00BF75F8" w:rsidRDefault="00C767B0" w:rsidP="002202D6">
      <w:pPr>
        <w:spacing w:after="120"/>
        <w:rPr>
          <w:rFonts w:cstheme="minorHAnsi"/>
          <w:sz w:val="22"/>
          <w:szCs w:val="22"/>
        </w:rPr>
      </w:pPr>
      <w:r w:rsidRPr="00BF75F8">
        <w:rPr>
          <w:rFonts w:cstheme="minorHAnsi"/>
          <w:sz w:val="22"/>
          <w:szCs w:val="22"/>
        </w:rPr>
        <w:t>8:00 am by IBC Chair (P. Schweiger).</w:t>
      </w:r>
    </w:p>
    <w:p w14:paraId="77EE0D1C" w14:textId="77777777" w:rsidR="002202D6" w:rsidRDefault="00C767B0" w:rsidP="002202D6">
      <w:pPr>
        <w:pStyle w:val="Heading1"/>
      </w:pPr>
      <w:r w:rsidRPr="00BF75F8">
        <w:t>Motion to approve the m</w:t>
      </w:r>
      <w:r w:rsidR="0010321F" w:rsidRPr="00BF75F8">
        <w:t>inutes</w:t>
      </w:r>
      <w:r w:rsidR="002202D6">
        <w:t>:</w:t>
      </w:r>
    </w:p>
    <w:p w14:paraId="6DF72FA5" w14:textId="706272A5" w:rsidR="006D6522" w:rsidRPr="00BF75F8" w:rsidRDefault="002202D6" w:rsidP="00C767B0">
      <w:pPr>
        <w:spacing w:after="120"/>
        <w:rPr>
          <w:rFonts w:cstheme="minorHAnsi"/>
          <w:sz w:val="22"/>
          <w:szCs w:val="22"/>
        </w:rPr>
      </w:pPr>
      <w:r>
        <w:rPr>
          <w:rFonts w:cstheme="minorHAnsi"/>
          <w:sz w:val="22"/>
          <w:szCs w:val="22"/>
        </w:rPr>
        <w:t>F</w:t>
      </w:r>
      <w:r w:rsidR="0010321F" w:rsidRPr="00BF75F8">
        <w:rPr>
          <w:rFonts w:cstheme="minorHAnsi"/>
          <w:sz w:val="22"/>
          <w:szCs w:val="22"/>
        </w:rPr>
        <w:t xml:space="preserve">rom </w:t>
      </w:r>
      <w:r w:rsidR="00C767B0" w:rsidRPr="00BF75F8">
        <w:rPr>
          <w:rFonts w:cstheme="minorHAnsi"/>
          <w:sz w:val="22"/>
          <w:szCs w:val="22"/>
        </w:rPr>
        <w:t>the pr</w:t>
      </w:r>
      <w:r w:rsidR="0010321F" w:rsidRPr="00BF75F8">
        <w:rPr>
          <w:rFonts w:cstheme="minorHAnsi"/>
          <w:sz w:val="22"/>
          <w:szCs w:val="22"/>
        </w:rPr>
        <w:t xml:space="preserve">evious </w:t>
      </w:r>
      <w:r w:rsidR="00C767B0" w:rsidRPr="00BF75F8">
        <w:rPr>
          <w:rFonts w:cstheme="minorHAnsi"/>
          <w:sz w:val="22"/>
          <w:szCs w:val="22"/>
        </w:rPr>
        <w:t>IBC m</w:t>
      </w:r>
      <w:r w:rsidR="0010321F" w:rsidRPr="00BF75F8">
        <w:rPr>
          <w:rFonts w:cstheme="minorHAnsi"/>
          <w:sz w:val="22"/>
          <w:szCs w:val="22"/>
        </w:rPr>
        <w:t>eeting</w:t>
      </w:r>
      <w:r w:rsidR="00C767B0" w:rsidRPr="00BF75F8">
        <w:rPr>
          <w:rFonts w:cstheme="minorHAnsi"/>
          <w:sz w:val="22"/>
          <w:szCs w:val="22"/>
        </w:rPr>
        <w:t xml:space="preserve"> on </w:t>
      </w:r>
      <w:r w:rsidR="003E33DC" w:rsidRPr="00BF75F8">
        <w:rPr>
          <w:rFonts w:cstheme="minorHAnsi"/>
          <w:sz w:val="22"/>
          <w:szCs w:val="22"/>
        </w:rPr>
        <w:t xml:space="preserve">May 8, </w:t>
      </w:r>
      <w:r w:rsidR="006D6522" w:rsidRPr="00BF75F8">
        <w:rPr>
          <w:rFonts w:cstheme="minorHAnsi"/>
          <w:sz w:val="22"/>
          <w:szCs w:val="22"/>
        </w:rPr>
        <w:t>202</w:t>
      </w:r>
      <w:r w:rsidR="00BD17EC" w:rsidRPr="00BF75F8">
        <w:rPr>
          <w:rFonts w:cstheme="minorHAnsi"/>
          <w:sz w:val="22"/>
          <w:szCs w:val="22"/>
        </w:rPr>
        <w:t>5</w:t>
      </w:r>
      <w:r w:rsidR="00771BCA" w:rsidRPr="00BF75F8">
        <w:rPr>
          <w:rFonts w:cstheme="minorHAnsi"/>
          <w:sz w:val="22"/>
          <w:szCs w:val="22"/>
        </w:rPr>
        <w:t>,</w:t>
      </w:r>
      <w:r w:rsidR="00C767B0" w:rsidRPr="00BF75F8">
        <w:rPr>
          <w:rFonts w:cstheme="minorHAnsi"/>
          <w:sz w:val="22"/>
          <w:szCs w:val="22"/>
        </w:rPr>
        <w:t xml:space="preserve"> by </w:t>
      </w:r>
      <w:r w:rsidR="00927797" w:rsidRPr="00BF75F8">
        <w:rPr>
          <w:rFonts w:cstheme="minorHAnsi"/>
          <w:sz w:val="22"/>
          <w:szCs w:val="22"/>
        </w:rPr>
        <w:t>W. Schwan</w:t>
      </w:r>
      <w:r w:rsidR="00C767B0" w:rsidRPr="00BF75F8">
        <w:rPr>
          <w:rFonts w:cstheme="minorHAnsi"/>
          <w:sz w:val="22"/>
          <w:szCs w:val="22"/>
        </w:rPr>
        <w:t>, seconded by</w:t>
      </w:r>
      <w:r w:rsidR="00AE7D94" w:rsidRPr="00BF75F8">
        <w:rPr>
          <w:rFonts w:cstheme="minorHAnsi"/>
          <w:sz w:val="22"/>
          <w:szCs w:val="22"/>
        </w:rPr>
        <w:t xml:space="preserve"> K. Fredricks</w:t>
      </w:r>
      <w:r w:rsidR="00C767B0" w:rsidRPr="00BF75F8">
        <w:rPr>
          <w:rFonts w:cstheme="minorHAnsi"/>
          <w:sz w:val="22"/>
          <w:szCs w:val="22"/>
        </w:rPr>
        <w:t xml:space="preserve"> (</w:t>
      </w:r>
      <w:r w:rsidR="00771BCA" w:rsidRPr="00BF75F8">
        <w:rPr>
          <w:rFonts w:cstheme="minorHAnsi"/>
          <w:sz w:val="22"/>
          <w:szCs w:val="22"/>
        </w:rPr>
        <w:t>7</w:t>
      </w:r>
      <w:r w:rsidR="00C767B0" w:rsidRPr="00BF75F8">
        <w:rPr>
          <w:rFonts w:cstheme="minorHAnsi"/>
          <w:sz w:val="22"/>
          <w:szCs w:val="22"/>
        </w:rPr>
        <w:t xml:space="preserve"> approved, </w:t>
      </w:r>
      <w:r w:rsidR="00771BCA" w:rsidRPr="00BF75F8">
        <w:rPr>
          <w:rFonts w:cstheme="minorHAnsi"/>
          <w:sz w:val="22"/>
          <w:szCs w:val="22"/>
        </w:rPr>
        <w:t>0</w:t>
      </w:r>
      <w:r w:rsidR="00C767B0" w:rsidRPr="00BF75F8">
        <w:rPr>
          <w:rFonts w:cstheme="minorHAnsi"/>
          <w:sz w:val="22"/>
          <w:szCs w:val="22"/>
        </w:rPr>
        <w:t xml:space="preserve"> disapproved, </w:t>
      </w:r>
      <w:r w:rsidR="00771BCA" w:rsidRPr="00BF75F8">
        <w:rPr>
          <w:rFonts w:cstheme="minorHAnsi"/>
          <w:sz w:val="22"/>
          <w:szCs w:val="22"/>
        </w:rPr>
        <w:t>0</w:t>
      </w:r>
      <w:r w:rsidR="00C767B0" w:rsidRPr="00BF75F8">
        <w:rPr>
          <w:rFonts w:cstheme="minorHAnsi"/>
          <w:sz w:val="22"/>
          <w:szCs w:val="22"/>
        </w:rPr>
        <w:t xml:space="preserve"> abstained). </w:t>
      </w:r>
      <w:r w:rsidR="0049344C" w:rsidRPr="00BF75F8">
        <w:rPr>
          <w:rFonts w:cstheme="minorHAnsi"/>
          <w:sz w:val="22"/>
          <w:szCs w:val="22"/>
        </w:rPr>
        <w:t>No discussion.</w:t>
      </w:r>
    </w:p>
    <w:p w14:paraId="69BE117C" w14:textId="015F72E2" w:rsidR="008D55A2" w:rsidRPr="00BC7016" w:rsidRDefault="00621602" w:rsidP="00257B36">
      <w:pPr>
        <w:pStyle w:val="ListParagraph"/>
        <w:numPr>
          <w:ilvl w:val="0"/>
          <w:numId w:val="1"/>
        </w:numPr>
        <w:spacing w:after="120"/>
        <w:rPr>
          <w:rFonts w:cstheme="minorHAnsi"/>
        </w:rPr>
      </w:pPr>
      <w:r w:rsidRPr="00BC7016">
        <w:rPr>
          <w:rFonts w:cstheme="minorHAnsi"/>
        </w:rPr>
        <w:t>Announcements</w:t>
      </w:r>
    </w:p>
    <w:p w14:paraId="062EEFF7" w14:textId="637996E2" w:rsidR="002F15EF" w:rsidRDefault="00FA17FE" w:rsidP="002F15EF">
      <w:pPr>
        <w:pStyle w:val="ListParagraph"/>
        <w:numPr>
          <w:ilvl w:val="1"/>
          <w:numId w:val="1"/>
        </w:numPr>
        <w:spacing w:after="120"/>
        <w:rPr>
          <w:rFonts w:cstheme="minorHAnsi"/>
        </w:rPr>
      </w:pPr>
      <w:r>
        <w:rPr>
          <w:rFonts w:cstheme="minorHAnsi"/>
        </w:rPr>
        <w:t>Six</w:t>
      </w:r>
      <w:r w:rsidR="00184323" w:rsidRPr="00FA17FE">
        <w:rPr>
          <w:rFonts w:cstheme="minorHAnsi"/>
        </w:rPr>
        <w:t xml:space="preserve"> new</w:t>
      </w:r>
      <w:r w:rsidR="001331C0" w:rsidRPr="00FA17FE">
        <w:rPr>
          <w:rFonts w:cstheme="minorHAnsi"/>
        </w:rPr>
        <w:t xml:space="preserve"> </w:t>
      </w:r>
      <w:r w:rsidR="003A3957" w:rsidRPr="00FA17FE">
        <w:rPr>
          <w:rFonts w:cstheme="minorHAnsi"/>
        </w:rPr>
        <w:t>protocol</w:t>
      </w:r>
      <w:r w:rsidR="00982546" w:rsidRPr="00FA17FE">
        <w:rPr>
          <w:rFonts w:cstheme="minorHAnsi"/>
        </w:rPr>
        <w:t>s</w:t>
      </w:r>
      <w:r w:rsidR="00184323" w:rsidRPr="00FA17FE">
        <w:rPr>
          <w:rFonts w:cstheme="minorHAnsi"/>
        </w:rPr>
        <w:t xml:space="preserve"> ha</w:t>
      </w:r>
      <w:r w:rsidR="00982546" w:rsidRPr="00FA17FE">
        <w:rPr>
          <w:rFonts w:cstheme="minorHAnsi"/>
        </w:rPr>
        <w:t>ve</w:t>
      </w:r>
      <w:r w:rsidR="001331C0" w:rsidRPr="00172CF4">
        <w:rPr>
          <w:rFonts w:cstheme="minorHAnsi"/>
        </w:rPr>
        <w:t xml:space="preserve"> been submitted for review</w:t>
      </w:r>
      <w:r w:rsidR="00960319">
        <w:rPr>
          <w:rFonts w:cstheme="minorHAnsi"/>
        </w:rPr>
        <w:t xml:space="preserve"> and been approved via Designated Member Review</w:t>
      </w:r>
      <w:r w:rsidR="00F60242" w:rsidRPr="00172CF4">
        <w:rPr>
          <w:rFonts w:cstheme="minorHAnsi"/>
        </w:rPr>
        <w:t xml:space="preserve"> </w:t>
      </w:r>
      <w:r w:rsidR="003A3957" w:rsidRPr="003E125B">
        <w:rPr>
          <w:rFonts w:cstheme="minorHAnsi"/>
        </w:rPr>
        <w:t xml:space="preserve">between </w:t>
      </w:r>
      <w:r w:rsidR="00184323">
        <w:rPr>
          <w:rFonts w:cstheme="minorHAnsi"/>
        </w:rPr>
        <w:t>M</w:t>
      </w:r>
      <w:r w:rsidR="00CD5153">
        <w:rPr>
          <w:rFonts w:cstheme="minorHAnsi"/>
        </w:rPr>
        <w:t>ay 2</w:t>
      </w:r>
      <w:r w:rsidR="003E125B" w:rsidRPr="003E125B">
        <w:rPr>
          <w:rFonts w:cstheme="minorHAnsi"/>
        </w:rPr>
        <w:t>, 2025</w:t>
      </w:r>
      <w:r w:rsidR="003A3957" w:rsidRPr="003E125B">
        <w:rPr>
          <w:rFonts w:cstheme="minorHAnsi"/>
        </w:rPr>
        <w:t xml:space="preserve">, and </w:t>
      </w:r>
      <w:r w:rsidR="00CD5153">
        <w:rPr>
          <w:rFonts w:cstheme="minorHAnsi"/>
        </w:rPr>
        <w:t>April</w:t>
      </w:r>
      <w:r w:rsidR="000B3D5F">
        <w:rPr>
          <w:rFonts w:cstheme="minorHAnsi"/>
        </w:rPr>
        <w:t xml:space="preserve"> </w:t>
      </w:r>
      <w:r w:rsidR="00CD5153">
        <w:rPr>
          <w:rFonts w:cstheme="minorHAnsi"/>
        </w:rPr>
        <w:t>6</w:t>
      </w:r>
      <w:r w:rsidR="000B3D5F">
        <w:rPr>
          <w:rFonts w:cstheme="minorHAnsi"/>
        </w:rPr>
        <w:t>,</w:t>
      </w:r>
      <w:r w:rsidR="003A3957" w:rsidRPr="003E125B">
        <w:rPr>
          <w:rFonts w:cstheme="minorHAnsi"/>
        </w:rPr>
        <w:t xml:space="preserve"> 202</w:t>
      </w:r>
      <w:r w:rsidR="00CD5153">
        <w:rPr>
          <w:rFonts w:cstheme="minorHAnsi"/>
        </w:rPr>
        <w:t>6</w:t>
      </w:r>
      <w:r w:rsidR="001331C0">
        <w:rPr>
          <w:rFonts w:cstheme="minorHAnsi"/>
        </w:rPr>
        <w:t>.</w:t>
      </w:r>
    </w:p>
    <w:p w14:paraId="3DBE5150" w14:textId="77777777" w:rsidR="00FA17FE" w:rsidRDefault="00FA17FE" w:rsidP="00CD5153">
      <w:pPr>
        <w:pStyle w:val="ListParagraph"/>
        <w:numPr>
          <w:ilvl w:val="2"/>
          <w:numId w:val="1"/>
        </w:numPr>
        <w:spacing w:after="120"/>
        <w:rPr>
          <w:rFonts w:cstheme="minorHAnsi"/>
        </w:rPr>
      </w:pPr>
      <w:r w:rsidRPr="00FA17FE">
        <w:rPr>
          <w:rFonts w:cstheme="minorHAnsi"/>
          <w:b/>
          <w:bCs/>
        </w:rPr>
        <w:t>AY-25-08</w:t>
      </w:r>
      <w:r>
        <w:rPr>
          <w:rFonts w:cstheme="minorHAnsi"/>
        </w:rPr>
        <w:t>: Alder Yu</w:t>
      </w:r>
    </w:p>
    <w:p w14:paraId="11ED547F" w14:textId="4469215C" w:rsidR="00FA17FE" w:rsidRPr="00FD466D" w:rsidRDefault="00CD5153" w:rsidP="00FA17FE">
      <w:pPr>
        <w:pStyle w:val="ListParagraph"/>
        <w:numPr>
          <w:ilvl w:val="3"/>
          <w:numId w:val="1"/>
        </w:numPr>
        <w:spacing w:after="120"/>
        <w:rPr>
          <w:rFonts w:cstheme="minorHAnsi"/>
        </w:rPr>
      </w:pPr>
      <w:r>
        <w:rPr>
          <w:rFonts w:cstheme="minorHAnsi"/>
        </w:rPr>
        <w:t>Protocol Title</w:t>
      </w:r>
      <w:r w:rsidR="00FA17FE">
        <w:rPr>
          <w:rFonts w:cstheme="minorHAnsi"/>
        </w:rPr>
        <w:t xml:space="preserve">: </w:t>
      </w:r>
      <w:r w:rsidR="00EB5268" w:rsidRPr="005A668C">
        <w:rPr>
          <w:rFonts w:cstheme="minorHAnsi"/>
          <w:i/>
          <w:iCs/>
        </w:rPr>
        <w:t>Rhythmicity in the Drosophila Commensal Microbiome</w:t>
      </w:r>
    </w:p>
    <w:p w14:paraId="52F0AE1E" w14:textId="08237E3E" w:rsidR="00FD466D" w:rsidRDefault="00FD466D" w:rsidP="00FA17FE">
      <w:pPr>
        <w:pStyle w:val="ListParagraph"/>
        <w:numPr>
          <w:ilvl w:val="3"/>
          <w:numId w:val="1"/>
        </w:numPr>
        <w:spacing w:after="120"/>
        <w:rPr>
          <w:rFonts w:cstheme="minorHAnsi"/>
        </w:rPr>
      </w:pPr>
      <w:r>
        <w:rPr>
          <w:rFonts w:cstheme="minorHAnsi"/>
        </w:rPr>
        <w:t>Includes: Microorganisms/Viruses/Prions; Vertebrate/Invertebrate Animals</w:t>
      </w:r>
    </w:p>
    <w:p w14:paraId="3D0FA5AB" w14:textId="4369466A" w:rsidR="00886CB0" w:rsidRDefault="00FA17FE" w:rsidP="00FA17FE">
      <w:pPr>
        <w:pStyle w:val="ListParagraph"/>
        <w:numPr>
          <w:ilvl w:val="3"/>
          <w:numId w:val="1"/>
        </w:numPr>
        <w:spacing w:after="120"/>
        <w:rPr>
          <w:rFonts w:cstheme="minorHAnsi"/>
        </w:rPr>
      </w:pPr>
      <w:r>
        <w:rPr>
          <w:rFonts w:cstheme="minorHAnsi"/>
        </w:rPr>
        <w:t>A</w:t>
      </w:r>
      <w:r w:rsidR="00CD5153">
        <w:rPr>
          <w:rFonts w:cstheme="minorHAnsi"/>
        </w:rPr>
        <w:t>pproval (</w:t>
      </w:r>
      <w:r w:rsidR="00A54158">
        <w:rPr>
          <w:rFonts w:cstheme="minorHAnsi"/>
        </w:rPr>
        <w:t>no recombinant material)</w:t>
      </w:r>
      <w:r>
        <w:rPr>
          <w:rFonts w:cstheme="minorHAnsi"/>
        </w:rPr>
        <w:t xml:space="preserve">; </w:t>
      </w:r>
      <w:r w:rsidR="00CD5153">
        <w:rPr>
          <w:rFonts w:cstheme="minorHAnsi"/>
        </w:rPr>
        <w:t>BSL</w:t>
      </w:r>
      <w:r w:rsidR="00CD5153" w:rsidRPr="005B390E">
        <w:rPr>
          <w:rFonts w:cstheme="minorHAnsi"/>
        </w:rPr>
        <w:t>-1</w:t>
      </w:r>
      <w:r w:rsidRPr="00A54158">
        <w:rPr>
          <w:rFonts w:cstheme="minorHAnsi"/>
        </w:rPr>
        <w:t xml:space="preserve">; </w:t>
      </w:r>
      <w:r w:rsidR="00CD5153" w:rsidRPr="00A54158">
        <w:rPr>
          <w:rFonts w:cstheme="minorHAnsi"/>
        </w:rPr>
        <w:t>No</w:t>
      </w:r>
      <w:r w:rsidR="00CD5153">
        <w:rPr>
          <w:rFonts w:cstheme="minorHAnsi"/>
        </w:rPr>
        <w:t xml:space="preserve"> special provisions</w:t>
      </w:r>
    </w:p>
    <w:p w14:paraId="7FD8309A" w14:textId="23D67E24" w:rsidR="00FA17FE" w:rsidRDefault="00FA17FE" w:rsidP="00CD5153">
      <w:pPr>
        <w:pStyle w:val="ListParagraph"/>
        <w:numPr>
          <w:ilvl w:val="2"/>
          <w:numId w:val="1"/>
        </w:numPr>
        <w:spacing w:after="120"/>
        <w:rPr>
          <w:rFonts w:cstheme="minorHAnsi"/>
        </w:rPr>
      </w:pPr>
      <w:r w:rsidRPr="003D1279">
        <w:rPr>
          <w:rFonts w:cstheme="minorHAnsi"/>
          <w:b/>
          <w:bCs/>
        </w:rPr>
        <w:t>TW-25-09</w:t>
      </w:r>
      <w:r>
        <w:rPr>
          <w:rFonts w:cstheme="minorHAnsi"/>
        </w:rPr>
        <w:t>: Todd Weaver</w:t>
      </w:r>
    </w:p>
    <w:p w14:paraId="687F2E53" w14:textId="27122074" w:rsidR="00FA17FE" w:rsidRDefault="00FA17FE" w:rsidP="00FA17FE">
      <w:pPr>
        <w:pStyle w:val="ListParagraph"/>
        <w:numPr>
          <w:ilvl w:val="3"/>
          <w:numId w:val="1"/>
        </w:numPr>
        <w:spacing w:after="120"/>
        <w:rPr>
          <w:rFonts w:cstheme="minorHAnsi"/>
        </w:rPr>
      </w:pPr>
      <w:r>
        <w:rPr>
          <w:rFonts w:cstheme="minorHAnsi"/>
        </w:rPr>
        <w:t xml:space="preserve">Protocol Title: </w:t>
      </w:r>
      <w:r w:rsidR="00EB5268" w:rsidRPr="005A668C">
        <w:rPr>
          <w:rFonts w:cstheme="minorHAnsi"/>
          <w:i/>
          <w:iCs/>
        </w:rPr>
        <w:t>Defining the biochemical impacts of post-translational modification within a cancer-related metabolic enzyme</w:t>
      </w:r>
    </w:p>
    <w:p w14:paraId="51513246" w14:textId="4191C50E" w:rsidR="00FD466D" w:rsidRDefault="00FD466D" w:rsidP="00FA17FE">
      <w:pPr>
        <w:pStyle w:val="ListParagraph"/>
        <w:numPr>
          <w:ilvl w:val="3"/>
          <w:numId w:val="1"/>
        </w:numPr>
        <w:spacing w:after="120"/>
        <w:rPr>
          <w:rFonts w:cstheme="minorHAnsi"/>
        </w:rPr>
      </w:pPr>
      <w:r>
        <w:rPr>
          <w:rFonts w:cstheme="minorHAnsi"/>
        </w:rPr>
        <w:t>Includes: Recombinant Materials; Microorganisms/Viruses/Prions</w:t>
      </w:r>
    </w:p>
    <w:p w14:paraId="20CABE3A" w14:textId="2887524F" w:rsidR="00FA17FE" w:rsidRDefault="00FA17FE" w:rsidP="00FA17FE">
      <w:pPr>
        <w:pStyle w:val="ListParagraph"/>
        <w:numPr>
          <w:ilvl w:val="3"/>
          <w:numId w:val="1"/>
        </w:numPr>
        <w:spacing w:after="120"/>
        <w:rPr>
          <w:rFonts w:cstheme="minorHAnsi"/>
        </w:rPr>
      </w:pPr>
      <w:r w:rsidRPr="00D35DDB">
        <w:rPr>
          <w:rFonts w:cstheme="minorHAnsi"/>
        </w:rPr>
        <w:t>Approval (Section III-</w:t>
      </w:r>
      <w:r w:rsidR="00D35DDB" w:rsidRPr="00D35DDB">
        <w:rPr>
          <w:rFonts w:cstheme="minorHAnsi"/>
        </w:rPr>
        <w:t>F-8</w:t>
      </w:r>
      <w:r w:rsidRPr="00D35DDB">
        <w:rPr>
          <w:rFonts w:cstheme="minorHAnsi"/>
        </w:rPr>
        <w:t>); BSL-1; No special</w:t>
      </w:r>
      <w:r>
        <w:rPr>
          <w:rFonts w:cstheme="minorHAnsi"/>
        </w:rPr>
        <w:t xml:space="preserve"> provisions</w:t>
      </w:r>
    </w:p>
    <w:p w14:paraId="3EE75051" w14:textId="5FE15316" w:rsidR="00FD466D" w:rsidRPr="00FA17FE" w:rsidRDefault="00FD466D" w:rsidP="00FA17FE">
      <w:pPr>
        <w:pStyle w:val="ListParagraph"/>
        <w:numPr>
          <w:ilvl w:val="3"/>
          <w:numId w:val="1"/>
        </w:numPr>
        <w:spacing w:after="120"/>
        <w:rPr>
          <w:rFonts w:cstheme="minorHAnsi"/>
        </w:rPr>
      </w:pPr>
      <w:r>
        <w:rPr>
          <w:rFonts w:cstheme="minorHAnsi"/>
        </w:rPr>
        <w:t>Funded Research: Mayo SEED Grant</w:t>
      </w:r>
    </w:p>
    <w:p w14:paraId="4548B0B5" w14:textId="16741F0F" w:rsidR="00733E8E" w:rsidRDefault="00FA17FE" w:rsidP="00CD5153">
      <w:pPr>
        <w:pStyle w:val="ListParagraph"/>
        <w:numPr>
          <w:ilvl w:val="2"/>
          <w:numId w:val="1"/>
        </w:numPr>
        <w:spacing w:after="120"/>
        <w:rPr>
          <w:rFonts w:cstheme="minorHAnsi"/>
        </w:rPr>
      </w:pPr>
      <w:r w:rsidRPr="00FA17FE">
        <w:rPr>
          <w:rFonts w:cstheme="minorHAnsi"/>
          <w:b/>
          <w:bCs/>
        </w:rPr>
        <w:t>SC-25-10</w:t>
      </w:r>
      <w:r>
        <w:rPr>
          <w:rFonts w:cstheme="minorHAnsi"/>
        </w:rPr>
        <w:t>: Sierra Colavito &amp; Jackie Wisinski</w:t>
      </w:r>
    </w:p>
    <w:p w14:paraId="1B0E34DF" w14:textId="08FAD7BA" w:rsidR="00FA17FE" w:rsidRDefault="00FA17FE" w:rsidP="00FA17FE">
      <w:pPr>
        <w:pStyle w:val="ListParagraph"/>
        <w:numPr>
          <w:ilvl w:val="3"/>
          <w:numId w:val="1"/>
        </w:numPr>
        <w:spacing w:after="120"/>
        <w:rPr>
          <w:rFonts w:cstheme="minorHAnsi"/>
        </w:rPr>
      </w:pPr>
      <w:r>
        <w:rPr>
          <w:rFonts w:cstheme="minorHAnsi"/>
        </w:rPr>
        <w:t>Protocol Title:</w:t>
      </w:r>
      <w:r w:rsidRPr="005A668C">
        <w:rPr>
          <w:rFonts w:cstheme="minorHAnsi"/>
          <w:i/>
          <w:iCs/>
        </w:rPr>
        <w:t xml:space="preserve"> </w:t>
      </w:r>
      <w:r w:rsidR="00EB5268" w:rsidRPr="005A668C">
        <w:rPr>
          <w:rFonts w:cstheme="minorHAnsi"/>
          <w:i/>
          <w:iCs/>
        </w:rPr>
        <w:t>Investigating breast cancer and megakaryocyte interactions</w:t>
      </w:r>
    </w:p>
    <w:p w14:paraId="64FE55F2" w14:textId="5839841A" w:rsidR="00FD466D" w:rsidRDefault="00FD466D" w:rsidP="00FA17FE">
      <w:pPr>
        <w:pStyle w:val="ListParagraph"/>
        <w:numPr>
          <w:ilvl w:val="3"/>
          <w:numId w:val="1"/>
        </w:numPr>
        <w:spacing w:after="120"/>
        <w:rPr>
          <w:rFonts w:cstheme="minorHAnsi"/>
        </w:rPr>
      </w:pPr>
      <w:r>
        <w:rPr>
          <w:rFonts w:cstheme="minorHAnsi"/>
        </w:rPr>
        <w:t>Includes: Tissues/Cell Lines/Blood Products</w:t>
      </w:r>
    </w:p>
    <w:p w14:paraId="4718BCC2" w14:textId="2A783CF1" w:rsidR="00FA17FE" w:rsidRDefault="00FA17FE" w:rsidP="00FA17FE">
      <w:pPr>
        <w:pStyle w:val="ListParagraph"/>
        <w:numPr>
          <w:ilvl w:val="3"/>
          <w:numId w:val="1"/>
        </w:numPr>
        <w:spacing w:after="120"/>
        <w:rPr>
          <w:rFonts w:cstheme="minorHAnsi"/>
        </w:rPr>
      </w:pPr>
      <w:r>
        <w:rPr>
          <w:rFonts w:cstheme="minorHAnsi"/>
        </w:rPr>
        <w:t>Approval (</w:t>
      </w:r>
      <w:r w:rsidR="00A54158">
        <w:rPr>
          <w:rFonts w:cstheme="minorHAnsi"/>
        </w:rPr>
        <w:t>no recombinant material</w:t>
      </w:r>
      <w:r>
        <w:rPr>
          <w:rFonts w:cstheme="minorHAnsi"/>
        </w:rPr>
        <w:t>); BSL-</w:t>
      </w:r>
      <w:r w:rsidR="005B390E" w:rsidRPr="00A54158">
        <w:rPr>
          <w:rFonts w:cstheme="minorHAnsi"/>
        </w:rPr>
        <w:t>2</w:t>
      </w:r>
      <w:r w:rsidRPr="00A54158">
        <w:rPr>
          <w:rFonts w:cstheme="minorHAnsi"/>
        </w:rPr>
        <w:t>; No special</w:t>
      </w:r>
      <w:r>
        <w:rPr>
          <w:rFonts w:cstheme="minorHAnsi"/>
        </w:rPr>
        <w:t xml:space="preserve"> provisions</w:t>
      </w:r>
    </w:p>
    <w:p w14:paraId="27C43F6C" w14:textId="776BFA3E" w:rsidR="00FD466D" w:rsidRPr="00FA17FE" w:rsidRDefault="00FD466D" w:rsidP="00FA17FE">
      <w:pPr>
        <w:pStyle w:val="ListParagraph"/>
        <w:numPr>
          <w:ilvl w:val="3"/>
          <w:numId w:val="1"/>
        </w:numPr>
        <w:spacing w:after="120"/>
        <w:rPr>
          <w:rFonts w:cstheme="minorHAnsi"/>
        </w:rPr>
      </w:pPr>
      <w:r>
        <w:rPr>
          <w:rFonts w:cstheme="minorHAnsi"/>
        </w:rPr>
        <w:t>Funded Research: Mayo SEED Grant</w:t>
      </w:r>
    </w:p>
    <w:p w14:paraId="0A3A9E23" w14:textId="47AC08DF" w:rsidR="00733E8E" w:rsidRDefault="00FA17FE" w:rsidP="00CD5153">
      <w:pPr>
        <w:pStyle w:val="ListParagraph"/>
        <w:numPr>
          <w:ilvl w:val="2"/>
          <w:numId w:val="1"/>
        </w:numPr>
        <w:spacing w:after="120"/>
        <w:rPr>
          <w:rFonts w:cstheme="minorHAnsi"/>
        </w:rPr>
      </w:pPr>
      <w:r w:rsidRPr="00FA17FE">
        <w:rPr>
          <w:rFonts w:cstheme="minorHAnsi"/>
          <w:b/>
          <w:bCs/>
        </w:rPr>
        <w:t>AG-26-03</w:t>
      </w:r>
      <w:r>
        <w:rPr>
          <w:rFonts w:cstheme="minorHAnsi"/>
        </w:rPr>
        <w:t>: Arthur Grupe II &amp; Bill Schwan</w:t>
      </w:r>
    </w:p>
    <w:p w14:paraId="7A87C2CE" w14:textId="11EB31DD" w:rsidR="00FA17FE" w:rsidRDefault="00FA17FE" w:rsidP="00FA17FE">
      <w:pPr>
        <w:pStyle w:val="ListParagraph"/>
        <w:numPr>
          <w:ilvl w:val="3"/>
          <w:numId w:val="1"/>
        </w:numPr>
        <w:spacing w:after="120"/>
        <w:rPr>
          <w:rFonts w:cstheme="minorHAnsi"/>
        </w:rPr>
      </w:pPr>
      <w:r>
        <w:rPr>
          <w:rFonts w:cstheme="minorHAnsi"/>
        </w:rPr>
        <w:lastRenderedPageBreak/>
        <w:t xml:space="preserve">Protocol Title: </w:t>
      </w:r>
      <w:r w:rsidR="005B390E" w:rsidRPr="005A668C">
        <w:rPr>
          <w:rFonts w:cstheme="minorHAnsi"/>
          <w:i/>
          <w:iCs/>
        </w:rPr>
        <w:t>Investigating Fungal Cultures for Novel Antimicrobial Compounds</w:t>
      </w:r>
    </w:p>
    <w:p w14:paraId="5117ACD5" w14:textId="44152927" w:rsidR="00D52166" w:rsidRDefault="00D52166" w:rsidP="00FA17FE">
      <w:pPr>
        <w:pStyle w:val="ListParagraph"/>
        <w:numPr>
          <w:ilvl w:val="3"/>
          <w:numId w:val="1"/>
        </w:numPr>
        <w:spacing w:after="120"/>
        <w:rPr>
          <w:rFonts w:cstheme="minorHAnsi"/>
        </w:rPr>
      </w:pPr>
      <w:r>
        <w:rPr>
          <w:rFonts w:cstheme="minorHAnsi"/>
        </w:rPr>
        <w:t>Includes: Microorganisms/Viruses/Prions</w:t>
      </w:r>
    </w:p>
    <w:p w14:paraId="1A6A4939" w14:textId="1CEFF6CB" w:rsidR="00FA17FE" w:rsidRPr="00FA17FE" w:rsidRDefault="00FA17FE" w:rsidP="00FA17FE">
      <w:pPr>
        <w:pStyle w:val="ListParagraph"/>
        <w:numPr>
          <w:ilvl w:val="3"/>
          <w:numId w:val="1"/>
        </w:numPr>
        <w:spacing w:after="120"/>
        <w:rPr>
          <w:rFonts w:cstheme="minorHAnsi"/>
        </w:rPr>
      </w:pPr>
      <w:r>
        <w:rPr>
          <w:rFonts w:cstheme="minorHAnsi"/>
        </w:rPr>
        <w:t>Approval (</w:t>
      </w:r>
      <w:r w:rsidR="00A54158">
        <w:rPr>
          <w:rFonts w:cstheme="minorHAnsi"/>
        </w:rPr>
        <w:t>no recombinant material</w:t>
      </w:r>
      <w:r>
        <w:rPr>
          <w:rFonts w:cstheme="minorHAnsi"/>
        </w:rPr>
        <w:t>); BSL-</w:t>
      </w:r>
      <w:r w:rsidR="00F75D8F">
        <w:rPr>
          <w:rFonts w:cstheme="minorHAnsi"/>
        </w:rPr>
        <w:t>2</w:t>
      </w:r>
      <w:r w:rsidRPr="00A54158">
        <w:rPr>
          <w:rFonts w:cstheme="minorHAnsi"/>
        </w:rPr>
        <w:t>; No special</w:t>
      </w:r>
      <w:r>
        <w:rPr>
          <w:rFonts w:cstheme="minorHAnsi"/>
        </w:rPr>
        <w:t xml:space="preserve"> provisions</w:t>
      </w:r>
    </w:p>
    <w:p w14:paraId="6FF79FE8" w14:textId="08312D82" w:rsidR="00733E8E" w:rsidRDefault="00FA17FE" w:rsidP="00CD5153">
      <w:pPr>
        <w:pStyle w:val="ListParagraph"/>
        <w:numPr>
          <w:ilvl w:val="2"/>
          <w:numId w:val="1"/>
        </w:numPr>
        <w:spacing w:after="120"/>
        <w:rPr>
          <w:rFonts w:cstheme="minorHAnsi"/>
        </w:rPr>
      </w:pPr>
      <w:r w:rsidRPr="00FA17FE">
        <w:rPr>
          <w:rFonts w:cstheme="minorHAnsi"/>
          <w:b/>
          <w:bCs/>
        </w:rPr>
        <w:t>XL-26-04</w:t>
      </w:r>
      <w:r>
        <w:rPr>
          <w:rFonts w:cstheme="minorHAnsi"/>
        </w:rPr>
        <w:t>: Xinhui Li</w:t>
      </w:r>
    </w:p>
    <w:p w14:paraId="4289D6FA" w14:textId="77777777" w:rsidR="005B390E" w:rsidRPr="005A668C" w:rsidRDefault="00FA17FE" w:rsidP="008D5D13">
      <w:pPr>
        <w:pStyle w:val="ListParagraph"/>
        <w:numPr>
          <w:ilvl w:val="3"/>
          <w:numId w:val="1"/>
        </w:numPr>
        <w:spacing w:after="120"/>
        <w:rPr>
          <w:rFonts w:cstheme="minorHAnsi"/>
          <w:i/>
          <w:iCs/>
        </w:rPr>
      </w:pPr>
      <w:r w:rsidRPr="005B390E">
        <w:rPr>
          <w:rFonts w:cstheme="minorHAnsi"/>
        </w:rPr>
        <w:t xml:space="preserve">Protocol Title: </w:t>
      </w:r>
      <w:r w:rsidR="005B390E" w:rsidRPr="005A668C">
        <w:rPr>
          <w:rFonts w:cstheme="minorHAnsi"/>
          <w:i/>
          <w:iCs/>
        </w:rPr>
        <w:t>Microbial Barrier Testing of Wound Closure Materials</w:t>
      </w:r>
    </w:p>
    <w:p w14:paraId="051F7F6B" w14:textId="469297AB" w:rsidR="00D52166" w:rsidRPr="00D52166" w:rsidRDefault="00D52166" w:rsidP="00D52166">
      <w:pPr>
        <w:pStyle w:val="ListParagraph"/>
        <w:numPr>
          <w:ilvl w:val="3"/>
          <w:numId w:val="1"/>
        </w:numPr>
        <w:spacing w:after="120"/>
        <w:rPr>
          <w:rFonts w:cstheme="minorHAnsi"/>
        </w:rPr>
      </w:pPr>
      <w:r>
        <w:rPr>
          <w:rFonts w:cstheme="minorHAnsi"/>
        </w:rPr>
        <w:t>Includes: Microorganisms/Viruses/Prions</w:t>
      </w:r>
    </w:p>
    <w:p w14:paraId="3C95F34D" w14:textId="4D5C8E7D" w:rsidR="00FA17FE" w:rsidRPr="005B390E" w:rsidRDefault="00FA17FE" w:rsidP="008D5D13">
      <w:pPr>
        <w:pStyle w:val="ListParagraph"/>
        <w:numPr>
          <w:ilvl w:val="3"/>
          <w:numId w:val="1"/>
        </w:numPr>
        <w:spacing w:after="120"/>
        <w:rPr>
          <w:rFonts w:cstheme="minorHAnsi"/>
        </w:rPr>
      </w:pPr>
      <w:r w:rsidRPr="005B390E">
        <w:rPr>
          <w:rFonts w:cstheme="minorHAnsi"/>
        </w:rPr>
        <w:t>Approval (</w:t>
      </w:r>
      <w:r w:rsidR="00A54158">
        <w:rPr>
          <w:rFonts w:cstheme="minorHAnsi"/>
        </w:rPr>
        <w:t>no recombinant material</w:t>
      </w:r>
      <w:r w:rsidRPr="005B390E">
        <w:rPr>
          <w:rFonts w:cstheme="minorHAnsi"/>
        </w:rPr>
        <w:t>); BSL</w:t>
      </w:r>
      <w:r w:rsidRPr="00A54158">
        <w:rPr>
          <w:rFonts w:cstheme="minorHAnsi"/>
        </w:rPr>
        <w:t>-</w:t>
      </w:r>
      <w:r w:rsidR="00F75D8F" w:rsidRPr="00A54158">
        <w:rPr>
          <w:rFonts w:cstheme="minorHAnsi"/>
        </w:rPr>
        <w:t>2</w:t>
      </w:r>
      <w:r w:rsidRPr="00A54158">
        <w:rPr>
          <w:rFonts w:cstheme="minorHAnsi"/>
        </w:rPr>
        <w:t>; No</w:t>
      </w:r>
      <w:r w:rsidRPr="005B390E">
        <w:rPr>
          <w:rFonts w:cstheme="minorHAnsi"/>
        </w:rPr>
        <w:t xml:space="preserve"> special provisions</w:t>
      </w:r>
    </w:p>
    <w:p w14:paraId="0D4DECE2" w14:textId="25A3114E" w:rsidR="00FA17FE" w:rsidRDefault="00FA17FE" w:rsidP="00CD5153">
      <w:pPr>
        <w:pStyle w:val="ListParagraph"/>
        <w:numPr>
          <w:ilvl w:val="2"/>
          <w:numId w:val="1"/>
        </w:numPr>
        <w:spacing w:after="120"/>
        <w:rPr>
          <w:rFonts w:cstheme="minorHAnsi"/>
        </w:rPr>
      </w:pPr>
      <w:r w:rsidRPr="00FA17FE">
        <w:rPr>
          <w:rFonts w:cstheme="minorHAnsi"/>
          <w:b/>
          <w:bCs/>
        </w:rPr>
        <w:t>PS-26-05</w:t>
      </w:r>
      <w:r>
        <w:rPr>
          <w:rFonts w:cstheme="minorHAnsi"/>
        </w:rPr>
        <w:t>: Paul Schweiger &amp; Robin Grote</w:t>
      </w:r>
    </w:p>
    <w:p w14:paraId="53801F6B" w14:textId="4765D9FD" w:rsidR="00FA17FE" w:rsidRDefault="00FA17FE" w:rsidP="00FA17FE">
      <w:pPr>
        <w:pStyle w:val="ListParagraph"/>
        <w:numPr>
          <w:ilvl w:val="3"/>
          <w:numId w:val="1"/>
        </w:numPr>
        <w:spacing w:after="120"/>
        <w:rPr>
          <w:rFonts w:cstheme="minorHAnsi"/>
        </w:rPr>
      </w:pPr>
      <w:r>
        <w:rPr>
          <w:rFonts w:cstheme="minorHAnsi"/>
        </w:rPr>
        <w:t xml:space="preserve">Protocol Title: </w:t>
      </w:r>
      <w:r w:rsidR="005B390E" w:rsidRPr="005B390E">
        <w:rPr>
          <w:rFonts w:cstheme="minorHAnsi"/>
        </w:rPr>
        <w:t>​​</w:t>
      </w:r>
      <w:r w:rsidR="005B390E" w:rsidRPr="005A668C">
        <w:rPr>
          <w:rFonts w:cstheme="minorHAnsi"/>
          <w:i/>
          <w:iCs/>
        </w:rPr>
        <w:t>Exploring the Antimicrobial Properties of an Oxadiazole Chemical Library​</w:t>
      </w:r>
      <w:r w:rsidR="005B390E" w:rsidRPr="005B390E">
        <w:rPr>
          <w:rFonts w:cstheme="minorHAnsi"/>
        </w:rPr>
        <w:t> </w:t>
      </w:r>
    </w:p>
    <w:p w14:paraId="7A088F49" w14:textId="562C72D6" w:rsidR="00D52166" w:rsidRPr="00D52166" w:rsidRDefault="00D52166" w:rsidP="00D52166">
      <w:pPr>
        <w:pStyle w:val="ListParagraph"/>
        <w:numPr>
          <w:ilvl w:val="3"/>
          <w:numId w:val="1"/>
        </w:numPr>
        <w:spacing w:after="120"/>
        <w:rPr>
          <w:rFonts w:cstheme="minorHAnsi"/>
        </w:rPr>
      </w:pPr>
      <w:r>
        <w:rPr>
          <w:rFonts w:cstheme="minorHAnsi"/>
        </w:rPr>
        <w:t>Includes: Microorganisms/Viruses/Prions</w:t>
      </w:r>
    </w:p>
    <w:p w14:paraId="35F357E8" w14:textId="2A09A99B" w:rsidR="00FA17FE" w:rsidRPr="00FA17FE" w:rsidRDefault="00FA17FE" w:rsidP="00FA17FE">
      <w:pPr>
        <w:pStyle w:val="ListParagraph"/>
        <w:numPr>
          <w:ilvl w:val="3"/>
          <w:numId w:val="1"/>
        </w:numPr>
        <w:spacing w:after="120"/>
        <w:rPr>
          <w:rFonts w:cstheme="minorHAnsi"/>
        </w:rPr>
      </w:pPr>
      <w:r>
        <w:rPr>
          <w:rFonts w:cstheme="minorHAnsi"/>
        </w:rPr>
        <w:t>Approval (</w:t>
      </w:r>
      <w:r w:rsidR="00A54158">
        <w:rPr>
          <w:rFonts w:cstheme="minorHAnsi"/>
        </w:rPr>
        <w:t>no recombinant material</w:t>
      </w:r>
      <w:r>
        <w:rPr>
          <w:rFonts w:cstheme="minorHAnsi"/>
        </w:rPr>
        <w:t xml:space="preserve">); </w:t>
      </w:r>
      <w:r w:rsidRPr="00A54158">
        <w:rPr>
          <w:rFonts w:cstheme="minorHAnsi"/>
        </w:rPr>
        <w:t>BSL-1; No special</w:t>
      </w:r>
      <w:r>
        <w:rPr>
          <w:rFonts w:cstheme="minorHAnsi"/>
        </w:rPr>
        <w:t xml:space="preserve"> provisions</w:t>
      </w:r>
    </w:p>
    <w:p w14:paraId="6599F236" w14:textId="77777777" w:rsidR="00CD5153" w:rsidRPr="00CD5153" w:rsidRDefault="00CD5153" w:rsidP="00CD5153">
      <w:pPr>
        <w:pStyle w:val="ListParagraph"/>
        <w:spacing w:after="120"/>
        <w:ind w:left="2340"/>
        <w:rPr>
          <w:rFonts w:cstheme="minorHAnsi"/>
        </w:rPr>
      </w:pPr>
    </w:p>
    <w:p w14:paraId="0DEAE3E8" w14:textId="6CD9325B" w:rsidR="00886CB0" w:rsidRDefault="00886CB0" w:rsidP="000B3D5F">
      <w:pPr>
        <w:pStyle w:val="ListParagraph"/>
        <w:numPr>
          <w:ilvl w:val="1"/>
          <w:numId w:val="1"/>
        </w:numPr>
        <w:spacing w:after="120"/>
        <w:rPr>
          <w:rFonts w:cstheme="minorHAnsi"/>
        </w:rPr>
      </w:pPr>
      <w:r>
        <w:rPr>
          <w:rFonts w:cstheme="minorHAnsi"/>
        </w:rPr>
        <w:t>Fall 202</w:t>
      </w:r>
      <w:r w:rsidR="00CD5153">
        <w:rPr>
          <w:rFonts w:cstheme="minorHAnsi"/>
        </w:rPr>
        <w:t>6</w:t>
      </w:r>
      <w:r>
        <w:rPr>
          <w:rFonts w:cstheme="minorHAnsi"/>
        </w:rPr>
        <w:t xml:space="preserve"> </w:t>
      </w:r>
      <w:r w:rsidR="00FC5BD8">
        <w:rPr>
          <w:rFonts w:cstheme="minorHAnsi"/>
        </w:rPr>
        <w:t xml:space="preserve">IBC </w:t>
      </w:r>
      <w:r>
        <w:rPr>
          <w:rFonts w:cstheme="minorHAnsi"/>
        </w:rPr>
        <w:t>meetings will be coordinated in late August-early September.</w:t>
      </w:r>
    </w:p>
    <w:p w14:paraId="359E93A8" w14:textId="77777777" w:rsidR="00452E23" w:rsidRDefault="00452E23" w:rsidP="00452E23">
      <w:pPr>
        <w:pStyle w:val="ListParagraph"/>
        <w:spacing w:after="120"/>
        <w:ind w:left="1440"/>
        <w:rPr>
          <w:rFonts w:cstheme="minorHAnsi"/>
        </w:rPr>
      </w:pPr>
    </w:p>
    <w:p w14:paraId="080CE299" w14:textId="3B9D199A" w:rsidR="00172CF4" w:rsidRDefault="00452E23" w:rsidP="005A2F43">
      <w:pPr>
        <w:pStyle w:val="ListParagraph"/>
        <w:numPr>
          <w:ilvl w:val="1"/>
          <w:numId w:val="1"/>
        </w:numPr>
        <w:spacing w:after="120"/>
        <w:rPr>
          <w:rFonts w:cstheme="minorHAnsi"/>
        </w:rPr>
      </w:pPr>
      <w:r>
        <w:rPr>
          <w:rFonts w:cstheme="minorHAnsi"/>
        </w:rPr>
        <w:t>The Association for Biosafety and Biosecurity (</w:t>
      </w:r>
      <w:hyperlink r:id="rId10" w:history="1">
        <w:r w:rsidRPr="00452E23">
          <w:rPr>
            <w:rStyle w:val="Hyperlink"/>
            <w:rFonts w:cstheme="minorHAnsi"/>
          </w:rPr>
          <w:t>ABSA</w:t>
        </w:r>
      </w:hyperlink>
      <w:r>
        <w:rPr>
          <w:rFonts w:cstheme="minorHAnsi"/>
        </w:rPr>
        <w:t xml:space="preserve">) International offers a variety of Biosafety and Biosecurity resources and information that the committee might find useful and/or interesting. </w:t>
      </w:r>
    </w:p>
    <w:p w14:paraId="4CA5AE74" w14:textId="77777777" w:rsidR="000000F7" w:rsidRPr="000000F7" w:rsidRDefault="000000F7" w:rsidP="000000F7">
      <w:pPr>
        <w:pStyle w:val="ListParagraph"/>
        <w:rPr>
          <w:rFonts w:cstheme="minorHAnsi"/>
        </w:rPr>
      </w:pPr>
    </w:p>
    <w:p w14:paraId="007F77D8" w14:textId="00BE2518" w:rsidR="005A2F43" w:rsidRPr="00B80F16" w:rsidRDefault="000000F7" w:rsidP="00B80F16">
      <w:pPr>
        <w:pStyle w:val="ListParagraph"/>
        <w:numPr>
          <w:ilvl w:val="1"/>
          <w:numId w:val="1"/>
        </w:numPr>
        <w:spacing w:after="120"/>
        <w:rPr>
          <w:rFonts w:cstheme="minorHAnsi"/>
        </w:rPr>
      </w:pPr>
      <w:r>
        <w:rPr>
          <w:rFonts w:cstheme="minorHAnsi"/>
        </w:rPr>
        <w:t xml:space="preserve">NIH launched an initiative to ‘Modernize’ and ‘Strengthen’ oversight of biosafety. A related </w:t>
      </w:r>
      <w:hyperlink r:id="rId11" w:anchor="tab2/" w:history="1">
        <w:r w:rsidRPr="000000F7">
          <w:rPr>
            <w:rStyle w:val="Hyperlink"/>
            <w:rFonts w:cstheme="minorHAnsi"/>
          </w:rPr>
          <w:t>final policy</w:t>
        </w:r>
      </w:hyperlink>
      <w:r>
        <w:rPr>
          <w:rFonts w:cstheme="minorHAnsi"/>
        </w:rPr>
        <w:t xml:space="preserve"> will be published in Fall 2026. </w:t>
      </w:r>
    </w:p>
    <w:p w14:paraId="3B568029" w14:textId="77777777" w:rsidR="005A2F43" w:rsidRPr="005A2F43" w:rsidRDefault="005A2F43" w:rsidP="005A2F43">
      <w:pPr>
        <w:pStyle w:val="ListParagraph"/>
        <w:spacing w:after="120"/>
        <w:ind w:left="1440"/>
        <w:rPr>
          <w:rFonts w:cstheme="minorHAnsi"/>
        </w:rPr>
      </w:pPr>
    </w:p>
    <w:p w14:paraId="0E2039ED" w14:textId="77777777" w:rsidR="00184323" w:rsidRDefault="00184323" w:rsidP="00184323">
      <w:pPr>
        <w:pStyle w:val="ListParagraph"/>
        <w:numPr>
          <w:ilvl w:val="0"/>
          <w:numId w:val="1"/>
        </w:numPr>
        <w:spacing w:after="120"/>
        <w:rPr>
          <w:rFonts w:cstheme="minorHAnsi"/>
        </w:rPr>
      </w:pPr>
      <w:r w:rsidRPr="00BE0EDD">
        <w:rPr>
          <w:rFonts w:cstheme="minorHAnsi"/>
        </w:rPr>
        <w:t>New Business</w:t>
      </w:r>
    </w:p>
    <w:p w14:paraId="37E02C84" w14:textId="77777777" w:rsidR="003933AE" w:rsidRPr="003933AE" w:rsidRDefault="003933AE" w:rsidP="003933AE">
      <w:pPr>
        <w:pStyle w:val="ListParagraph"/>
        <w:spacing w:after="120"/>
        <w:ind w:left="1440"/>
        <w:rPr>
          <w:rFonts w:cstheme="minorHAnsi"/>
        </w:rPr>
      </w:pPr>
    </w:p>
    <w:p w14:paraId="5ABCF8D5" w14:textId="271848B2" w:rsidR="00184323" w:rsidRPr="004939E3" w:rsidRDefault="00184323" w:rsidP="004939E3">
      <w:pPr>
        <w:pStyle w:val="ListParagraph"/>
        <w:numPr>
          <w:ilvl w:val="1"/>
          <w:numId w:val="1"/>
        </w:numPr>
        <w:rPr>
          <w:rFonts w:cstheme="minorHAnsi"/>
        </w:rPr>
      </w:pPr>
      <w:r>
        <w:rPr>
          <w:rFonts w:cstheme="minorHAnsi"/>
          <w:b/>
          <w:bCs/>
        </w:rPr>
        <w:t>New Protocol</w:t>
      </w:r>
      <w:r w:rsidRPr="001331C0">
        <w:rPr>
          <w:rFonts w:cstheme="minorHAnsi"/>
          <w:b/>
          <w:bCs/>
        </w:rPr>
        <w:t>:</w:t>
      </w:r>
      <w:r w:rsidR="00D212AE">
        <w:rPr>
          <w:rFonts w:cstheme="minorHAnsi"/>
          <w:b/>
          <w:bCs/>
        </w:rPr>
        <w:t xml:space="preserve"> </w:t>
      </w:r>
      <w:r w:rsidR="00D212AE" w:rsidRPr="00205F24">
        <w:rPr>
          <w:rFonts w:cstheme="minorHAnsi"/>
        </w:rPr>
        <w:t>Dr</w:t>
      </w:r>
      <w:r w:rsidR="00D212AE" w:rsidRPr="00D212AE">
        <w:rPr>
          <w:rFonts w:cstheme="minorHAnsi"/>
        </w:rPr>
        <w:t xml:space="preserve">. </w:t>
      </w:r>
      <w:r w:rsidR="00CD5153">
        <w:rPr>
          <w:rFonts w:cstheme="minorHAnsi"/>
        </w:rPr>
        <w:t>John May</w:t>
      </w:r>
      <w:r w:rsidR="004939E3">
        <w:rPr>
          <w:rFonts w:cstheme="minorHAnsi"/>
        </w:rPr>
        <w:t xml:space="preserve"> (</w:t>
      </w:r>
      <w:r w:rsidR="004939E3" w:rsidRPr="004939E3">
        <w:rPr>
          <w:rFonts w:cstheme="minorHAnsi"/>
        </w:rPr>
        <w:t>Chemistry &amp; Biochemistry)</w:t>
      </w:r>
      <w:r w:rsidR="00D212AE" w:rsidRPr="00D212AE">
        <w:rPr>
          <w:rFonts w:cstheme="minorHAnsi"/>
        </w:rPr>
        <w:t xml:space="preserve"> </w:t>
      </w:r>
      <w:r w:rsidR="00D50D38">
        <w:rPr>
          <w:rFonts w:cstheme="minorHAnsi"/>
        </w:rPr>
        <w:t xml:space="preserve">and </w:t>
      </w:r>
      <w:r w:rsidR="004939E3" w:rsidRPr="004939E3">
        <w:rPr>
          <w:rFonts w:cstheme="minorHAnsi"/>
        </w:rPr>
        <w:t>B. Bhattacharyya</w:t>
      </w:r>
      <w:r w:rsidR="004939E3">
        <w:rPr>
          <w:rFonts w:cstheme="minorHAnsi"/>
        </w:rPr>
        <w:t xml:space="preserve"> (</w:t>
      </w:r>
      <w:r w:rsidR="00CD5153" w:rsidRPr="004939E3">
        <w:rPr>
          <w:rFonts w:cstheme="minorHAnsi"/>
        </w:rPr>
        <w:t xml:space="preserve">Chemistry &amp; Biochemistry) </w:t>
      </w:r>
      <w:r w:rsidR="004939E3">
        <w:rPr>
          <w:rFonts w:cstheme="minorHAnsi"/>
        </w:rPr>
        <w:t>presented</w:t>
      </w:r>
      <w:r w:rsidR="00D212AE" w:rsidRPr="004939E3">
        <w:rPr>
          <w:rFonts w:cstheme="minorHAnsi"/>
        </w:rPr>
        <w:t xml:space="preserve"> their </w:t>
      </w:r>
      <w:r w:rsidR="00205F24" w:rsidRPr="004939E3">
        <w:rPr>
          <w:rFonts w:cstheme="minorHAnsi"/>
        </w:rPr>
        <w:t xml:space="preserve">teaching </w:t>
      </w:r>
      <w:r w:rsidR="00D212AE" w:rsidRPr="004939E3">
        <w:rPr>
          <w:rFonts w:cstheme="minorHAnsi"/>
        </w:rPr>
        <w:t>protocol, “</w:t>
      </w:r>
      <w:r w:rsidR="009C4FE6" w:rsidRPr="004939E3">
        <w:rPr>
          <w:rFonts w:cstheme="minorHAnsi"/>
          <w:i/>
          <w:iCs/>
        </w:rPr>
        <w:t>Recombinant Protein Purification and Characterization in Biochemistry Teaching Labs</w:t>
      </w:r>
      <w:r w:rsidR="00D212AE" w:rsidRPr="004939E3">
        <w:rPr>
          <w:rFonts w:cstheme="minorHAnsi"/>
        </w:rPr>
        <w:t>,” for review.</w:t>
      </w:r>
    </w:p>
    <w:p w14:paraId="7EC4CB2F" w14:textId="4020D31F" w:rsidR="0051150C" w:rsidRDefault="0051150C" w:rsidP="00002442">
      <w:pPr>
        <w:pStyle w:val="ListParagraph"/>
        <w:numPr>
          <w:ilvl w:val="2"/>
          <w:numId w:val="1"/>
        </w:numPr>
        <w:spacing w:after="120"/>
        <w:rPr>
          <w:rFonts w:cstheme="minorHAnsi"/>
        </w:rPr>
      </w:pPr>
      <w:r>
        <w:rPr>
          <w:rFonts w:cstheme="minorHAnsi"/>
        </w:rPr>
        <w:t xml:space="preserve">J. May and B. Bhattacharyya </w:t>
      </w:r>
      <w:r w:rsidR="00167994">
        <w:rPr>
          <w:rFonts w:cstheme="minorHAnsi"/>
        </w:rPr>
        <w:t>recused themselves</w:t>
      </w:r>
      <w:r w:rsidR="000F73DF">
        <w:rPr>
          <w:rFonts w:cstheme="minorHAnsi"/>
        </w:rPr>
        <w:t xml:space="preserve"> and left the meeting space during IBC </w:t>
      </w:r>
      <w:r w:rsidR="00002442">
        <w:rPr>
          <w:rFonts w:cstheme="minorHAnsi"/>
        </w:rPr>
        <w:t>committee discussion</w:t>
      </w:r>
      <w:r w:rsidR="000F73DF">
        <w:rPr>
          <w:rFonts w:cstheme="minorHAnsi"/>
        </w:rPr>
        <w:t>.</w:t>
      </w:r>
    </w:p>
    <w:p w14:paraId="1B2CC58D" w14:textId="4DFA6A0A" w:rsidR="002B7BAF" w:rsidRDefault="00D2240C" w:rsidP="00002442">
      <w:pPr>
        <w:pStyle w:val="ListParagraph"/>
        <w:numPr>
          <w:ilvl w:val="2"/>
          <w:numId w:val="1"/>
        </w:numPr>
        <w:spacing w:after="120"/>
        <w:rPr>
          <w:rFonts w:cstheme="minorHAnsi"/>
        </w:rPr>
      </w:pPr>
      <w:r>
        <w:rPr>
          <w:rFonts w:cstheme="minorHAnsi"/>
        </w:rPr>
        <w:t>Work was designated as BSL 1</w:t>
      </w:r>
      <w:r w:rsidR="00705F83">
        <w:rPr>
          <w:rFonts w:cstheme="minorHAnsi"/>
        </w:rPr>
        <w:t xml:space="preserve">, </w:t>
      </w:r>
      <w:r w:rsidR="001603D5">
        <w:rPr>
          <w:rFonts w:cstheme="minorHAnsi"/>
        </w:rPr>
        <w:t xml:space="preserve">contains adequate </w:t>
      </w:r>
      <w:r w:rsidR="00705F83">
        <w:rPr>
          <w:rFonts w:cstheme="minorHAnsi"/>
        </w:rPr>
        <w:t>associated risk mitigation measures</w:t>
      </w:r>
      <w:r w:rsidR="00D0113C">
        <w:rPr>
          <w:rFonts w:cstheme="minorHAnsi"/>
        </w:rPr>
        <w:t xml:space="preserve"> (e.g., decontamination, training, PPE, waste disposal)</w:t>
      </w:r>
      <w:r w:rsidR="00705F83">
        <w:rPr>
          <w:rFonts w:cstheme="minorHAnsi"/>
        </w:rPr>
        <w:t xml:space="preserve">, and has no </w:t>
      </w:r>
      <w:r w:rsidR="008B4F9B">
        <w:rPr>
          <w:rFonts w:cstheme="minorHAnsi"/>
        </w:rPr>
        <w:t xml:space="preserve">additional stipulations. </w:t>
      </w:r>
    </w:p>
    <w:p w14:paraId="52891700" w14:textId="0990CA76" w:rsidR="00002442" w:rsidRDefault="009131F7" w:rsidP="00002442">
      <w:pPr>
        <w:pStyle w:val="ListParagraph"/>
        <w:numPr>
          <w:ilvl w:val="2"/>
          <w:numId w:val="1"/>
        </w:numPr>
        <w:spacing w:after="120"/>
        <w:rPr>
          <w:rFonts w:cstheme="minorHAnsi"/>
        </w:rPr>
      </w:pPr>
      <w:r>
        <w:rPr>
          <w:rFonts w:cstheme="minorHAnsi"/>
        </w:rPr>
        <w:t xml:space="preserve">The </w:t>
      </w:r>
      <w:r w:rsidR="00CC46D1">
        <w:rPr>
          <w:rFonts w:cstheme="minorHAnsi"/>
        </w:rPr>
        <w:t>s</w:t>
      </w:r>
      <w:r w:rsidR="00A7419A">
        <w:rPr>
          <w:rFonts w:cstheme="minorHAnsi"/>
        </w:rPr>
        <w:t>ection of the NIH Guidelines that applies to this research</w:t>
      </w:r>
      <w:r w:rsidR="00A908C2">
        <w:rPr>
          <w:rFonts w:cstheme="minorHAnsi"/>
        </w:rPr>
        <w:t xml:space="preserve"> are </w:t>
      </w:r>
      <w:r w:rsidR="00085DDE">
        <w:rPr>
          <w:rFonts w:cstheme="minorHAnsi"/>
        </w:rPr>
        <w:t>D-III-2</w:t>
      </w:r>
      <w:r w:rsidR="00497C0D">
        <w:rPr>
          <w:rFonts w:cstheme="minorHAnsi"/>
        </w:rPr>
        <w:t>,</w:t>
      </w:r>
      <w:r w:rsidR="00BE5B1D">
        <w:rPr>
          <w:rFonts w:cstheme="minorHAnsi"/>
        </w:rPr>
        <w:t xml:space="preserve"> III-E</w:t>
      </w:r>
      <w:r w:rsidR="00F72353">
        <w:rPr>
          <w:rFonts w:cstheme="minorHAnsi"/>
        </w:rPr>
        <w:t>, III-F-8</w:t>
      </w:r>
      <w:r w:rsidR="00156A08">
        <w:rPr>
          <w:rFonts w:cstheme="minorHAnsi"/>
        </w:rPr>
        <w:t xml:space="preserve"> (see the </w:t>
      </w:r>
      <w:r w:rsidR="00FA6019">
        <w:rPr>
          <w:rFonts w:cstheme="minorHAnsi"/>
        </w:rPr>
        <w:t xml:space="preserve">associated IBC </w:t>
      </w:r>
      <w:r w:rsidR="00EF0780">
        <w:rPr>
          <w:rFonts w:cstheme="minorHAnsi"/>
        </w:rPr>
        <w:t xml:space="preserve">Protocol </w:t>
      </w:r>
      <w:r w:rsidR="00FA6019">
        <w:rPr>
          <w:rFonts w:cstheme="minorHAnsi"/>
        </w:rPr>
        <w:t>Checklist</w:t>
      </w:r>
      <w:r w:rsidR="00156A08">
        <w:rPr>
          <w:rFonts w:cstheme="minorHAnsi"/>
        </w:rPr>
        <w:t xml:space="preserve">). </w:t>
      </w:r>
    </w:p>
    <w:p w14:paraId="1B9566CA" w14:textId="40B0DAA0" w:rsidR="00594F26" w:rsidRPr="00705F83" w:rsidRDefault="00955528" w:rsidP="00EF0780">
      <w:pPr>
        <w:pStyle w:val="ListParagraph"/>
        <w:numPr>
          <w:ilvl w:val="2"/>
          <w:numId w:val="1"/>
        </w:numPr>
        <w:spacing w:after="120"/>
        <w:rPr>
          <w:rFonts w:cstheme="minorHAnsi"/>
        </w:rPr>
      </w:pPr>
      <w:r>
        <w:rPr>
          <w:rFonts w:cstheme="minorHAnsi"/>
        </w:rPr>
        <w:t>Motion to approve p</w:t>
      </w:r>
      <w:r w:rsidR="00801BC3">
        <w:rPr>
          <w:rFonts w:cstheme="minorHAnsi"/>
        </w:rPr>
        <w:t>rotocol</w:t>
      </w:r>
      <w:r>
        <w:rPr>
          <w:rFonts w:cstheme="minorHAnsi"/>
        </w:rPr>
        <w:t xml:space="preserve"> </w:t>
      </w:r>
      <w:r w:rsidR="001F7F75">
        <w:rPr>
          <w:rFonts w:cstheme="minorHAnsi"/>
        </w:rPr>
        <w:t xml:space="preserve">with minor modifications </w:t>
      </w:r>
      <w:r w:rsidR="001A7708">
        <w:rPr>
          <w:rFonts w:cstheme="minorHAnsi"/>
        </w:rPr>
        <w:t>W. Schwan</w:t>
      </w:r>
      <w:r w:rsidR="00801BC3">
        <w:rPr>
          <w:rFonts w:cstheme="minorHAnsi"/>
        </w:rPr>
        <w:t xml:space="preserve">, </w:t>
      </w:r>
      <w:r>
        <w:rPr>
          <w:rFonts w:cstheme="minorHAnsi"/>
        </w:rPr>
        <w:t xml:space="preserve">seconded by </w:t>
      </w:r>
      <w:r w:rsidR="001A7708">
        <w:rPr>
          <w:rFonts w:cstheme="minorHAnsi"/>
        </w:rPr>
        <w:t>S. Liu</w:t>
      </w:r>
      <w:r>
        <w:rPr>
          <w:rFonts w:cstheme="minorHAnsi"/>
        </w:rPr>
        <w:t xml:space="preserve"> </w:t>
      </w:r>
      <w:r w:rsidRPr="00AE7D94">
        <w:rPr>
          <w:rFonts w:cstheme="minorHAnsi"/>
        </w:rPr>
        <w:t>(</w:t>
      </w:r>
      <w:r w:rsidR="00801BC3">
        <w:rPr>
          <w:rFonts w:cstheme="minorHAnsi"/>
        </w:rPr>
        <w:t>5</w:t>
      </w:r>
      <w:r w:rsidRPr="00AE7D94">
        <w:rPr>
          <w:rFonts w:cstheme="minorHAnsi"/>
        </w:rPr>
        <w:t xml:space="preserve"> approved, 0 disappr</w:t>
      </w:r>
      <w:r w:rsidRPr="00771BCA">
        <w:rPr>
          <w:rFonts w:cstheme="minorHAnsi"/>
        </w:rPr>
        <w:t>oved, 0 abstained).</w:t>
      </w:r>
      <w:r>
        <w:rPr>
          <w:rFonts w:cstheme="minorHAnsi"/>
        </w:rPr>
        <w:t xml:space="preserve"> </w:t>
      </w:r>
      <w:r w:rsidR="00705F83">
        <w:rPr>
          <w:rFonts w:cstheme="minorHAnsi"/>
        </w:rPr>
        <w:br/>
      </w:r>
    </w:p>
    <w:p w14:paraId="36C655FD" w14:textId="2C61CF2D" w:rsidR="00594F26" w:rsidRDefault="00594F26" w:rsidP="00594F26">
      <w:pPr>
        <w:pStyle w:val="ListParagraph"/>
        <w:numPr>
          <w:ilvl w:val="1"/>
          <w:numId w:val="1"/>
        </w:numPr>
        <w:spacing w:after="120"/>
        <w:rPr>
          <w:rFonts w:cstheme="minorHAnsi"/>
        </w:rPr>
      </w:pPr>
      <w:r>
        <w:rPr>
          <w:rFonts w:cstheme="minorHAnsi"/>
          <w:b/>
          <w:bCs/>
        </w:rPr>
        <w:t xml:space="preserve">Annual </w:t>
      </w:r>
      <w:r w:rsidRPr="003933AE">
        <w:rPr>
          <w:rFonts w:cstheme="minorHAnsi"/>
          <w:b/>
          <w:bCs/>
        </w:rPr>
        <w:t>Chair Election</w:t>
      </w:r>
      <w:r>
        <w:rPr>
          <w:rFonts w:cstheme="minorHAnsi"/>
        </w:rPr>
        <w:t xml:space="preserve">: </w:t>
      </w:r>
      <w:r w:rsidRPr="003933AE">
        <w:rPr>
          <w:rFonts w:cstheme="minorHAnsi"/>
        </w:rPr>
        <w:t>The committee vote</w:t>
      </w:r>
      <w:r w:rsidR="00842DED">
        <w:rPr>
          <w:rFonts w:cstheme="minorHAnsi"/>
        </w:rPr>
        <w:t>d</w:t>
      </w:r>
      <w:r w:rsidRPr="003933AE">
        <w:rPr>
          <w:rFonts w:cstheme="minorHAnsi"/>
        </w:rPr>
        <w:t xml:space="preserve"> on the 2026-2027 I</w:t>
      </w:r>
      <w:r>
        <w:rPr>
          <w:rFonts w:cstheme="minorHAnsi"/>
        </w:rPr>
        <w:t>BC</w:t>
      </w:r>
      <w:r w:rsidRPr="003933AE">
        <w:rPr>
          <w:rFonts w:cstheme="minorHAnsi"/>
        </w:rPr>
        <w:t xml:space="preserve"> Chair</w:t>
      </w:r>
      <w:r>
        <w:rPr>
          <w:rFonts w:cstheme="minorHAnsi"/>
        </w:rPr>
        <w:t>.</w:t>
      </w:r>
    </w:p>
    <w:p w14:paraId="70089199" w14:textId="02510BCA" w:rsidR="00AE1CD4" w:rsidRPr="00594F26" w:rsidRDefault="00AE1CD4" w:rsidP="00AE1CD4">
      <w:pPr>
        <w:pStyle w:val="ListParagraph"/>
        <w:numPr>
          <w:ilvl w:val="2"/>
          <w:numId w:val="1"/>
        </w:numPr>
        <w:spacing w:after="120"/>
        <w:rPr>
          <w:rFonts w:cstheme="minorHAnsi"/>
        </w:rPr>
      </w:pPr>
      <w:r>
        <w:rPr>
          <w:rFonts w:cstheme="minorHAnsi"/>
        </w:rPr>
        <w:t xml:space="preserve">Motion to </w:t>
      </w:r>
      <w:r w:rsidR="00ED25FB">
        <w:rPr>
          <w:rFonts w:cstheme="minorHAnsi"/>
        </w:rPr>
        <w:t>n</w:t>
      </w:r>
      <w:r>
        <w:rPr>
          <w:rFonts w:cstheme="minorHAnsi"/>
        </w:rPr>
        <w:t xml:space="preserve">ominate P. Schweiger to continue as </w:t>
      </w:r>
      <w:r w:rsidR="00655584">
        <w:rPr>
          <w:rFonts w:cstheme="minorHAnsi"/>
        </w:rPr>
        <w:t xml:space="preserve">IBC </w:t>
      </w:r>
      <w:r>
        <w:rPr>
          <w:rFonts w:cstheme="minorHAnsi"/>
        </w:rPr>
        <w:t>Chair</w:t>
      </w:r>
      <w:r w:rsidR="00655584">
        <w:rPr>
          <w:rFonts w:cstheme="minorHAnsi"/>
        </w:rPr>
        <w:t xml:space="preserve"> for the 2026-2027 term</w:t>
      </w:r>
      <w:r w:rsidR="008500AA">
        <w:rPr>
          <w:rFonts w:cstheme="minorHAnsi"/>
        </w:rPr>
        <w:t xml:space="preserve"> by P. Schweiger</w:t>
      </w:r>
      <w:r w:rsidR="00C45DDF">
        <w:rPr>
          <w:rFonts w:cstheme="minorHAnsi"/>
        </w:rPr>
        <w:t>, seconded by S. Li</w:t>
      </w:r>
      <w:r w:rsidR="00D50D38">
        <w:rPr>
          <w:rFonts w:cstheme="minorHAnsi"/>
        </w:rPr>
        <w:t>u</w:t>
      </w:r>
      <w:r w:rsidR="00C45DDF">
        <w:rPr>
          <w:rFonts w:cstheme="minorHAnsi"/>
        </w:rPr>
        <w:t xml:space="preserve"> </w:t>
      </w:r>
      <w:r w:rsidRPr="00AE7D94">
        <w:rPr>
          <w:rFonts w:cstheme="minorHAnsi"/>
        </w:rPr>
        <w:t>(7 approved, 0 disappr</w:t>
      </w:r>
      <w:r w:rsidRPr="00771BCA">
        <w:rPr>
          <w:rFonts w:cstheme="minorHAnsi"/>
        </w:rPr>
        <w:t>oved, 0 abstained).</w:t>
      </w:r>
      <w:r w:rsidR="00655584">
        <w:rPr>
          <w:rFonts w:cstheme="minorHAnsi"/>
        </w:rPr>
        <w:t xml:space="preserve"> </w:t>
      </w:r>
    </w:p>
    <w:p w14:paraId="438BC83B" w14:textId="77777777" w:rsidR="00014F16" w:rsidRDefault="00014F16" w:rsidP="00014F16">
      <w:pPr>
        <w:pStyle w:val="ListParagraph"/>
        <w:spacing w:after="120"/>
        <w:ind w:left="2340"/>
        <w:rPr>
          <w:rFonts w:cstheme="minorHAnsi"/>
        </w:rPr>
      </w:pPr>
    </w:p>
    <w:p w14:paraId="2CA72920" w14:textId="50FE371A" w:rsidR="00014F16" w:rsidRDefault="0006683E" w:rsidP="00014F16">
      <w:pPr>
        <w:pStyle w:val="ListParagraph"/>
        <w:numPr>
          <w:ilvl w:val="1"/>
          <w:numId w:val="1"/>
        </w:numPr>
        <w:spacing w:after="120"/>
        <w:rPr>
          <w:rFonts w:cstheme="minorHAnsi"/>
        </w:rPr>
      </w:pPr>
      <w:r>
        <w:rPr>
          <w:rFonts w:cstheme="minorHAnsi"/>
          <w:b/>
          <w:bCs/>
        </w:rPr>
        <w:t xml:space="preserve">NIH &amp; </w:t>
      </w:r>
      <w:r w:rsidR="00014F16" w:rsidRPr="0006683E">
        <w:rPr>
          <w:rFonts w:cstheme="minorHAnsi"/>
          <w:b/>
          <w:bCs/>
        </w:rPr>
        <w:t>Periodic Inspections</w:t>
      </w:r>
      <w:r w:rsidR="00014F16" w:rsidRPr="0006683E">
        <w:rPr>
          <w:rFonts w:cstheme="minorHAnsi"/>
        </w:rPr>
        <w:t>:</w:t>
      </w:r>
      <w:r w:rsidR="00705F83">
        <w:rPr>
          <w:rFonts w:cstheme="minorHAnsi"/>
        </w:rPr>
        <w:t xml:space="preserve"> The IBC Committee discussed </w:t>
      </w:r>
      <w:r w:rsidR="00014F16">
        <w:rPr>
          <w:rFonts w:cstheme="minorHAnsi"/>
        </w:rPr>
        <w:t xml:space="preserve"> </w:t>
      </w:r>
      <w:hyperlink r:id="rId12" w:history="1">
        <w:r w:rsidR="00014F16" w:rsidRPr="00FE4D24">
          <w:rPr>
            <w:rStyle w:val="Hyperlink"/>
            <w:rFonts w:cstheme="minorHAnsi"/>
          </w:rPr>
          <w:t>Section IV-B-2-b-(5)</w:t>
        </w:r>
      </w:hyperlink>
      <w:r w:rsidR="00014F16">
        <w:rPr>
          <w:rFonts w:cstheme="minorHAnsi"/>
        </w:rPr>
        <w:t xml:space="preserve"> of the NIH guidelines </w:t>
      </w:r>
      <w:r w:rsidR="00705F83">
        <w:rPr>
          <w:rFonts w:cstheme="minorHAnsi"/>
        </w:rPr>
        <w:t xml:space="preserve">that </w:t>
      </w:r>
      <w:r w:rsidR="00014F16">
        <w:rPr>
          <w:rFonts w:cstheme="minorHAnsi"/>
        </w:rPr>
        <w:t>state</w:t>
      </w:r>
      <w:r w:rsidR="00705F83">
        <w:rPr>
          <w:rFonts w:cstheme="minorHAnsi"/>
        </w:rPr>
        <w:t>s</w:t>
      </w:r>
      <w:r w:rsidR="00014F16">
        <w:rPr>
          <w:rFonts w:cstheme="minorHAnsi"/>
        </w:rPr>
        <w:t xml:space="preserve"> that</w:t>
      </w:r>
      <w:r w:rsidR="00FE4D24">
        <w:rPr>
          <w:rFonts w:cstheme="minorHAnsi"/>
        </w:rPr>
        <w:t xml:space="preserve"> institutions must periodically review recombinant or synthetic nucleic acid molecule </w:t>
      </w:r>
      <w:r w:rsidR="00FE4D24" w:rsidRPr="00FB5119">
        <w:rPr>
          <w:rFonts w:cstheme="minorHAnsi"/>
        </w:rPr>
        <w:t>research</w:t>
      </w:r>
      <w:r w:rsidR="002F7B4D">
        <w:rPr>
          <w:rFonts w:cstheme="minorHAnsi"/>
        </w:rPr>
        <w:t>, which</w:t>
      </w:r>
      <w:r w:rsidR="00FE4D24" w:rsidRPr="00FB5119">
        <w:rPr>
          <w:rFonts w:cstheme="minorHAnsi"/>
        </w:rPr>
        <w:t xml:space="preserve"> has been further emphasized in NIH’s </w:t>
      </w:r>
      <w:hyperlink r:id="rId13" w:history="1">
        <w:r w:rsidR="00FE4D24" w:rsidRPr="00FB5119">
          <w:rPr>
            <w:rStyle w:val="Hyperlink"/>
            <w:rFonts w:cstheme="minorHAnsi"/>
          </w:rPr>
          <w:t>transparency notice</w:t>
        </w:r>
      </w:hyperlink>
      <w:r w:rsidR="00FE4D24" w:rsidRPr="00FB5119">
        <w:rPr>
          <w:rFonts w:cstheme="minorHAnsi"/>
        </w:rPr>
        <w:t>.</w:t>
      </w:r>
      <w:r w:rsidR="00FE4D24">
        <w:rPr>
          <w:rFonts w:cstheme="minorHAnsi"/>
        </w:rPr>
        <w:t xml:space="preserve"> </w:t>
      </w:r>
    </w:p>
    <w:p w14:paraId="008799EB" w14:textId="127FCA39" w:rsidR="00A06D0B" w:rsidRPr="004D5396" w:rsidRDefault="00207A20" w:rsidP="004D5396">
      <w:pPr>
        <w:pStyle w:val="ListParagraph"/>
        <w:numPr>
          <w:ilvl w:val="2"/>
          <w:numId w:val="1"/>
        </w:numPr>
        <w:spacing w:after="120"/>
        <w:rPr>
          <w:rFonts w:cstheme="minorHAnsi"/>
        </w:rPr>
      </w:pPr>
      <w:r w:rsidRPr="00207A20">
        <w:rPr>
          <w:rFonts w:cstheme="minorHAnsi"/>
        </w:rPr>
        <w:t>‘Periodic’ is not defined</w:t>
      </w:r>
      <w:r w:rsidR="00B755DE">
        <w:rPr>
          <w:rFonts w:cstheme="minorHAnsi"/>
        </w:rPr>
        <w:t xml:space="preserve"> and the </w:t>
      </w:r>
      <w:r w:rsidR="007E57B0">
        <w:rPr>
          <w:rFonts w:cstheme="minorHAnsi"/>
        </w:rPr>
        <w:t>establish</w:t>
      </w:r>
      <w:r w:rsidR="00B755DE">
        <w:rPr>
          <w:rFonts w:cstheme="minorHAnsi"/>
        </w:rPr>
        <w:t xml:space="preserve">ment of </w:t>
      </w:r>
      <w:r w:rsidR="005F1780">
        <w:rPr>
          <w:rFonts w:cstheme="minorHAnsi"/>
        </w:rPr>
        <w:t xml:space="preserve">an institutional definition was discussed. </w:t>
      </w:r>
      <w:r w:rsidR="00026D9C">
        <w:rPr>
          <w:rFonts w:cstheme="minorHAnsi"/>
        </w:rPr>
        <w:t>Three years was proposed as a possible timeline that aligns with committee membership and standard protocol review.</w:t>
      </w:r>
    </w:p>
    <w:p w14:paraId="3DF23382" w14:textId="1173DA49" w:rsidR="00794F05" w:rsidRPr="00C4539A" w:rsidRDefault="00794F05" w:rsidP="00C4539A">
      <w:pPr>
        <w:pStyle w:val="ListParagraph"/>
        <w:numPr>
          <w:ilvl w:val="2"/>
          <w:numId w:val="1"/>
        </w:numPr>
        <w:spacing w:line="300" w:lineRule="atLeast"/>
        <w:rPr>
          <w:rFonts w:eastAsia="Times New Roman" w:cstheme="minorHAnsi"/>
        </w:rPr>
      </w:pPr>
      <w:r w:rsidRPr="00794F05">
        <w:rPr>
          <w:rFonts w:eastAsia="Times New Roman" w:cstheme="minorHAnsi"/>
        </w:rPr>
        <w:t xml:space="preserve">Discussed how periodic inspections are addressed when an institution does not require a Biological Safety Officer (BSO), given that </w:t>
      </w:r>
      <w:hyperlink r:id="rId14" w:history="1">
        <w:r w:rsidR="00C4539A" w:rsidRPr="000D6D78">
          <w:rPr>
            <w:rStyle w:val="Hyperlink"/>
            <w:rFonts w:cstheme="minorHAnsi"/>
          </w:rPr>
          <w:t>Section IV-B-3-d(1)</w:t>
        </w:r>
      </w:hyperlink>
      <w:r w:rsidR="00C4539A">
        <w:t xml:space="preserve"> </w:t>
      </w:r>
      <w:r w:rsidRPr="00794F05">
        <w:rPr>
          <w:rFonts w:eastAsia="Times New Roman" w:cstheme="minorHAnsi"/>
        </w:rPr>
        <w:t>assigns the BSO responsibility for ensuring laboratory standards through periodic inspections.</w:t>
      </w:r>
    </w:p>
    <w:p w14:paraId="12E85545" w14:textId="01A9FBF1" w:rsidR="002D2D81" w:rsidRPr="002D2D81" w:rsidRDefault="002D2D81" w:rsidP="002D2D81">
      <w:pPr>
        <w:pStyle w:val="ListParagraph"/>
        <w:numPr>
          <w:ilvl w:val="3"/>
          <w:numId w:val="1"/>
        </w:numPr>
        <w:spacing w:after="120"/>
        <w:rPr>
          <w:rFonts w:cstheme="minorHAnsi"/>
        </w:rPr>
      </w:pPr>
      <w:r>
        <w:rPr>
          <w:rFonts w:cstheme="minorHAnsi"/>
        </w:rPr>
        <w:t xml:space="preserve">Discussed if lab inspection is still required outside of recombinant or synthetic nucleic acid molecule research. </w:t>
      </w:r>
      <w:r w:rsidR="00026D9C">
        <w:rPr>
          <w:rFonts w:cstheme="minorHAnsi"/>
        </w:rPr>
        <w:t>Potentially may include any projects that are conducted at a BSL-2 standards.</w:t>
      </w:r>
    </w:p>
    <w:p w14:paraId="16ED8762" w14:textId="6385993C" w:rsidR="0083012D" w:rsidRPr="004D5396" w:rsidRDefault="005376D1" w:rsidP="004D5396">
      <w:pPr>
        <w:pStyle w:val="ListParagraph"/>
        <w:numPr>
          <w:ilvl w:val="3"/>
          <w:numId w:val="1"/>
        </w:numPr>
        <w:spacing w:after="120"/>
        <w:rPr>
          <w:rFonts w:cstheme="minorHAnsi"/>
        </w:rPr>
      </w:pPr>
      <w:r>
        <w:rPr>
          <w:rFonts w:cstheme="minorHAnsi"/>
        </w:rPr>
        <w:t>Clarity will be sought from peer institutions</w:t>
      </w:r>
      <w:r w:rsidR="001E4177">
        <w:rPr>
          <w:rFonts w:cstheme="minorHAnsi"/>
        </w:rPr>
        <w:t xml:space="preserve"> and their best </w:t>
      </w:r>
      <w:r w:rsidR="00956070">
        <w:rPr>
          <w:rFonts w:cstheme="minorHAnsi"/>
        </w:rPr>
        <w:t>practices</w:t>
      </w:r>
      <w:r w:rsidR="002D2D81">
        <w:rPr>
          <w:rFonts w:cstheme="minorHAnsi"/>
        </w:rPr>
        <w:t>.</w:t>
      </w:r>
      <w:r>
        <w:rPr>
          <w:rFonts w:cstheme="minorHAnsi"/>
        </w:rPr>
        <w:t xml:space="preserve"> </w:t>
      </w:r>
    </w:p>
    <w:p w14:paraId="77A0564D" w14:textId="4C21BA7A" w:rsidR="00207604" w:rsidRDefault="001E4177" w:rsidP="004D5396">
      <w:pPr>
        <w:pStyle w:val="ListParagraph"/>
        <w:numPr>
          <w:ilvl w:val="3"/>
          <w:numId w:val="1"/>
        </w:numPr>
        <w:spacing w:after="120"/>
        <w:rPr>
          <w:rFonts w:cstheme="minorHAnsi"/>
        </w:rPr>
      </w:pPr>
      <w:r>
        <w:rPr>
          <w:rFonts w:cstheme="minorHAnsi"/>
        </w:rPr>
        <w:t>The IBC Committee will</w:t>
      </w:r>
      <w:r w:rsidR="005C4F39">
        <w:rPr>
          <w:rFonts w:cstheme="minorHAnsi"/>
        </w:rPr>
        <w:t xml:space="preserve"> </w:t>
      </w:r>
      <w:r w:rsidR="003F1CF3">
        <w:rPr>
          <w:rFonts w:cstheme="minorHAnsi"/>
        </w:rPr>
        <w:t>explore</w:t>
      </w:r>
      <w:r w:rsidR="005C4F39">
        <w:rPr>
          <w:rFonts w:cstheme="minorHAnsi"/>
        </w:rPr>
        <w:t xml:space="preserve"> </w:t>
      </w:r>
      <w:r w:rsidR="003F1CF3">
        <w:rPr>
          <w:rFonts w:cstheme="minorHAnsi"/>
        </w:rPr>
        <w:t>any</w:t>
      </w:r>
      <w:r>
        <w:rPr>
          <w:rFonts w:cstheme="minorHAnsi"/>
        </w:rPr>
        <w:t xml:space="preserve"> </w:t>
      </w:r>
      <w:r w:rsidR="00207604">
        <w:rPr>
          <w:rFonts w:cstheme="minorHAnsi"/>
        </w:rPr>
        <w:t>NIH assessment tool</w:t>
      </w:r>
      <w:r w:rsidR="003F1CF3">
        <w:rPr>
          <w:rFonts w:cstheme="minorHAnsi"/>
        </w:rPr>
        <w:t xml:space="preserve">s or peer institution assessment tools </w:t>
      </w:r>
      <w:r w:rsidR="00207604">
        <w:rPr>
          <w:rFonts w:cstheme="minorHAnsi"/>
        </w:rPr>
        <w:t>that could be used for this purpose</w:t>
      </w:r>
      <w:r w:rsidR="00254397">
        <w:rPr>
          <w:rFonts w:cstheme="minorHAnsi"/>
        </w:rPr>
        <w:t>.</w:t>
      </w:r>
    </w:p>
    <w:p w14:paraId="5CB4677F" w14:textId="6EFE3A72" w:rsidR="00184323" w:rsidRPr="00ED25FB" w:rsidRDefault="00184323" w:rsidP="00956070">
      <w:pPr>
        <w:pStyle w:val="ListParagraph"/>
        <w:spacing w:after="120"/>
        <w:ind w:left="2880"/>
        <w:rPr>
          <w:rFonts w:cstheme="minorHAnsi"/>
        </w:rPr>
      </w:pPr>
    </w:p>
    <w:p w14:paraId="1C822FCA" w14:textId="21F6E0C5" w:rsidR="008D55A2" w:rsidRPr="00ED25FB" w:rsidRDefault="00621602" w:rsidP="005D7E41">
      <w:pPr>
        <w:pStyle w:val="ListParagraph"/>
        <w:numPr>
          <w:ilvl w:val="0"/>
          <w:numId w:val="1"/>
        </w:numPr>
        <w:spacing w:after="120"/>
        <w:rPr>
          <w:rFonts w:cstheme="minorHAnsi"/>
        </w:rPr>
      </w:pPr>
      <w:r w:rsidRPr="00ED25FB">
        <w:rPr>
          <w:rFonts w:cstheme="minorHAnsi"/>
        </w:rPr>
        <w:t>Old Business</w:t>
      </w:r>
    </w:p>
    <w:p w14:paraId="6000FFCD" w14:textId="77777777" w:rsidR="00760B64" w:rsidRPr="00ED25FB" w:rsidRDefault="00760B64" w:rsidP="00BE0EDD">
      <w:pPr>
        <w:pStyle w:val="ListParagraph"/>
        <w:spacing w:after="120"/>
        <w:rPr>
          <w:rFonts w:cstheme="minorHAnsi"/>
        </w:rPr>
      </w:pPr>
    </w:p>
    <w:p w14:paraId="7F3FDD4D" w14:textId="3EC1D0BF" w:rsidR="008D55A2" w:rsidRPr="00ED25FB" w:rsidRDefault="00621602" w:rsidP="009900AE">
      <w:pPr>
        <w:pStyle w:val="ListParagraph"/>
        <w:numPr>
          <w:ilvl w:val="0"/>
          <w:numId w:val="1"/>
        </w:numPr>
        <w:spacing w:after="120"/>
        <w:rPr>
          <w:rFonts w:cstheme="minorHAnsi"/>
        </w:rPr>
      </w:pPr>
      <w:r w:rsidRPr="00ED25FB">
        <w:rPr>
          <w:rFonts w:cstheme="minorHAnsi"/>
        </w:rPr>
        <w:t>Questions</w:t>
      </w:r>
    </w:p>
    <w:p w14:paraId="43D09532" w14:textId="77777777" w:rsidR="00C0156D" w:rsidRPr="00ED25FB" w:rsidRDefault="00C0156D" w:rsidP="00C0156D">
      <w:pPr>
        <w:pStyle w:val="ListParagraph"/>
        <w:rPr>
          <w:rFonts w:cstheme="minorHAnsi"/>
        </w:rPr>
      </w:pPr>
    </w:p>
    <w:p w14:paraId="0EA3FA93" w14:textId="7AF89A6D" w:rsidR="00C0156D" w:rsidRPr="00ED25FB" w:rsidRDefault="00C0156D" w:rsidP="00C0156D">
      <w:pPr>
        <w:pStyle w:val="ListParagraph"/>
        <w:numPr>
          <w:ilvl w:val="1"/>
          <w:numId w:val="1"/>
        </w:numPr>
        <w:spacing w:after="120"/>
        <w:rPr>
          <w:rFonts w:cstheme="minorHAnsi"/>
        </w:rPr>
      </w:pPr>
      <w:r w:rsidRPr="00ED25FB">
        <w:rPr>
          <w:rFonts w:cstheme="minorHAnsi"/>
        </w:rPr>
        <w:t xml:space="preserve">A question was raised about the protocol </w:t>
      </w:r>
      <w:r w:rsidR="0097792E">
        <w:rPr>
          <w:rFonts w:cstheme="minorHAnsi"/>
        </w:rPr>
        <w:t>renewal</w:t>
      </w:r>
      <w:r w:rsidRPr="00ED25FB">
        <w:rPr>
          <w:rFonts w:cstheme="minorHAnsi"/>
        </w:rPr>
        <w:t xml:space="preserve"> process. </w:t>
      </w:r>
    </w:p>
    <w:p w14:paraId="4CDEC254" w14:textId="24D1B586" w:rsidR="009502C6" w:rsidRPr="00ED25FB" w:rsidRDefault="009502C6" w:rsidP="009502C6">
      <w:pPr>
        <w:pStyle w:val="ListParagraph"/>
        <w:numPr>
          <w:ilvl w:val="2"/>
          <w:numId w:val="1"/>
        </w:numPr>
        <w:spacing w:after="120"/>
        <w:rPr>
          <w:rFonts w:ascii="Calibri" w:hAnsi="Calibri" w:cs="Calibri"/>
        </w:rPr>
      </w:pPr>
      <w:r w:rsidRPr="00ED25FB">
        <w:rPr>
          <w:rFonts w:ascii="Calibri" w:hAnsi="Calibri" w:cs="Calibri"/>
          <w:color w:val="2A2B2D"/>
          <w:shd w:val="clear" w:color="auto" w:fill="FFFFFF"/>
        </w:rPr>
        <w:t xml:space="preserve">The </w:t>
      </w:r>
      <w:r w:rsidR="002D0271">
        <w:rPr>
          <w:rFonts w:ascii="Calibri" w:hAnsi="Calibri" w:cs="Calibri"/>
          <w:color w:val="2A2B2D"/>
          <w:shd w:val="clear" w:color="auto" w:fill="FFFFFF"/>
        </w:rPr>
        <w:t>Research and Sponsored Programs</w:t>
      </w:r>
      <w:r w:rsidRPr="00ED25FB">
        <w:rPr>
          <w:rFonts w:ascii="Calibri" w:hAnsi="Calibri" w:cs="Calibri"/>
          <w:color w:val="2A2B2D"/>
          <w:shd w:val="clear" w:color="auto" w:fill="FFFFFF"/>
        </w:rPr>
        <w:t xml:space="preserve"> office will send reminders to PIs whose protocols are up for renewal, specifying the process (DMR or full committee</w:t>
      </w:r>
      <w:r w:rsidR="006B0F41" w:rsidRPr="00ED25FB">
        <w:rPr>
          <w:rFonts w:ascii="Calibri" w:hAnsi="Calibri" w:cs="Calibri"/>
          <w:color w:val="2A2B2D"/>
          <w:shd w:val="clear" w:color="auto" w:fill="FFFFFF"/>
        </w:rPr>
        <w:t xml:space="preserve"> if significant</w:t>
      </w:r>
      <w:r w:rsidR="00670664" w:rsidRPr="00ED25FB">
        <w:rPr>
          <w:rFonts w:ascii="Calibri" w:hAnsi="Calibri" w:cs="Calibri"/>
          <w:color w:val="2A2B2D"/>
          <w:shd w:val="clear" w:color="auto" w:fill="FFFFFF"/>
        </w:rPr>
        <w:t xml:space="preserve"> modifications</w:t>
      </w:r>
      <w:r w:rsidR="006B0F41" w:rsidRPr="00ED25FB">
        <w:rPr>
          <w:rFonts w:ascii="Calibri" w:hAnsi="Calibri" w:cs="Calibri"/>
          <w:color w:val="2A2B2D"/>
          <w:shd w:val="clear" w:color="auto" w:fill="FFFFFF"/>
        </w:rPr>
        <w:t xml:space="preserve"> </w:t>
      </w:r>
      <w:r w:rsidR="008F15BF" w:rsidRPr="00ED25FB">
        <w:rPr>
          <w:rFonts w:ascii="Calibri" w:hAnsi="Calibri" w:cs="Calibri"/>
          <w:color w:val="2A2B2D"/>
          <w:shd w:val="clear" w:color="auto" w:fill="FFFFFF"/>
        </w:rPr>
        <w:t xml:space="preserve">to the originally approved protocol </w:t>
      </w:r>
      <w:r w:rsidR="00670664" w:rsidRPr="00ED25FB">
        <w:rPr>
          <w:rFonts w:ascii="Calibri" w:hAnsi="Calibri" w:cs="Calibri"/>
          <w:color w:val="2A2B2D"/>
          <w:shd w:val="clear" w:color="auto" w:fill="FFFFFF"/>
        </w:rPr>
        <w:t xml:space="preserve">are </w:t>
      </w:r>
      <w:r w:rsidR="006B0F41" w:rsidRPr="00ED25FB">
        <w:rPr>
          <w:rFonts w:ascii="Calibri" w:hAnsi="Calibri" w:cs="Calibri"/>
          <w:color w:val="2A2B2D"/>
          <w:shd w:val="clear" w:color="auto" w:fill="FFFFFF"/>
        </w:rPr>
        <w:t>required</w:t>
      </w:r>
      <w:r w:rsidRPr="00ED25FB">
        <w:rPr>
          <w:rFonts w:ascii="Calibri" w:hAnsi="Calibri" w:cs="Calibri"/>
          <w:color w:val="2A2B2D"/>
          <w:shd w:val="clear" w:color="auto" w:fill="FFFFFF"/>
        </w:rPr>
        <w:t>) and requesting highlighted changes if modifications are made</w:t>
      </w:r>
      <w:r w:rsidR="00ED25FB">
        <w:rPr>
          <w:rFonts w:ascii="Calibri" w:hAnsi="Calibri" w:cs="Calibri"/>
          <w:color w:val="2A2B2D"/>
          <w:shd w:val="clear" w:color="auto" w:fill="FFFFFF"/>
        </w:rPr>
        <w:t>.</w:t>
      </w:r>
    </w:p>
    <w:p w14:paraId="2E68A2F2" w14:textId="77777777" w:rsidR="008D55A2" w:rsidRPr="00BE0EDD" w:rsidRDefault="008D55A2" w:rsidP="00BE0EDD">
      <w:pPr>
        <w:pStyle w:val="ListParagraph"/>
        <w:spacing w:after="120"/>
        <w:rPr>
          <w:rFonts w:cstheme="minorHAnsi"/>
        </w:rPr>
      </w:pPr>
    </w:p>
    <w:p w14:paraId="599D3E57" w14:textId="066F2A6B" w:rsidR="0075080B" w:rsidRPr="00FA684D" w:rsidRDefault="0075080B" w:rsidP="006913BA">
      <w:pPr>
        <w:spacing w:after="120"/>
        <w:rPr>
          <w:rFonts w:cstheme="minorHAnsi"/>
          <w:sz w:val="22"/>
          <w:szCs w:val="22"/>
        </w:rPr>
      </w:pPr>
      <w:r w:rsidRPr="00FA684D">
        <w:rPr>
          <w:rFonts w:cstheme="minorHAnsi"/>
          <w:sz w:val="22"/>
          <w:szCs w:val="22"/>
        </w:rPr>
        <w:t>Meeting a</w:t>
      </w:r>
      <w:r w:rsidR="00621602" w:rsidRPr="00FA684D">
        <w:rPr>
          <w:rFonts w:cstheme="minorHAnsi"/>
          <w:sz w:val="22"/>
          <w:szCs w:val="22"/>
        </w:rPr>
        <w:t>djourn</w:t>
      </w:r>
      <w:r w:rsidRPr="00FA684D">
        <w:rPr>
          <w:rFonts w:cstheme="minorHAnsi"/>
          <w:sz w:val="22"/>
          <w:szCs w:val="22"/>
        </w:rPr>
        <w:t xml:space="preserve">ed at 9 am by P. Schweiger (IBC Chair). </w:t>
      </w:r>
    </w:p>
    <w:p w14:paraId="2E26C938" w14:textId="77777777" w:rsidR="006913BA" w:rsidRPr="00FA684D" w:rsidRDefault="006913BA" w:rsidP="006913BA">
      <w:pPr>
        <w:spacing w:after="120"/>
        <w:rPr>
          <w:rFonts w:cstheme="minorHAnsi"/>
          <w:sz w:val="22"/>
          <w:szCs w:val="22"/>
        </w:rPr>
      </w:pPr>
    </w:p>
    <w:p w14:paraId="1D40CA4A" w14:textId="66A25C6B" w:rsidR="0075080B" w:rsidRPr="00FA684D" w:rsidRDefault="0075080B" w:rsidP="0075080B">
      <w:pPr>
        <w:spacing w:after="120"/>
        <w:rPr>
          <w:rFonts w:cstheme="minorHAnsi"/>
          <w:sz w:val="22"/>
          <w:szCs w:val="22"/>
        </w:rPr>
      </w:pPr>
      <w:r w:rsidRPr="00FA684D">
        <w:rPr>
          <w:rFonts w:cstheme="minorHAnsi"/>
          <w:sz w:val="22"/>
          <w:szCs w:val="22"/>
        </w:rPr>
        <w:t xml:space="preserve">Meeting minutes recorded by P. Schweiger (IBC Chair). </w:t>
      </w:r>
    </w:p>
    <w:p w14:paraId="156E24B7" w14:textId="77777777" w:rsidR="005E50B0" w:rsidRDefault="005E50B0" w:rsidP="0075080B">
      <w:pPr>
        <w:spacing w:after="120"/>
        <w:rPr>
          <w:rFonts w:cstheme="minorHAnsi"/>
        </w:rPr>
      </w:pPr>
    </w:p>
    <w:p w14:paraId="6C30DDE6" w14:textId="77777777" w:rsidR="005E50B0" w:rsidRDefault="005E50B0" w:rsidP="0075080B">
      <w:pPr>
        <w:spacing w:after="120"/>
        <w:rPr>
          <w:rFonts w:cstheme="minorHAnsi"/>
        </w:rPr>
      </w:pPr>
    </w:p>
    <w:p w14:paraId="6E793127" w14:textId="77777777" w:rsidR="005E50B0" w:rsidRDefault="005E50B0" w:rsidP="0075080B">
      <w:pPr>
        <w:spacing w:after="120"/>
        <w:rPr>
          <w:rFonts w:cstheme="minorHAnsi"/>
        </w:rPr>
      </w:pPr>
    </w:p>
    <w:p w14:paraId="01D6A528" w14:textId="77777777" w:rsidR="005E50B0" w:rsidRDefault="005E50B0" w:rsidP="0075080B">
      <w:pPr>
        <w:spacing w:after="120"/>
        <w:rPr>
          <w:rFonts w:cstheme="minorHAnsi"/>
        </w:rPr>
      </w:pPr>
    </w:p>
    <w:p w14:paraId="3CAD691E" w14:textId="77777777" w:rsidR="005E50B0" w:rsidRDefault="005E50B0" w:rsidP="0075080B">
      <w:pPr>
        <w:spacing w:after="120"/>
        <w:rPr>
          <w:rFonts w:cstheme="minorHAnsi"/>
        </w:rPr>
      </w:pPr>
    </w:p>
    <w:p w14:paraId="01A63634" w14:textId="77777777" w:rsidR="005E50B0" w:rsidRDefault="005E50B0" w:rsidP="0075080B">
      <w:pPr>
        <w:spacing w:after="120"/>
        <w:rPr>
          <w:rFonts w:cstheme="minorHAnsi"/>
        </w:rPr>
      </w:pPr>
    </w:p>
    <w:p w14:paraId="473D5838" w14:textId="77777777" w:rsidR="005E50B0" w:rsidRDefault="005E50B0" w:rsidP="0075080B">
      <w:pPr>
        <w:spacing w:after="120"/>
        <w:rPr>
          <w:rFonts w:cstheme="minorHAnsi"/>
        </w:rPr>
      </w:pPr>
    </w:p>
    <w:p w14:paraId="79C85EC1" w14:textId="77777777" w:rsidR="005E50B0" w:rsidRDefault="005E50B0" w:rsidP="0075080B">
      <w:pPr>
        <w:spacing w:after="120"/>
        <w:rPr>
          <w:rFonts w:cstheme="minorHAnsi"/>
        </w:rPr>
      </w:pPr>
    </w:p>
    <w:p w14:paraId="5C284C61" w14:textId="77777777" w:rsidR="005E50B0" w:rsidRDefault="005E50B0" w:rsidP="0075080B">
      <w:pPr>
        <w:spacing w:after="120"/>
        <w:rPr>
          <w:rFonts w:cstheme="minorHAnsi"/>
        </w:rPr>
      </w:pPr>
    </w:p>
    <w:p w14:paraId="594B5C32" w14:textId="77777777" w:rsidR="005E50B0" w:rsidRDefault="005E50B0" w:rsidP="0075080B">
      <w:pPr>
        <w:spacing w:after="120"/>
        <w:rPr>
          <w:rFonts w:cstheme="minorHAnsi"/>
        </w:rPr>
      </w:pPr>
    </w:p>
    <w:p w14:paraId="4CF63210" w14:textId="77777777" w:rsidR="005E50B0" w:rsidRPr="007C1523" w:rsidRDefault="005E50B0" w:rsidP="005E50B0">
      <w:pPr>
        <w:jc w:val="center"/>
        <w:rPr>
          <w:b/>
          <w:bCs/>
          <w:u w:val="single"/>
        </w:rPr>
      </w:pPr>
      <w:r w:rsidRPr="007C1523">
        <w:rPr>
          <w:b/>
          <w:bCs/>
          <w:u w:val="single"/>
        </w:rPr>
        <w:t>IBC Protocol Checklist</w:t>
      </w:r>
    </w:p>
    <w:p w14:paraId="1BEB6F33" w14:textId="77777777" w:rsidR="005E50B0" w:rsidRPr="007C1523" w:rsidRDefault="005E50B0" w:rsidP="005E50B0">
      <w:r>
        <w:rPr>
          <w:b/>
          <w:bCs/>
        </w:rPr>
        <w:t>PI Name(s)</w:t>
      </w:r>
      <w:r>
        <w:t>: John May, Basudeb Bhattacharyya, Kelly Gorres, Franklin Greene, Dan Grilley, Todd Weaver</w:t>
      </w:r>
    </w:p>
    <w:p w14:paraId="3215B3C5" w14:textId="77777777" w:rsidR="005E50B0" w:rsidRDefault="005E50B0" w:rsidP="005E50B0">
      <w:r w:rsidRPr="007C1523">
        <w:rPr>
          <w:b/>
          <w:bCs/>
        </w:rPr>
        <w:t>Protocol Title</w:t>
      </w:r>
      <w:r>
        <w:t xml:space="preserve">: </w:t>
      </w:r>
      <w:r w:rsidRPr="00C57E69">
        <w:t>Recombinant Protein Purification and Characterization in Biochemistry Teaching Labs</w:t>
      </w:r>
      <w:r>
        <w:t xml:space="preserve"> (JM-26-06)</w:t>
      </w:r>
    </w:p>
    <w:p w14:paraId="059E67E8" w14:textId="77777777" w:rsidR="005E50B0" w:rsidRDefault="005E50B0" w:rsidP="005E50B0">
      <w:r w:rsidRPr="007C1523">
        <w:rPr>
          <w:b/>
          <w:bCs/>
        </w:rPr>
        <w:t>Date Reviewed</w:t>
      </w:r>
      <w:r>
        <w:t>: 4/13/2026</w:t>
      </w:r>
    </w:p>
    <w:p w14:paraId="2904F2DE" w14:textId="77777777" w:rsidR="005E50B0" w:rsidRDefault="005E50B0" w:rsidP="005E50B0">
      <w:r w:rsidRPr="003D7B86">
        <w:rPr>
          <w:b/>
          <w:bCs/>
        </w:rPr>
        <w:t>Final Decision</w:t>
      </w:r>
      <w:r>
        <w:t>: Approved by the committee with minor modifications via Designated Member Review by the IBC Coordinator and IBC Chair. Final revision of protocol approved on 4/15/2026.</w:t>
      </w:r>
    </w:p>
    <w:p w14:paraId="1CC6F38F" w14:textId="77777777" w:rsidR="00C0560F" w:rsidRDefault="00C0560F" w:rsidP="005E50B0"/>
    <w:tbl>
      <w:tblPr>
        <w:tblStyle w:val="TableGrid"/>
        <w:tblW w:w="10890" w:type="dxa"/>
        <w:tblInd w:w="-725" w:type="dxa"/>
        <w:tblLook w:val="04A0" w:firstRow="1" w:lastRow="0" w:firstColumn="1" w:lastColumn="0" w:noHBand="0" w:noVBand="1"/>
      </w:tblPr>
      <w:tblGrid>
        <w:gridCol w:w="6300"/>
        <w:gridCol w:w="1530"/>
        <w:gridCol w:w="1530"/>
        <w:gridCol w:w="1530"/>
      </w:tblGrid>
      <w:tr w:rsidR="00422447" w14:paraId="376A94FC" w14:textId="77777777" w:rsidTr="00A27411">
        <w:tc>
          <w:tcPr>
            <w:tcW w:w="6300" w:type="dxa"/>
            <w:shd w:val="clear" w:color="auto" w:fill="F2F2F2" w:themeFill="background1" w:themeFillShade="F2"/>
          </w:tcPr>
          <w:p w14:paraId="3DE60258" w14:textId="77777777" w:rsidR="00422447" w:rsidRPr="007C1523" w:rsidRDefault="00422447" w:rsidP="007D451A">
            <w:pPr>
              <w:jc w:val="center"/>
              <w:rPr>
                <w:b/>
                <w:bCs/>
              </w:rPr>
            </w:pPr>
            <w:r>
              <w:rPr>
                <w:b/>
                <w:bCs/>
              </w:rPr>
              <w:t>Checklist</w:t>
            </w:r>
          </w:p>
        </w:tc>
        <w:tc>
          <w:tcPr>
            <w:tcW w:w="1530" w:type="dxa"/>
            <w:tcBorders>
              <w:right w:val="nil"/>
            </w:tcBorders>
            <w:shd w:val="clear" w:color="auto" w:fill="F2F2F2" w:themeFill="background1" w:themeFillShade="F2"/>
          </w:tcPr>
          <w:p w14:paraId="55F1719D" w14:textId="363BBFE4" w:rsidR="00422447" w:rsidRPr="007C1523" w:rsidRDefault="00A27411" w:rsidP="007D451A">
            <w:pPr>
              <w:jc w:val="center"/>
              <w:rPr>
                <w:b/>
                <w:bCs/>
              </w:rPr>
            </w:pPr>
            <w:r>
              <w:rPr>
                <w:b/>
                <w:bCs/>
              </w:rPr>
              <w:t>Select One:</w:t>
            </w:r>
          </w:p>
        </w:tc>
        <w:tc>
          <w:tcPr>
            <w:tcW w:w="1530" w:type="dxa"/>
            <w:tcBorders>
              <w:left w:val="nil"/>
              <w:right w:val="nil"/>
            </w:tcBorders>
            <w:shd w:val="clear" w:color="auto" w:fill="F2F2F2" w:themeFill="background1" w:themeFillShade="F2"/>
          </w:tcPr>
          <w:p w14:paraId="2AA06A47" w14:textId="2D3D4C8B" w:rsidR="00422447" w:rsidRPr="007C1523" w:rsidRDefault="00422447" w:rsidP="007D451A">
            <w:pPr>
              <w:jc w:val="center"/>
              <w:rPr>
                <w:b/>
                <w:bCs/>
              </w:rPr>
            </w:pPr>
          </w:p>
        </w:tc>
        <w:tc>
          <w:tcPr>
            <w:tcW w:w="1530" w:type="dxa"/>
            <w:tcBorders>
              <w:left w:val="nil"/>
            </w:tcBorders>
            <w:shd w:val="clear" w:color="auto" w:fill="F2F2F2" w:themeFill="background1" w:themeFillShade="F2"/>
          </w:tcPr>
          <w:p w14:paraId="3BF4BFB0" w14:textId="2BCF9770" w:rsidR="00422447" w:rsidRPr="007C1523" w:rsidRDefault="00422447" w:rsidP="007D451A">
            <w:pPr>
              <w:jc w:val="center"/>
              <w:rPr>
                <w:b/>
                <w:bCs/>
              </w:rPr>
            </w:pPr>
          </w:p>
        </w:tc>
      </w:tr>
      <w:tr w:rsidR="005E50B0" w14:paraId="22E80EF8" w14:textId="77777777" w:rsidTr="00A27411">
        <w:tc>
          <w:tcPr>
            <w:tcW w:w="6300" w:type="dxa"/>
            <w:shd w:val="clear" w:color="auto" w:fill="A6A6A6" w:themeFill="background1" w:themeFillShade="A6"/>
          </w:tcPr>
          <w:p w14:paraId="0EE25D6B" w14:textId="77777777" w:rsidR="005E50B0" w:rsidRPr="007C1523" w:rsidRDefault="005E50B0" w:rsidP="007D451A">
            <w:pPr>
              <w:rPr>
                <w:b/>
                <w:bCs/>
              </w:rPr>
            </w:pPr>
            <w:r>
              <w:rPr>
                <w:b/>
                <w:bCs/>
              </w:rPr>
              <w:t xml:space="preserve">These </w:t>
            </w:r>
            <w:r w:rsidRPr="007C1523">
              <w:rPr>
                <w:b/>
                <w:bCs/>
              </w:rPr>
              <w:t>Protocol Components</w:t>
            </w:r>
            <w:r>
              <w:rPr>
                <w:b/>
                <w:bCs/>
              </w:rPr>
              <w:t xml:space="preserve"> are addressed:</w:t>
            </w:r>
          </w:p>
        </w:tc>
        <w:tc>
          <w:tcPr>
            <w:tcW w:w="1530" w:type="dxa"/>
            <w:shd w:val="clear" w:color="auto" w:fill="A6A6A6" w:themeFill="background1" w:themeFillShade="A6"/>
          </w:tcPr>
          <w:p w14:paraId="1D268B7E" w14:textId="77777777" w:rsidR="005E50B0" w:rsidRDefault="005E50B0" w:rsidP="00A27411">
            <w:pPr>
              <w:jc w:val="center"/>
            </w:pPr>
            <w:r w:rsidRPr="007C1523">
              <w:rPr>
                <w:b/>
                <w:bCs/>
              </w:rPr>
              <w:t>Included</w:t>
            </w:r>
          </w:p>
        </w:tc>
        <w:tc>
          <w:tcPr>
            <w:tcW w:w="1530" w:type="dxa"/>
            <w:shd w:val="clear" w:color="auto" w:fill="A6A6A6" w:themeFill="background1" w:themeFillShade="A6"/>
          </w:tcPr>
          <w:p w14:paraId="6AC22E66" w14:textId="77777777" w:rsidR="005E50B0" w:rsidRDefault="005E50B0" w:rsidP="00A27411">
            <w:pPr>
              <w:jc w:val="center"/>
            </w:pPr>
            <w:r w:rsidRPr="007C1523">
              <w:rPr>
                <w:b/>
                <w:bCs/>
              </w:rPr>
              <w:t>Requires Modification</w:t>
            </w:r>
          </w:p>
        </w:tc>
        <w:tc>
          <w:tcPr>
            <w:tcW w:w="1530" w:type="dxa"/>
            <w:shd w:val="clear" w:color="auto" w:fill="A6A6A6" w:themeFill="background1" w:themeFillShade="A6"/>
          </w:tcPr>
          <w:p w14:paraId="367ADFCA" w14:textId="77777777" w:rsidR="005E50B0" w:rsidRDefault="005E50B0" w:rsidP="00A27411">
            <w:pPr>
              <w:jc w:val="center"/>
            </w:pPr>
            <w:r w:rsidRPr="007C1523">
              <w:rPr>
                <w:b/>
                <w:bCs/>
              </w:rPr>
              <w:t>N/A</w:t>
            </w:r>
          </w:p>
        </w:tc>
      </w:tr>
      <w:tr w:rsidR="005E50B0" w14:paraId="347A54F8" w14:textId="77777777" w:rsidTr="00A27411">
        <w:tc>
          <w:tcPr>
            <w:tcW w:w="6300" w:type="dxa"/>
          </w:tcPr>
          <w:p w14:paraId="3B92F79E" w14:textId="77777777" w:rsidR="005E50B0" w:rsidRDefault="005E50B0" w:rsidP="007D451A">
            <w:r>
              <w:t>Agent characteristics (e.g., virulence, pathogenicity, environmental stability)</w:t>
            </w:r>
          </w:p>
        </w:tc>
        <w:sdt>
          <w:sdtPr>
            <w:id w:val="924224291"/>
            <w14:checkbox>
              <w14:checked w14:val="1"/>
              <w14:checkedState w14:val="2612" w14:font="MS Gothic"/>
              <w14:uncheckedState w14:val="2610" w14:font="MS Gothic"/>
            </w14:checkbox>
          </w:sdtPr>
          <w:sdtContent>
            <w:tc>
              <w:tcPr>
                <w:tcW w:w="1530" w:type="dxa"/>
              </w:tcPr>
              <w:p w14:paraId="103232BB" w14:textId="77777777" w:rsidR="005E50B0" w:rsidRDefault="005E50B0" w:rsidP="007D451A">
                <w:pPr>
                  <w:jc w:val="center"/>
                </w:pPr>
                <w:r>
                  <w:rPr>
                    <w:rFonts w:ascii="MS Gothic" w:eastAsia="MS Gothic" w:hAnsi="MS Gothic" w:hint="eastAsia"/>
                  </w:rPr>
                  <w:t>☒</w:t>
                </w:r>
              </w:p>
            </w:tc>
          </w:sdtContent>
        </w:sdt>
        <w:sdt>
          <w:sdtPr>
            <w:id w:val="-478528628"/>
            <w14:checkbox>
              <w14:checked w14:val="0"/>
              <w14:checkedState w14:val="2612" w14:font="MS Gothic"/>
              <w14:uncheckedState w14:val="2610" w14:font="MS Gothic"/>
            </w14:checkbox>
          </w:sdtPr>
          <w:sdtContent>
            <w:tc>
              <w:tcPr>
                <w:tcW w:w="1530" w:type="dxa"/>
              </w:tcPr>
              <w:p w14:paraId="70D0EA9A" w14:textId="77777777" w:rsidR="005E50B0" w:rsidRDefault="005E50B0" w:rsidP="007D451A">
                <w:pPr>
                  <w:jc w:val="center"/>
                </w:pPr>
                <w:r>
                  <w:rPr>
                    <w:rFonts w:ascii="MS Gothic" w:eastAsia="MS Gothic" w:hAnsi="MS Gothic" w:hint="eastAsia"/>
                  </w:rPr>
                  <w:t>☐</w:t>
                </w:r>
              </w:p>
            </w:tc>
          </w:sdtContent>
        </w:sdt>
        <w:sdt>
          <w:sdtPr>
            <w:id w:val="958609216"/>
            <w14:checkbox>
              <w14:checked w14:val="0"/>
              <w14:checkedState w14:val="2612" w14:font="MS Gothic"/>
              <w14:uncheckedState w14:val="2610" w14:font="MS Gothic"/>
            </w14:checkbox>
          </w:sdtPr>
          <w:sdtContent>
            <w:tc>
              <w:tcPr>
                <w:tcW w:w="1530" w:type="dxa"/>
              </w:tcPr>
              <w:p w14:paraId="19C4F867" w14:textId="77777777" w:rsidR="005E50B0" w:rsidRDefault="005E50B0" w:rsidP="007D451A">
                <w:pPr>
                  <w:jc w:val="center"/>
                </w:pPr>
                <w:r>
                  <w:rPr>
                    <w:rFonts w:ascii="MS Gothic" w:eastAsia="MS Gothic" w:hAnsi="MS Gothic" w:hint="eastAsia"/>
                  </w:rPr>
                  <w:t>☐</w:t>
                </w:r>
              </w:p>
            </w:tc>
          </w:sdtContent>
        </w:sdt>
      </w:tr>
      <w:tr w:rsidR="005E50B0" w14:paraId="4D6D9A73" w14:textId="77777777" w:rsidTr="00A27411">
        <w:tc>
          <w:tcPr>
            <w:tcW w:w="6300" w:type="dxa"/>
          </w:tcPr>
          <w:p w14:paraId="541A87DB" w14:textId="77777777" w:rsidR="005E50B0" w:rsidRDefault="005E50B0" w:rsidP="007D451A">
            <w:r>
              <w:t>Types of manipulations planned</w:t>
            </w:r>
          </w:p>
        </w:tc>
        <w:sdt>
          <w:sdtPr>
            <w:id w:val="1707905613"/>
            <w14:checkbox>
              <w14:checked w14:val="1"/>
              <w14:checkedState w14:val="2612" w14:font="MS Gothic"/>
              <w14:uncheckedState w14:val="2610" w14:font="MS Gothic"/>
            </w14:checkbox>
          </w:sdtPr>
          <w:sdtContent>
            <w:tc>
              <w:tcPr>
                <w:tcW w:w="1530" w:type="dxa"/>
              </w:tcPr>
              <w:p w14:paraId="18DACDA1" w14:textId="77777777" w:rsidR="005E50B0" w:rsidRDefault="005E50B0" w:rsidP="007D451A">
                <w:pPr>
                  <w:jc w:val="center"/>
                </w:pPr>
                <w:r>
                  <w:rPr>
                    <w:rFonts w:ascii="MS Gothic" w:eastAsia="MS Gothic" w:hAnsi="MS Gothic" w:hint="eastAsia"/>
                  </w:rPr>
                  <w:t>☒</w:t>
                </w:r>
              </w:p>
            </w:tc>
          </w:sdtContent>
        </w:sdt>
        <w:sdt>
          <w:sdtPr>
            <w:id w:val="1285387936"/>
            <w14:checkbox>
              <w14:checked w14:val="0"/>
              <w14:checkedState w14:val="2612" w14:font="MS Gothic"/>
              <w14:uncheckedState w14:val="2610" w14:font="MS Gothic"/>
            </w14:checkbox>
          </w:sdtPr>
          <w:sdtContent>
            <w:tc>
              <w:tcPr>
                <w:tcW w:w="1530" w:type="dxa"/>
              </w:tcPr>
              <w:p w14:paraId="1D0F50A3" w14:textId="77777777" w:rsidR="005E50B0" w:rsidRDefault="005E50B0" w:rsidP="007D451A">
                <w:pPr>
                  <w:jc w:val="center"/>
                </w:pPr>
                <w:r>
                  <w:rPr>
                    <w:rFonts w:ascii="MS Gothic" w:eastAsia="MS Gothic" w:hAnsi="MS Gothic" w:hint="eastAsia"/>
                  </w:rPr>
                  <w:t>☐</w:t>
                </w:r>
              </w:p>
            </w:tc>
          </w:sdtContent>
        </w:sdt>
        <w:sdt>
          <w:sdtPr>
            <w:id w:val="-542744783"/>
            <w14:checkbox>
              <w14:checked w14:val="0"/>
              <w14:checkedState w14:val="2612" w14:font="MS Gothic"/>
              <w14:uncheckedState w14:val="2610" w14:font="MS Gothic"/>
            </w14:checkbox>
          </w:sdtPr>
          <w:sdtContent>
            <w:tc>
              <w:tcPr>
                <w:tcW w:w="1530" w:type="dxa"/>
              </w:tcPr>
              <w:p w14:paraId="6F954B10" w14:textId="77777777" w:rsidR="005E50B0" w:rsidRDefault="005E50B0" w:rsidP="007D451A">
                <w:pPr>
                  <w:jc w:val="center"/>
                </w:pPr>
                <w:r>
                  <w:rPr>
                    <w:rFonts w:ascii="MS Gothic" w:eastAsia="MS Gothic" w:hAnsi="MS Gothic" w:hint="eastAsia"/>
                  </w:rPr>
                  <w:t>☐</w:t>
                </w:r>
              </w:p>
            </w:tc>
          </w:sdtContent>
        </w:sdt>
      </w:tr>
      <w:tr w:rsidR="005E50B0" w14:paraId="6C6CBABF" w14:textId="77777777" w:rsidTr="00A27411">
        <w:tc>
          <w:tcPr>
            <w:tcW w:w="6300" w:type="dxa"/>
          </w:tcPr>
          <w:p w14:paraId="00CB0E84" w14:textId="77777777" w:rsidR="005E50B0" w:rsidRDefault="005E50B0" w:rsidP="007D451A">
            <w:r>
              <w:t>Source(s) of nucleic sequences (e.g., species)</w:t>
            </w:r>
          </w:p>
        </w:tc>
        <w:sdt>
          <w:sdtPr>
            <w:id w:val="740601672"/>
            <w14:checkbox>
              <w14:checked w14:val="1"/>
              <w14:checkedState w14:val="2612" w14:font="MS Gothic"/>
              <w14:uncheckedState w14:val="2610" w14:font="MS Gothic"/>
            </w14:checkbox>
          </w:sdtPr>
          <w:sdtContent>
            <w:tc>
              <w:tcPr>
                <w:tcW w:w="1530" w:type="dxa"/>
              </w:tcPr>
              <w:p w14:paraId="08F87E2D" w14:textId="77777777" w:rsidR="005E50B0" w:rsidRDefault="005E50B0" w:rsidP="007D451A">
                <w:pPr>
                  <w:jc w:val="center"/>
                </w:pPr>
                <w:r>
                  <w:rPr>
                    <w:rFonts w:ascii="MS Gothic" w:eastAsia="MS Gothic" w:hAnsi="MS Gothic" w:hint="eastAsia"/>
                  </w:rPr>
                  <w:t>☒</w:t>
                </w:r>
              </w:p>
            </w:tc>
          </w:sdtContent>
        </w:sdt>
        <w:sdt>
          <w:sdtPr>
            <w:id w:val="-1998728366"/>
            <w14:checkbox>
              <w14:checked w14:val="0"/>
              <w14:checkedState w14:val="2612" w14:font="MS Gothic"/>
              <w14:uncheckedState w14:val="2610" w14:font="MS Gothic"/>
            </w14:checkbox>
          </w:sdtPr>
          <w:sdtContent>
            <w:tc>
              <w:tcPr>
                <w:tcW w:w="1530" w:type="dxa"/>
              </w:tcPr>
              <w:p w14:paraId="400D3BDF" w14:textId="77777777" w:rsidR="005E50B0" w:rsidRDefault="005E50B0" w:rsidP="007D451A">
                <w:pPr>
                  <w:jc w:val="center"/>
                </w:pPr>
                <w:r>
                  <w:rPr>
                    <w:rFonts w:ascii="MS Gothic" w:eastAsia="MS Gothic" w:hAnsi="MS Gothic" w:hint="eastAsia"/>
                  </w:rPr>
                  <w:t>☐</w:t>
                </w:r>
              </w:p>
            </w:tc>
          </w:sdtContent>
        </w:sdt>
        <w:sdt>
          <w:sdtPr>
            <w:id w:val="-1927404359"/>
            <w14:checkbox>
              <w14:checked w14:val="0"/>
              <w14:checkedState w14:val="2612" w14:font="MS Gothic"/>
              <w14:uncheckedState w14:val="2610" w14:font="MS Gothic"/>
            </w14:checkbox>
          </w:sdtPr>
          <w:sdtContent>
            <w:tc>
              <w:tcPr>
                <w:tcW w:w="1530" w:type="dxa"/>
              </w:tcPr>
              <w:p w14:paraId="56BEAFD7" w14:textId="77777777" w:rsidR="005E50B0" w:rsidRDefault="005E50B0" w:rsidP="007D451A">
                <w:pPr>
                  <w:jc w:val="center"/>
                </w:pPr>
                <w:r>
                  <w:rPr>
                    <w:rFonts w:ascii="MS Gothic" w:eastAsia="MS Gothic" w:hAnsi="MS Gothic" w:hint="eastAsia"/>
                  </w:rPr>
                  <w:t>☐</w:t>
                </w:r>
              </w:p>
            </w:tc>
          </w:sdtContent>
        </w:sdt>
      </w:tr>
      <w:tr w:rsidR="005E50B0" w14:paraId="6518BF05" w14:textId="77777777" w:rsidTr="00A27411">
        <w:tc>
          <w:tcPr>
            <w:tcW w:w="6300" w:type="dxa"/>
          </w:tcPr>
          <w:p w14:paraId="224523F4" w14:textId="77777777" w:rsidR="005E50B0" w:rsidRDefault="005E50B0" w:rsidP="007D451A">
            <w:r>
              <w:t>Nature of the nucleic acid sequences (e.g., structural gene, oncogene)</w:t>
            </w:r>
          </w:p>
        </w:tc>
        <w:sdt>
          <w:sdtPr>
            <w:id w:val="1875955831"/>
            <w14:checkbox>
              <w14:checked w14:val="1"/>
              <w14:checkedState w14:val="2612" w14:font="MS Gothic"/>
              <w14:uncheckedState w14:val="2610" w14:font="MS Gothic"/>
            </w14:checkbox>
          </w:sdtPr>
          <w:sdtContent>
            <w:tc>
              <w:tcPr>
                <w:tcW w:w="1530" w:type="dxa"/>
              </w:tcPr>
              <w:p w14:paraId="51811724" w14:textId="77777777" w:rsidR="005E50B0" w:rsidRDefault="005E50B0" w:rsidP="007D451A">
                <w:pPr>
                  <w:jc w:val="center"/>
                </w:pPr>
                <w:r>
                  <w:rPr>
                    <w:rFonts w:ascii="MS Gothic" w:eastAsia="MS Gothic" w:hAnsi="MS Gothic" w:hint="eastAsia"/>
                  </w:rPr>
                  <w:t>☒</w:t>
                </w:r>
              </w:p>
            </w:tc>
          </w:sdtContent>
        </w:sdt>
        <w:sdt>
          <w:sdtPr>
            <w:id w:val="1765499453"/>
            <w14:checkbox>
              <w14:checked w14:val="1"/>
              <w14:checkedState w14:val="2612" w14:font="MS Gothic"/>
              <w14:uncheckedState w14:val="2610" w14:font="MS Gothic"/>
            </w14:checkbox>
          </w:sdtPr>
          <w:sdtContent>
            <w:tc>
              <w:tcPr>
                <w:tcW w:w="1530" w:type="dxa"/>
              </w:tcPr>
              <w:p w14:paraId="60618F33" w14:textId="709774B6" w:rsidR="005E50B0" w:rsidRDefault="00A27411" w:rsidP="007D451A">
                <w:pPr>
                  <w:jc w:val="center"/>
                </w:pPr>
                <w:r>
                  <w:rPr>
                    <w:rFonts w:ascii="MS Gothic" w:eastAsia="MS Gothic" w:hAnsi="MS Gothic" w:hint="eastAsia"/>
                  </w:rPr>
                  <w:t>☒</w:t>
                </w:r>
              </w:p>
            </w:tc>
          </w:sdtContent>
        </w:sdt>
        <w:sdt>
          <w:sdtPr>
            <w:id w:val="-1143655909"/>
            <w14:checkbox>
              <w14:checked w14:val="0"/>
              <w14:checkedState w14:val="2612" w14:font="MS Gothic"/>
              <w14:uncheckedState w14:val="2610" w14:font="MS Gothic"/>
            </w14:checkbox>
          </w:sdtPr>
          <w:sdtContent>
            <w:tc>
              <w:tcPr>
                <w:tcW w:w="1530" w:type="dxa"/>
              </w:tcPr>
              <w:p w14:paraId="19BF908A" w14:textId="77777777" w:rsidR="005E50B0" w:rsidRDefault="005E50B0" w:rsidP="007D451A">
                <w:pPr>
                  <w:jc w:val="center"/>
                </w:pPr>
                <w:r>
                  <w:rPr>
                    <w:rFonts w:ascii="MS Gothic" w:eastAsia="MS Gothic" w:hAnsi="MS Gothic" w:hint="eastAsia"/>
                  </w:rPr>
                  <w:t>☐</w:t>
                </w:r>
              </w:p>
            </w:tc>
          </w:sdtContent>
        </w:sdt>
      </w:tr>
      <w:tr w:rsidR="005E50B0" w14:paraId="0CE8F6D5" w14:textId="77777777" w:rsidTr="00A27411">
        <w:tc>
          <w:tcPr>
            <w:tcW w:w="6300" w:type="dxa"/>
          </w:tcPr>
          <w:p w14:paraId="01650833" w14:textId="77777777" w:rsidR="005E50B0" w:rsidRDefault="005E50B0" w:rsidP="007D451A">
            <w:r>
              <w:t>Host(s) and Vector(s) to be used</w:t>
            </w:r>
          </w:p>
        </w:tc>
        <w:sdt>
          <w:sdtPr>
            <w:id w:val="1525060310"/>
            <w14:checkbox>
              <w14:checked w14:val="1"/>
              <w14:checkedState w14:val="2612" w14:font="MS Gothic"/>
              <w14:uncheckedState w14:val="2610" w14:font="MS Gothic"/>
            </w14:checkbox>
          </w:sdtPr>
          <w:sdtContent>
            <w:tc>
              <w:tcPr>
                <w:tcW w:w="1530" w:type="dxa"/>
              </w:tcPr>
              <w:p w14:paraId="1BF836CA" w14:textId="77777777" w:rsidR="005E50B0" w:rsidRDefault="005E50B0" w:rsidP="007D451A">
                <w:pPr>
                  <w:jc w:val="center"/>
                </w:pPr>
                <w:r>
                  <w:rPr>
                    <w:rFonts w:ascii="MS Gothic" w:eastAsia="MS Gothic" w:hAnsi="MS Gothic" w:hint="eastAsia"/>
                  </w:rPr>
                  <w:t>☒</w:t>
                </w:r>
              </w:p>
            </w:tc>
          </w:sdtContent>
        </w:sdt>
        <w:sdt>
          <w:sdtPr>
            <w:id w:val="-1605260094"/>
            <w14:checkbox>
              <w14:checked w14:val="0"/>
              <w14:checkedState w14:val="2612" w14:font="MS Gothic"/>
              <w14:uncheckedState w14:val="2610" w14:font="MS Gothic"/>
            </w14:checkbox>
          </w:sdtPr>
          <w:sdtContent>
            <w:tc>
              <w:tcPr>
                <w:tcW w:w="1530" w:type="dxa"/>
              </w:tcPr>
              <w:p w14:paraId="1C5AA7F2" w14:textId="77777777" w:rsidR="005E50B0" w:rsidRDefault="005E50B0" w:rsidP="007D451A">
                <w:pPr>
                  <w:jc w:val="center"/>
                </w:pPr>
                <w:r>
                  <w:rPr>
                    <w:rFonts w:ascii="MS Gothic" w:eastAsia="MS Gothic" w:hAnsi="MS Gothic" w:hint="eastAsia"/>
                  </w:rPr>
                  <w:t>☐</w:t>
                </w:r>
              </w:p>
            </w:tc>
          </w:sdtContent>
        </w:sdt>
        <w:sdt>
          <w:sdtPr>
            <w:id w:val="108940262"/>
            <w14:checkbox>
              <w14:checked w14:val="0"/>
              <w14:checkedState w14:val="2612" w14:font="MS Gothic"/>
              <w14:uncheckedState w14:val="2610" w14:font="MS Gothic"/>
            </w14:checkbox>
          </w:sdtPr>
          <w:sdtContent>
            <w:tc>
              <w:tcPr>
                <w:tcW w:w="1530" w:type="dxa"/>
              </w:tcPr>
              <w:p w14:paraId="5CE9B59C" w14:textId="77777777" w:rsidR="005E50B0" w:rsidRDefault="005E50B0" w:rsidP="007D451A">
                <w:pPr>
                  <w:jc w:val="center"/>
                </w:pPr>
                <w:r>
                  <w:rPr>
                    <w:rFonts w:ascii="MS Gothic" w:eastAsia="MS Gothic" w:hAnsi="MS Gothic" w:hint="eastAsia"/>
                  </w:rPr>
                  <w:t>☐</w:t>
                </w:r>
              </w:p>
            </w:tc>
          </w:sdtContent>
        </w:sdt>
      </w:tr>
      <w:tr w:rsidR="005E50B0" w14:paraId="76241750" w14:textId="77777777" w:rsidTr="00A27411">
        <w:tc>
          <w:tcPr>
            <w:tcW w:w="6300" w:type="dxa"/>
          </w:tcPr>
          <w:p w14:paraId="6051FA61" w14:textId="77777777" w:rsidR="005E50B0" w:rsidRDefault="005E50B0" w:rsidP="007D451A">
            <w:r>
              <w:t>If an attempt will be made to obtain expression of a transgene, and if so, the function of the protein that will be produced</w:t>
            </w:r>
          </w:p>
        </w:tc>
        <w:sdt>
          <w:sdtPr>
            <w:id w:val="1513882480"/>
            <w14:checkbox>
              <w14:checked w14:val="0"/>
              <w14:checkedState w14:val="2612" w14:font="MS Gothic"/>
              <w14:uncheckedState w14:val="2610" w14:font="MS Gothic"/>
            </w14:checkbox>
          </w:sdtPr>
          <w:sdtContent>
            <w:tc>
              <w:tcPr>
                <w:tcW w:w="1530" w:type="dxa"/>
              </w:tcPr>
              <w:p w14:paraId="43FF5380" w14:textId="77777777" w:rsidR="005E50B0" w:rsidRDefault="005E50B0" w:rsidP="007D451A">
                <w:pPr>
                  <w:jc w:val="center"/>
                </w:pPr>
                <w:r>
                  <w:rPr>
                    <w:rFonts w:ascii="MS Gothic" w:eastAsia="MS Gothic" w:hAnsi="MS Gothic" w:hint="eastAsia"/>
                  </w:rPr>
                  <w:t>☐</w:t>
                </w:r>
              </w:p>
            </w:tc>
          </w:sdtContent>
        </w:sdt>
        <w:sdt>
          <w:sdtPr>
            <w:id w:val="735438497"/>
            <w14:checkbox>
              <w14:checked w14:val="0"/>
              <w14:checkedState w14:val="2612" w14:font="MS Gothic"/>
              <w14:uncheckedState w14:val="2610" w14:font="MS Gothic"/>
            </w14:checkbox>
          </w:sdtPr>
          <w:sdtContent>
            <w:tc>
              <w:tcPr>
                <w:tcW w:w="1530" w:type="dxa"/>
              </w:tcPr>
              <w:p w14:paraId="35331D6F" w14:textId="77777777" w:rsidR="005E50B0" w:rsidRDefault="005E50B0" w:rsidP="007D451A">
                <w:pPr>
                  <w:jc w:val="center"/>
                </w:pPr>
                <w:r>
                  <w:rPr>
                    <w:rFonts w:ascii="MS Gothic" w:eastAsia="MS Gothic" w:hAnsi="MS Gothic" w:hint="eastAsia"/>
                  </w:rPr>
                  <w:t>☐</w:t>
                </w:r>
              </w:p>
            </w:tc>
          </w:sdtContent>
        </w:sdt>
        <w:sdt>
          <w:sdtPr>
            <w:id w:val="546263162"/>
            <w14:checkbox>
              <w14:checked w14:val="1"/>
              <w14:checkedState w14:val="2612" w14:font="MS Gothic"/>
              <w14:uncheckedState w14:val="2610" w14:font="MS Gothic"/>
            </w14:checkbox>
          </w:sdtPr>
          <w:sdtContent>
            <w:tc>
              <w:tcPr>
                <w:tcW w:w="1530" w:type="dxa"/>
              </w:tcPr>
              <w:p w14:paraId="04FCED31" w14:textId="77777777" w:rsidR="005E50B0" w:rsidRDefault="005E50B0" w:rsidP="007D451A">
                <w:pPr>
                  <w:jc w:val="center"/>
                </w:pPr>
                <w:r>
                  <w:rPr>
                    <w:rFonts w:ascii="MS Gothic" w:eastAsia="MS Gothic" w:hAnsi="MS Gothic" w:hint="eastAsia"/>
                  </w:rPr>
                  <w:t>☒</w:t>
                </w:r>
              </w:p>
            </w:tc>
          </w:sdtContent>
        </w:sdt>
      </w:tr>
      <w:tr w:rsidR="005E50B0" w14:paraId="0CE8C821" w14:textId="77777777" w:rsidTr="00A27411">
        <w:trPr>
          <w:trHeight w:val="557"/>
        </w:trPr>
        <w:tc>
          <w:tcPr>
            <w:tcW w:w="6300" w:type="dxa"/>
            <w:shd w:val="clear" w:color="auto" w:fill="A6A6A6" w:themeFill="background1" w:themeFillShade="A6"/>
          </w:tcPr>
          <w:p w14:paraId="619F3FD6" w14:textId="77777777" w:rsidR="005E50B0" w:rsidRPr="007C1523" w:rsidRDefault="005E50B0" w:rsidP="007D451A">
            <w:pPr>
              <w:rPr>
                <w:b/>
                <w:bCs/>
              </w:rPr>
            </w:pPr>
            <w:r w:rsidRPr="007C1523">
              <w:rPr>
                <w:b/>
                <w:bCs/>
              </w:rPr>
              <w:t>Other information is addressed:</w:t>
            </w:r>
          </w:p>
        </w:tc>
        <w:tc>
          <w:tcPr>
            <w:tcW w:w="1530" w:type="dxa"/>
            <w:shd w:val="clear" w:color="auto" w:fill="A6A6A6" w:themeFill="background1" w:themeFillShade="A6"/>
          </w:tcPr>
          <w:p w14:paraId="3560E49C" w14:textId="77777777" w:rsidR="005E50B0" w:rsidRDefault="005E50B0" w:rsidP="007D451A">
            <w:r w:rsidRPr="007C1523">
              <w:rPr>
                <w:b/>
                <w:bCs/>
              </w:rPr>
              <w:t>Included</w:t>
            </w:r>
          </w:p>
        </w:tc>
        <w:tc>
          <w:tcPr>
            <w:tcW w:w="1530" w:type="dxa"/>
            <w:shd w:val="clear" w:color="auto" w:fill="A6A6A6" w:themeFill="background1" w:themeFillShade="A6"/>
          </w:tcPr>
          <w:p w14:paraId="612F15C7" w14:textId="77777777" w:rsidR="005E50B0" w:rsidRDefault="005E50B0" w:rsidP="007D451A">
            <w:r w:rsidRPr="007C1523">
              <w:rPr>
                <w:b/>
                <w:bCs/>
              </w:rPr>
              <w:t>Requires Modification</w:t>
            </w:r>
          </w:p>
        </w:tc>
        <w:tc>
          <w:tcPr>
            <w:tcW w:w="1530" w:type="dxa"/>
            <w:shd w:val="clear" w:color="auto" w:fill="A6A6A6" w:themeFill="background1" w:themeFillShade="A6"/>
          </w:tcPr>
          <w:p w14:paraId="66635CB7" w14:textId="77777777" w:rsidR="005E50B0" w:rsidRDefault="005E50B0" w:rsidP="007D451A">
            <w:r w:rsidRPr="007C1523">
              <w:rPr>
                <w:b/>
                <w:bCs/>
              </w:rPr>
              <w:t>N/A</w:t>
            </w:r>
          </w:p>
        </w:tc>
      </w:tr>
      <w:tr w:rsidR="005E50B0" w14:paraId="05B750D9" w14:textId="77777777" w:rsidTr="00A27411">
        <w:tc>
          <w:tcPr>
            <w:tcW w:w="6300" w:type="dxa"/>
          </w:tcPr>
          <w:p w14:paraId="59523FD3" w14:textId="77777777" w:rsidR="005E50B0" w:rsidRDefault="005E50B0" w:rsidP="007D451A">
            <w:r>
              <w:t>PI is appropriately trained</w:t>
            </w:r>
          </w:p>
        </w:tc>
        <w:sdt>
          <w:sdtPr>
            <w:id w:val="-2087054853"/>
            <w14:checkbox>
              <w14:checked w14:val="1"/>
              <w14:checkedState w14:val="2612" w14:font="MS Gothic"/>
              <w14:uncheckedState w14:val="2610" w14:font="MS Gothic"/>
            </w14:checkbox>
          </w:sdtPr>
          <w:sdtContent>
            <w:tc>
              <w:tcPr>
                <w:tcW w:w="1530" w:type="dxa"/>
              </w:tcPr>
              <w:p w14:paraId="43677771" w14:textId="77777777" w:rsidR="005E50B0" w:rsidRDefault="005E50B0" w:rsidP="007D451A">
                <w:pPr>
                  <w:jc w:val="center"/>
                </w:pPr>
                <w:r>
                  <w:rPr>
                    <w:rFonts w:ascii="MS Gothic" w:eastAsia="MS Gothic" w:hAnsi="MS Gothic" w:hint="eastAsia"/>
                  </w:rPr>
                  <w:t>☒</w:t>
                </w:r>
              </w:p>
            </w:tc>
          </w:sdtContent>
        </w:sdt>
        <w:sdt>
          <w:sdtPr>
            <w:id w:val="192283942"/>
            <w14:checkbox>
              <w14:checked w14:val="0"/>
              <w14:checkedState w14:val="2612" w14:font="MS Gothic"/>
              <w14:uncheckedState w14:val="2610" w14:font="MS Gothic"/>
            </w14:checkbox>
          </w:sdtPr>
          <w:sdtContent>
            <w:tc>
              <w:tcPr>
                <w:tcW w:w="1530" w:type="dxa"/>
              </w:tcPr>
              <w:p w14:paraId="735DF234" w14:textId="77777777" w:rsidR="005E50B0" w:rsidRDefault="005E50B0" w:rsidP="007D451A">
                <w:pPr>
                  <w:jc w:val="center"/>
                </w:pPr>
                <w:r>
                  <w:rPr>
                    <w:rFonts w:ascii="MS Gothic" w:eastAsia="MS Gothic" w:hAnsi="MS Gothic" w:hint="eastAsia"/>
                  </w:rPr>
                  <w:t>☐</w:t>
                </w:r>
              </w:p>
            </w:tc>
          </w:sdtContent>
        </w:sdt>
        <w:tc>
          <w:tcPr>
            <w:tcW w:w="1530" w:type="dxa"/>
            <w:shd w:val="clear" w:color="auto" w:fill="000000" w:themeFill="text1"/>
          </w:tcPr>
          <w:p w14:paraId="7621B205" w14:textId="77777777" w:rsidR="005E50B0" w:rsidRDefault="005E50B0" w:rsidP="007D451A">
            <w:pPr>
              <w:jc w:val="center"/>
            </w:pPr>
          </w:p>
        </w:tc>
      </w:tr>
      <w:tr w:rsidR="005E50B0" w14:paraId="2ED3CE71" w14:textId="77777777" w:rsidTr="00A27411">
        <w:tc>
          <w:tcPr>
            <w:tcW w:w="6300" w:type="dxa"/>
          </w:tcPr>
          <w:p w14:paraId="64A53F04" w14:textId="77777777" w:rsidR="005E50B0" w:rsidRDefault="005E50B0" w:rsidP="007D451A">
            <w:r>
              <w:t>Laboratory staff is appropriately trained</w:t>
            </w:r>
          </w:p>
        </w:tc>
        <w:sdt>
          <w:sdtPr>
            <w:id w:val="-334774041"/>
            <w14:checkbox>
              <w14:checked w14:val="1"/>
              <w14:checkedState w14:val="2612" w14:font="MS Gothic"/>
              <w14:uncheckedState w14:val="2610" w14:font="MS Gothic"/>
            </w14:checkbox>
          </w:sdtPr>
          <w:sdtContent>
            <w:tc>
              <w:tcPr>
                <w:tcW w:w="1530" w:type="dxa"/>
              </w:tcPr>
              <w:p w14:paraId="326F6069" w14:textId="77777777" w:rsidR="005E50B0" w:rsidRDefault="005E50B0" w:rsidP="007D451A">
                <w:pPr>
                  <w:jc w:val="center"/>
                </w:pPr>
                <w:r>
                  <w:rPr>
                    <w:rFonts w:ascii="MS Gothic" w:eastAsia="MS Gothic" w:hAnsi="MS Gothic" w:hint="eastAsia"/>
                  </w:rPr>
                  <w:t>☒</w:t>
                </w:r>
              </w:p>
            </w:tc>
          </w:sdtContent>
        </w:sdt>
        <w:sdt>
          <w:sdtPr>
            <w:id w:val="1541852787"/>
            <w14:checkbox>
              <w14:checked w14:val="0"/>
              <w14:checkedState w14:val="2612" w14:font="MS Gothic"/>
              <w14:uncheckedState w14:val="2610" w14:font="MS Gothic"/>
            </w14:checkbox>
          </w:sdtPr>
          <w:sdtContent>
            <w:tc>
              <w:tcPr>
                <w:tcW w:w="1530" w:type="dxa"/>
              </w:tcPr>
              <w:p w14:paraId="75D25B75" w14:textId="77777777" w:rsidR="005E50B0" w:rsidRDefault="005E50B0" w:rsidP="007D451A">
                <w:pPr>
                  <w:jc w:val="center"/>
                </w:pPr>
                <w:r>
                  <w:rPr>
                    <w:rFonts w:ascii="MS Gothic" w:eastAsia="MS Gothic" w:hAnsi="MS Gothic" w:hint="eastAsia"/>
                  </w:rPr>
                  <w:t>☐</w:t>
                </w:r>
              </w:p>
            </w:tc>
          </w:sdtContent>
        </w:sdt>
        <w:sdt>
          <w:sdtPr>
            <w:id w:val="375899718"/>
            <w14:checkbox>
              <w14:checked w14:val="0"/>
              <w14:checkedState w14:val="2612" w14:font="MS Gothic"/>
              <w14:uncheckedState w14:val="2610" w14:font="MS Gothic"/>
            </w14:checkbox>
          </w:sdtPr>
          <w:sdtContent>
            <w:tc>
              <w:tcPr>
                <w:tcW w:w="1530" w:type="dxa"/>
              </w:tcPr>
              <w:p w14:paraId="220B8401" w14:textId="77777777" w:rsidR="005E50B0" w:rsidRDefault="005E50B0" w:rsidP="007D451A">
                <w:pPr>
                  <w:jc w:val="center"/>
                </w:pPr>
                <w:r>
                  <w:rPr>
                    <w:rFonts w:ascii="MS Gothic" w:eastAsia="MS Gothic" w:hAnsi="MS Gothic" w:hint="eastAsia"/>
                  </w:rPr>
                  <w:t>☐</w:t>
                </w:r>
              </w:p>
            </w:tc>
          </w:sdtContent>
        </w:sdt>
      </w:tr>
      <w:tr w:rsidR="005E50B0" w14:paraId="04EF804E" w14:textId="77777777" w:rsidTr="00A27411">
        <w:tc>
          <w:tcPr>
            <w:tcW w:w="6300" w:type="dxa"/>
          </w:tcPr>
          <w:p w14:paraId="0EA381BF" w14:textId="77777777" w:rsidR="005E50B0" w:rsidRDefault="005E50B0" w:rsidP="007D451A">
            <w:r>
              <w:t>Biosafety level is clearly defined</w:t>
            </w:r>
          </w:p>
        </w:tc>
        <w:sdt>
          <w:sdtPr>
            <w:id w:val="-1884635216"/>
            <w14:checkbox>
              <w14:checked w14:val="1"/>
              <w14:checkedState w14:val="2612" w14:font="MS Gothic"/>
              <w14:uncheckedState w14:val="2610" w14:font="MS Gothic"/>
            </w14:checkbox>
          </w:sdtPr>
          <w:sdtContent>
            <w:tc>
              <w:tcPr>
                <w:tcW w:w="1530" w:type="dxa"/>
              </w:tcPr>
              <w:p w14:paraId="31B534CF" w14:textId="77777777" w:rsidR="005E50B0" w:rsidRDefault="005E50B0" w:rsidP="007D451A">
                <w:pPr>
                  <w:jc w:val="center"/>
                </w:pPr>
                <w:r>
                  <w:rPr>
                    <w:rFonts w:ascii="MS Gothic" w:eastAsia="MS Gothic" w:hAnsi="MS Gothic" w:hint="eastAsia"/>
                  </w:rPr>
                  <w:t>☒</w:t>
                </w:r>
              </w:p>
            </w:tc>
          </w:sdtContent>
        </w:sdt>
        <w:sdt>
          <w:sdtPr>
            <w:id w:val="-1714578348"/>
            <w14:checkbox>
              <w14:checked w14:val="0"/>
              <w14:checkedState w14:val="2612" w14:font="MS Gothic"/>
              <w14:uncheckedState w14:val="2610" w14:font="MS Gothic"/>
            </w14:checkbox>
          </w:sdtPr>
          <w:sdtContent>
            <w:tc>
              <w:tcPr>
                <w:tcW w:w="1530" w:type="dxa"/>
              </w:tcPr>
              <w:p w14:paraId="0FB7BA6D" w14:textId="77777777" w:rsidR="005E50B0" w:rsidRDefault="005E50B0" w:rsidP="007D451A">
                <w:pPr>
                  <w:jc w:val="center"/>
                </w:pPr>
                <w:r>
                  <w:rPr>
                    <w:rFonts w:ascii="MS Gothic" w:eastAsia="MS Gothic" w:hAnsi="MS Gothic" w:hint="eastAsia"/>
                  </w:rPr>
                  <w:t>☐</w:t>
                </w:r>
              </w:p>
            </w:tc>
          </w:sdtContent>
        </w:sdt>
        <w:sdt>
          <w:sdtPr>
            <w:id w:val="821239577"/>
            <w14:checkbox>
              <w14:checked w14:val="0"/>
              <w14:checkedState w14:val="2612" w14:font="MS Gothic"/>
              <w14:uncheckedState w14:val="2610" w14:font="MS Gothic"/>
            </w14:checkbox>
          </w:sdtPr>
          <w:sdtContent>
            <w:tc>
              <w:tcPr>
                <w:tcW w:w="1530" w:type="dxa"/>
              </w:tcPr>
              <w:p w14:paraId="1677972E" w14:textId="77777777" w:rsidR="005E50B0" w:rsidRDefault="005E50B0" w:rsidP="007D451A">
                <w:pPr>
                  <w:jc w:val="center"/>
                </w:pPr>
                <w:r>
                  <w:rPr>
                    <w:rFonts w:ascii="MS Gothic" w:eastAsia="MS Gothic" w:hAnsi="MS Gothic" w:hint="eastAsia"/>
                  </w:rPr>
                  <w:t>☐</w:t>
                </w:r>
              </w:p>
            </w:tc>
          </w:sdtContent>
        </w:sdt>
      </w:tr>
      <w:tr w:rsidR="005E50B0" w14:paraId="40289538" w14:textId="77777777" w:rsidTr="00A27411">
        <w:tc>
          <w:tcPr>
            <w:tcW w:w="6300" w:type="dxa"/>
          </w:tcPr>
          <w:p w14:paraId="7319D379" w14:textId="77777777" w:rsidR="005E50B0" w:rsidRDefault="005E50B0" w:rsidP="007D451A">
            <w:r>
              <w:t>Any special provisions are clear</w:t>
            </w:r>
          </w:p>
        </w:tc>
        <w:sdt>
          <w:sdtPr>
            <w:id w:val="-34733288"/>
            <w14:checkbox>
              <w14:checked w14:val="0"/>
              <w14:checkedState w14:val="2612" w14:font="MS Gothic"/>
              <w14:uncheckedState w14:val="2610" w14:font="MS Gothic"/>
            </w14:checkbox>
          </w:sdtPr>
          <w:sdtContent>
            <w:tc>
              <w:tcPr>
                <w:tcW w:w="1530" w:type="dxa"/>
              </w:tcPr>
              <w:p w14:paraId="40D2D06D" w14:textId="77777777" w:rsidR="005E50B0" w:rsidRDefault="005E50B0" w:rsidP="007D451A">
                <w:pPr>
                  <w:jc w:val="center"/>
                </w:pPr>
                <w:r>
                  <w:rPr>
                    <w:rFonts w:ascii="MS Gothic" w:eastAsia="MS Gothic" w:hAnsi="MS Gothic" w:hint="eastAsia"/>
                  </w:rPr>
                  <w:t>☐</w:t>
                </w:r>
              </w:p>
            </w:tc>
          </w:sdtContent>
        </w:sdt>
        <w:sdt>
          <w:sdtPr>
            <w:id w:val="-1248180966"/>
            <w14:checkbox>
              <w14:checked w14:val="0"/>
              <w14:checkedState w14:val="2612" w14:font="MS Gothic"/>
              <w14:uncheckedState w14:val="2610" w14:font="MS Gothic"/>
            </w14:checkbox>
          </w:sdtPr>
          <w:sdtContent>
            <w:tc>
              <w:tcPr>
                <w:tcW w:w="1530" w:type="dxa"/>
              </w:tcPr>
              <w:p w14:paraId="7292CF05" w14:textId="77777777" w:rsidR="005E50B0" w:rsidRDefault="005E50B0" w:rsidP="007D451A">
                <w:pPr>
                  <w:jc w:val="center"/>
                </w:pPr>
                <w:r>
                  <w:rPr>
                    <w:rFonts w:ascii="MS Gothic" w:eastAsia="MS Gothic" w:hAnsi="MS Gothic" w:hint="eastAsia"/>
                  </w:rPr>
                  <w:t>☐</w:t>
                </w:r>
              </w:p>
            </w:tc>
          </w:sdtContent>
        </w:sdt>
        <w:sdt>
          <w:sdtPr>
            <w:id w:val="-1195221578"/>
            <w14:checkbox>
              <w14:checked w14:val="1"/>
              <w14:checkedState w14:val="2612" w14:font="MS Gothic"/>
              <w14:uncheckedState w14:val="2610" w14:font="MS Gothic"/>
            </w14:checkbox>
          </w:sdtPr>
          <w:sdtContent>
            <w:tc>
              <w:tcPr>
                <w:tcW w:w="1530" w:type="dxa"/>
              </w:tcPr>
              <w:p w14:paraId="051CE277" w14:textId="77777777" w:rsidR="005E50B0" w:rsidRDefault="005E50B0" w:rsidP="007D451A">
                <w:pPr>
                  <w:jc w:val="center"/>
                </w:pPr>
                <w:r>
                  <w:rPr>
                    <w:rFonts w:ascii="MS Gothic" w:eastAsia="MS Gothic" w:hAnsi="MS Gothic" w:hint="eastAsia"/>
                  </w:rPr>
                  <w:t>☒</w:t>
                </w:r>
              </w:p>
            </w:tc>
          </w:sdtContent>
        </w:sdt>
      </w:tr>
    </w:tbl>
    <w:p w14:paraId="6FF162B4" w14:textId="77777777" w:rsidR="005E50B0" w:rsidRDefault="005E50B0" w:rsidP="005E50B0"/>
    <w:p w14:paraId="1A6479AC" w14:textId="77777777" w:rsidR="005E50B0" w:rsidRDefault="005E50B0" w:rsidP="005E50B0">
      <w:r w:rsidRPr="005668AD">
        <w:rPr>
          <w:b/>
          <w:bCs/>
          <w:u w:val="single"/>
        </w:rPr>
        <w:t xml:space="preserve">Approval per </w:t>
      </w:r>
      <w:hyperlink r:id="rId15" w:history="1">
        <w:r w:rsidRPr="00414BA8">
          <w:rPr>
            <w:rStyle w:val="Hyperlink"/>
            <w:b/>
            <w:bCs/>
          </w:rPr>
          <w:t>NIH Guidelines</w:t>
        </w:r>
      </w:hyperlink>
      <w:r>
        <w:rPr>
          <w:b/>
          <w:bCs/>
          <w:u w:val="single"/>
        </w:rPr>
        <w:t xml:space="preserve"> (2024) Section III</w:t>
      </w:r>
      <w:r>
        <w:t xml:space="preserve">: </w:t>
      </w:r>
      <w:r w:rsidRPr="00FC188E">
        <w:t xml:space="preserve">Choose </w:t>
      </w:r>
      <w:r>
        <w:t xml:space="preserve">at least </w:t>
      </w:r>
      <w:r w:rsidRPr="00FC188E">
        <w:t>one.</w:t>
      </w:r>
    </w:p>
    <w:tbl>
      <w:tblPr>
        <w:tblStyle w:val="TableGrid"/>
        <w:tblW w:w="10890" w:type="dxa"/>
        <w:tblInd w:w="-725" w:type="dxa"/>
        <w:tblLook w:val="04A0" w:firstRow="1" w:lastRow="0" w:firstColumn="1" w:lastColumn="0" w:noHBand="0" w:noVBand="1"/>
      </w:tblPr>
      <w:tblGrid>
        <w:gridCol w:w="3062"/>
        <w:gridCol w:w="2383"/>
        <w:gridCol w:w="5445"/>
      </w:tblGrid>
      <w:tr w:rsidR="002202D6" w14:paraId="5B0368EB" w14:textId="77777777" w:rsidTr="002202D6">
        <w:tc>
          <w:tcPr>
            <w:tcW w:w="5445" w:type="dxa"/>
            <w:gridSpan w:val="2"/>
            <w:tcBorders>
              <w:right w:val="nil"/>
            </w:tcBorders>
            <w:shd w:val="clear" w:color="auto" w:fill="A6A6A6" w:themeFill="background1" w:themeFillShade="A6"/>
          </w:tcPr>
          <w:p w14:paraId="03C39DFE" w14:textId="77777777" w:rsidR="002202D6" w:rsidRPr="0028737F" w:rsidRDefault="002202D6" w:rsidP="002202D6">
            <w:pPr>
              <w:rPr>
                <w:b/>
                <w:bCs/>
              </w:rPr>
            </w:pPr>
            <w:r w:rsidRPr="0028737F">
              <w:rPr>
                <w:b/>
                <w:bCs/>
              </w:rPr>
              <w:t>Section III-A: Major Actions</w:t>
            </w:r>
            <w:r>
              <w:rPr>
                <w:b/>
                <w:bCs/>
              </w:rPr>
              <w:t xml:space="preserve"> </w:t>
            </w:r>
            <w:r w:rsidRPr="00F01E7D">
              <w:t>(pg. 16)</w:t>
            </w:r>
          </w:p>
        </w:tc>
        <w:tc>
          <w:tcPr>
            <w:tcW w:w="5445" w:type="dxa"/>
            <w:tcBorders>
              <w:left w:val="nil"/>
            </w:tcBorders>
            <w:shd w:val="clear" w:color="auto" w:fill="A6A6A6" w:themeFill="background1" w:themeFillShade="A6"/>
          </w:tcPr>
          <w:p w14:paraId="1B9C6CB7" w14:textId="7A575778" w:rsidR="002202D6" w:rsidRPr="0028737F" w:rsidRDefault="002202D6" w:rsidP="007D451A">
            <w:pPr>
              <w:jc w:val="center"/>
              <w:rPr>
                <w:b/>
                <w:bCs/>
              </w:rPr>
            </w:pPr>
          </w:p>
        </w:tc>
      </w:tr>
      <w:tr w:rsidR="005E50B0" w14:paraId="3E96A277" w14:textId="77777777" w:rsidTr="007D451A">
        <w:sdt>
          <w:sdtPr>
            <w:id w:val="-839303392"/>
            <w14:checkbox>
              <w14:checked w14:val="0"/>
              <w14:checkedState w14:val="2612" w14:font="MS Gothic"/>
              <w14:uncheckedState w14:val="2610" w14:font="MS Gothic"/>
            </w14:checkbox>
          </w:sdtPr>
          <w:sdtContent>
            <w:tc>
              <w:tcPr>
                <w:tcW w:w="3062" w:type="dxa"/>
              </w:tcPr>
              <w:p w14:paraId="2CDCE14E" w14:textId="77777777" w:rsidR="005E50B0" w:rsidRDefault="005E50B0" w:rsidP="007D451A">
                <w:pPr>
                  <w:jc w:val="center"/>
                </w:pPr>
                <w:r>
                  <w:rPr>
                    <w:rFonts w:ascii="MS Gothic" w:eastAsia="MS Gothic" w:hAnsi="MS Gothic" w:hint="eastAsia"/>
                  </w:rPr>
                  <w:t>☐</w:t>
                </w:r>
              </w:p>
            </w:tc>
          </w:sdtContent>
        </w:sdt>
        <w:tc>
          <w:tcPr>
            <w:tcW w:w="7828" w:type="dxa"/>
            <w:gridSpan w:val="2"/>
          </w:tcPr>
          <w:p w14:paraId="30BC3053" w14:textId="77777777" w:rsidR="005E50B0" w:rsidRDefault="005E50B0" w:rsidP="007D451A">
            <w:r>
              <w:t>Section III-A-1-a: The deliberate transfer of a drug resistance trait to microorganisms that are not known to acquire the trait naturally. Requires NIH Director approval.</w:t>
            </w:r>
          </w:p>
        </w:tc>
      </w:tr>
      <w:tr w:rsidR="002202D6" w14:paraId="39A139A3" w14:textId="77777777" w:rsidTr="002202D6">
        <w:tc>
          <w:tcPr>
            <w:tcW w:w="5445" w:type="dxa"/>
            <w:gridSpan w:val="2"/>
            <w:tcBorders>
              <w:right w:val="nil"/>
            </w:tcBorders>
            <w:shd w:val="clear" w:color="auto" w:fill="A6A6A6" w:themeFill="background1" w:themeFillShade="A6"/>
          </w:tcPr>
          <w:p w14:paraId="05292DFB" w14:textId="77777777" w:rsidR="002202D6" w:rsidRPr="0028737F" w:rsidRDefault="002202D6" w:rsidP="002202D6">
            <w:pPr>
              <w:rPr>
                <w:b/>
                <w:bCs/>
              </w:rPr>
            </w:pPr>
            <w:r w:rsidRPr="0028737F">
              <w:rPr>
                <w:b/>
                <w:bCs/>
              </w:rPr>
              <w:lastRenderedPageBreak/>
              <w:t xml:space="preserve">Section III-B: Experiments that Require NIH OSP </w:t>
            </w:r>
            <w:r>
              <w:rPr>
                <w:b/>
                <w:bCs/>
              </w:rPr>
              <w:t>&amp;</w:t>
            </w:r>
            <w:r w:rsidRPr="0028737F">
              <w:rPr>
                <w:b/>
                <w:bCs/>
              </w:rPr>
              <w:t xml:space="preserve"> IBC Approval</w:t>
            </w:r>
            <w:r>
              <w:rPr>
                <w:b/>
                <w:bCs/>
              </w:rPr>
              <w:t xml:space="preserve"> Before Initiation </w:t>
            </w:r>
            <w:r w:rsidRPr="00F01E7D">
              <w:t>(pg. 17)</w:t>
            </w:r>
          </w:p>
        </w:tc>
        <w:tc>
          <w:tcPr>
            <w:tcW w:w="5445" w:type="dxa"/>
            <w:tcBorders>
              <w:left w:val="nil"/>
            </w:tcBorders>
            <w:shd w:val="clear" w:color="auto" w:fill="A6A6A6" w:themeFill="background1" w:themeFillShade="A6"/>
          </w:tcPr>
          <w:p w14:paraId="33E37F8E" w14:textId="261816A3" w:rsidR="002202D6" w:rsidRPr="0028737F" w:rsidRDefault="002202D6" w:rsidP="007D451A">
            <w:pPr>
              <w:jc w:val="center"/>
              <w:rPr>
                <w:b/>
                <w:bCs/>
              </w:rPr>
            </w:pPr>
          </w:p>
        </w:tc>
      </w:tr>
      <w:tr w:rsidR="005E50B0" w14:paraId="1AB29C9C" w14:textId="77777777" w:rsidTr="007D451A">
        <w:sdt>
          <w:sdtPr>
            <w:id w:val="-642428644"/>
            <w14:checkbox>
              <w14:checked w14:val="0"/>
              <w14:checkedState w14:val="2612" w14:font="MS Gothic"/>
              <w14:uncheckedState w14:val="2610" w14:font="MS Gothic"/>
            </w14:checkbox>
          </w:sdtPr>
          <w:sdtContent>
            <w:tc>
              <w:tcPr>
                <w:tcW w:w="3062" w:type="dxa"/>
              </w:tcPr>
              <w:p w14:paraId="792CEDE4" w14:textId="77777777" w:rsidR="005E50B0" w:rsidRDefault="005E50B0" w:rsidP="007D451A">
                <w:pPr>
                  <w:jc w:val="center"/>
                </w:pPr>
                <w:r>
                  <w:rPr>
                    <w:rFonts w:ascii="MS Gothic" w:eastAsia="MS Gothic" w:hAnsi="MS Gothic" w:hint="eastAsia"/>
                  </w:rPr>
                  <w:t>☐</w:t>
                </w:r>
              </w:p>
            </w:tc>
          </w:sdtContent>
        </w:sdt>
        <w:tc>
          <w:tcPr>
            <w:tcW w:w="7828" w:type="dxa"/>
            <w:gridSpan w:val="2"/>
          </w:tcPr>
          <w:p w14:paraId="4BAF2F33" w14:textId="77777777" w:rsidR="005E50B0" w:rsidRDefault="005E50B0" w:rsidP="007D451A">
            <w:r>
              <w:t>Section III-B-1: Experiments involving the cloning of toxin molecules with LD</w:t>
            </w:r>
            <w:r w:rsidRPr="007725F9">
              <w:rPr>
                <w:vertAlign w:val="subscript"/>
              </w:rPr>
              <w:t>50</w:t>
            </w:r>
            <w:r>
              <w:t xml:space="preserve"> of less than 100 nanograms per Kilogram body weight.</w:t>
            </w:r>
          </w:p>
        </w:tc>
      </w:tr>
      <w:tr w:rsidR="005E50B0" w14:paraId="046C80DB" w14:textId="77777777" w:rsidTr="007D451A">
        <w:sdt>
          <w:sdtPr>
            <w:id w:val="-1008756321"/>
            <w14:checkbox>
              <w14:checked w14:val="0"/>
              <w14:checkedState w14:val="2612" w14:font="MS Gothic"/>
              <w14:uncheckedState w14:val="2610" w14:font="MS Gothic"/>
            </w14:checkbox>
          </w:sdtPr>
          <w:sdtContent>
            <w:tc>
              <w:tcPr>
                <w:tcW w:w="3062" w:type="dxa"/>
              </w:tcPr>
              <w:p w14:paraId="512EC16C" w14:textId="77777777" w:rsidR="005E50B0" w:rsidRDefault="005E50B0" w:rsidP="007D451A">
                <w:pPr>
                  <w:jc w:val="center"/>
                </w:pPr>
                <w:r>
                  <w:rPr>
                    <w:rFonts w:ascii="MS Gothic" w:eastAsia="MS Gothic" w:hAnsi="MS Gothic" w:hint="eastAsia"/>
                  </w:rPr>
                  <w:t>☐</w:t>
                </w:r>
              </w:p>
            </w:tc>
          </w:sdtContent>
        </w:sdt>
        <w:tc>
          <w:tcPr>
            <w:tcW w:w="7828" w:type="dxa"/>
            <w:gridSpan w:val="2"/>
          </w:tcPr>
          <w:p w14:paraId="09BF2148" w14:textId="77777777" w:rsidR="005E50B0" w:rsidRDefault="005E50B0" w:rsidP="007D451A">
            <w:r>
              <w:t xml:space="preserve">Section III-B-2: Experiments that have been approved as an </w:t>
            </w:r>
            <w:proofErr w:type="gramStart"/>
            <w:r>
              <w:t>equivalent major actions</w:t>
            </w:r>
            <w:proofErr w:type="gramEnd"/>
            <w:r>
              <w:t xml:space="preserve"> under NIH Guidelines. Must be </w:t>
            </w:r>
            <w:proofErr w:type="gramStart"/>
            <w:r>
              <w:t>ruled  by</w:t>
            </w:r>
            <w:proofErr w:type="gramEnd"/>
            <w:r>
              <w:t xml:space="preserve"> NIH OSP.</w:t>
            </w:r>
          </w:p>
        </w:tc>
      </w:tr>
      <w:tr w:rsidR="002202D6" w14:paraId="4F3CC4FE" w14:textId="77777777" w:rsidTr="002202D6">
        <w:tc>
          <w:tcPr>
            <w:tcW w:w="5445" w:type="dxa"/>
            <w:gridSpan w:val="2"/>
            <w:tcBorders>
              <w:right w:val="nil"/>
            </w:tcBorders>
            <w:shd w:val="clear" w:color="auto" w:fill="A6A6A6" w:themeFill="background1" w:themeFillShade="A6"/>
          </w:tcPr>
          <w:p w14:paraId="7B50C7CA" w14:textId="77777777" w:rsidR="002202D6" w:rsidRPr="007725F9" w:rsidRDefault="002202D6" w:rsidP="002202D6">
            <w:pPr>
              <w:rPr>
                <w:b/>
                <w:bCs/>
              </w:rPr>
            </w:pPr>
            <w:r w:rsidRPr="007725F9">
              <w:rPr>
                <w:b/>
                <w:bCs/>
              </w:rPr>
              <w:t>Section III-C: Experiments Involving Gene Transfer that Require IBC Approval</w:t>
            </w:r>
            <w:r>
              <w:rPr>
                <w:b/>
                <w:bCs/>
              </w:rPr>
              <w:t xml:space="preserve"> Before Initiation </w:t>
            </w:r>
            <w:r w:rsidRPr="00F01E7D">
              <w:t>(pg. 17)</w:t>
            </w:r>
          </w:p>
        </w:tc>
        <w:tc>
          <w:tcPr>
            <w:tcW w:w="5445" w:type="dxa"/>
            <w:tcBorders>
              <w:left w:val="nil"/>
            </w:tcBorders>
            <w:shd w:val="clear" w:color="auto" w:fill="A6A6A6" w:themeFill="background1" w:themeFillShade="A6"/>
          </w:tcPr>
          <w:p w14:paraId="5197FFCA" w14:textId="6FBB30EC" w:rsidR="002202D6" w:rsidRPr="007725F9" w:rsidRDefault="002202D6" w:rsidP="007D451A">
            <w:pPr>
              <w:jc w:val="center"/>
              <w:rPr>
                <w:b/>
                <w:bCs/>
              </w:rPr>
            </w:pPr>
          </w:p>
        </w:tc>
      </w:tr>
      <w:tr w:rsidR="005E50B0" w14:paraId="151C2638" w14:textId="77777777" w:rsidTr="007D451A">
        <w:sdt>
          <w:sdtPr>
            <w:id w:val="1096981441"/>
            <w14:checkbox>
              <w14:checked w14:val="0"/>
              <w14:checkedState w14:val="2612" w14:font="MS Gothic"/>
              <w14:uncheckedState w14:val="2610" w14:font="MS Gothic"/>
            </w14:checkbox>
          </w:sdtPr>
          <w:sdtContent>
            <w:tc>
              <w:tcPr>
                <w:tcW w:w="3062" w:type="dxa"/>
              </w:tcPr>
              <w:p w14:paraId="695E3197" w14:textId="77777777" w:rsidR="005E50B0" w:rsidRDefault="005E50B0" w:rsidP="007D451A">
                <w:pPr>
                  <w:jc w:val="center"/>
                </w:pPr>
                <w:r>
                  <w:rPr>
                    <w:rFonts w:ascii="MS Gothic" w:eastAsia="MS Gothic" w:hAnsi="MS Gothic" w:hint="eastAsia"/>
                  </w:rPr>
                  <w:t>☐</w:t>
                </w:r>
              </w:p>
            </w:tc>
          </w:sdtContent>
        </w:sdt>
        <w:tc>
          <w:tcPr>
            <w:tcW w:w="7828" w:type="dxa"/>
            <w:gridSpan w:val="2"/>
          </w:tcPr>
          <w:p w14:paraId="5DA16E95" w14:textId="77777777" w:rsidR="005E50B0" w:rsidRDefault="005E50B0" w:rsidP="007D451A">
            <w:r>
              <w:t>Section III-C-1(1): Human gene transfer involving recombinant nucleic acid molecules, or DNA or RNA derived from recombinant nucleic acid molecules</w:t>
            </w:r>
          </w:p>
        </w:tc>
      </w:tr>
      <w:tr w:rsidR="005E50B0" w14:paraId="642D159A" w14:textId="77777777" w:rsidTr="007D451A">
        <w:sdt>
          <w:sdtPr>
            <w:id w:val="-1644493987"/>
            <w14:checkbox>
              <w14:checked w14:val="0"/>
              <w14:checkedState w14:val="2612" w14:font="MS Gothic"/>
              <w14:uncheckedState w14:val="2610" w14:font="MS Gothic"/>
            </w14:checkbox>
          </w:sdtPr>
          <w:sdtContent>
            <w:tc>
              <w:tcPr>
                <w:tcW w:w="3062" w:type="dxa"/>
              </w:tcPr>
              <w:p w14:paraId="73F2EEE2" w14:textId="77777777" w:rsidR="005E50B0" w:rsidRDefault="005E50B0" w:rsidP="007D451A">
                <w:pPr>
                  <w:jc w:val="center"/>
                </w:pPr>
                <w:r>
                  <w:rPr>
                    <w:rFonts w:ascii="MS Gothic" w:eastAsia="MS Gothic" w:hAnsi="MS Gothic" w:hint="eastAsia"/>
                  </w:rPr>
                  <w:t>☐</w:t>
                </w:r>
              </w:p>
            </w:tc>
          </w:sdtContent>
        </w:sdt>
        <w:tc>
          <w:tcPr>
            <w:tcW w:w="7828" w:type="dxa"/>
            <w:gridSpan w:val="2"/>
          </w:tcPr>
          <w:p w14:paraId="49C34B50" w14:textId="77777777" w:rsidR="005E50B0" w:rsidRDefault="005E50B0" w:rsidP="007D451A">
            <w:r>
              <w:t xml:space="preserve">Section III-C-1(2): Human gene transfer involving synthetic nucleic acid molecules, or DNA or RNA derived from synthetic nucleic acid molecules, that meet any one of these criteria – Contain more than 100 nucleotides; possess biological properties that enable introduction of stable genetic modification into the genome; have the potential to replicate in cell; </w:t>
            </w:r>
            <w:r w:rsidRPr="00780952">
              <w:rPr>
                <w:b/>
                <w:bCs/>
              </w:rPr>
              <w:t>or</w:t>
            </w:r>
            <w:r>
              <w:t xml:space="preserve"> can be translated and transcribed.</w:t>
            </w:r>
          </w:p>
        </w:tc>
      </w:tr>
      <w:tr w:rsidR="002202D6" w14:paraId="67A5A2AE" w14:textId="77777777" w:rsidTr="002202D6">
        <w:tc>
          <w:tcPr>
            <w:tcW w:w="5445" w:type="dxa"/>
            <w:gridSpan w:val="2"/>
            <w:tcBorders>
              <w:right w:val="nil"/>
            </w:tcBorders>
            <w:shd w:val="clear" w:color="auto" w:fill="A6A6A6" w:themeFill="background1" w:themeFillShade="A6"/>
          </w:tcPr>
          <w:p w14:paraId="2888C20C" w14:textId="77777777" w:rsidR="002202D6" w:rsidRPr="00780952" w:rsidRDefault="002202D6" w:rsidP="002202D6">
            <w:pPr>
              <w:rPr>
                <w:b/>
                <w:bCs/>
              </w:rPr>
            </w:pPr>
            <w:r w:rsidRPr="00780952">
              <w:rPr>
                <w:b/>
                <w:bCs/>
              </w:rPr>
              <w:t>Section III-D: Experiments that Require IBC Approval</w:t>
            </w:r>
            <w:r>
              <w:rPr>
                <w:b/>
                <w:bCs/>
              </w:rPr>
              <w:t xml:space="preserve"> Before Initiation </w:t>
            </w:r>
            <w:r w:rsidRPr="00F01E7D">
              <w:t>(pg. 18)</w:t>
            </w:r>
          </w:p>
        </w:tc>
        <w:tc>
          <w:tcPr>
            <w:tcW w:w="5445" w:type="dxa"/>
            <w:tcBorders>
              <w:left w:val="nil"/>
            </w:tcBorders>
            <w:shd w:val="clear" w:color="auto" w:fill="A6A6A6" w:themeFill="background1" w:themeFillShade="A6"/>
          </w:tcPr>
          <w:p w14:paraId="30A2911C" w14:textId="032E769B" w:rsidR="002202D6" w:rsidRPr="00780952" w:rsidRDefault="002202D6" w:rsidP="007D451A">
            <w:pPr>
              <w:jc w:val="center"/>
              <w:rPr>
                <w:b/>
                <w:bCs/>
              </w:rPr>
            </w:pPr>
          </w:p>
        </w:tc>
      </w:tr>
      <w:tr w:rsidR="005E50B0" w14:paraId="1EB5DB30" w14:textId="77777777" w:rsidTr="007D451A">
        <w:sdt>
          <w:sdtPr>
            <w:id w:val="-1544436180"/>
            <w14:checkbox>
              <w14:checked w14:val="0"/>
              <w14:checkedState w14:val="2612" w14:font="MS Gothic"/>
              <w14:uncheckedState w14:val="2610" w14:font="MS Gothic"/>
            </w14:checkbox>
          </w:sdtPr>
          <w:sdtContent>
            <w:tc>
              <w:tcPr>
                <w:tcW w:w="3062" w:type="dxa"/>
              </w:tcPr>
              <w:p w14:paraId="585EE04D" w14:textId="77777777" w:rsidR="005E50B0" w:rsidRDefault="005E50B0" w:rsidP="007D451A">
                <w:pPr>
                  <w:jc w:val="center"/>
                </w:pPr>
                <w:r>
                  <w:rPr>
                    <w:rFonts w:ascii="MS Gothic" w:eastAsia="MS Gothic" w:hAnsi="MS Gothic" w:hint="eastAsia"/>
                  </w:rPr>
                  <w:t>☐</w:t>
                </w:r>
              </w:p>
            </w:tc>
          </w:sdtContent>
        </w:sdt>
        <w:tc>
          <w:tcPr>
            <w:tcW w:w="7828" w:type="dxa"/>
            <w:gridSpan w:val="2"/>
          </w:tcPr>
          <w:p w14:paraId="4ACFC3D0" w14:textId="77777777" w:rsidR="005E50B0" w:rsidRDefault="005E50B0" w:rsidP="007D451A">
            <w:r>
              <w:t>Section D-III-1: Experiments using Risk Group 2, Risk Group 3, Risk Group 4, or Restricted Agents as Host-Vector Systems</w:t>
            </w:r>
          </w:p>
          <w:p w14:paraId="1F97D43D" w14:textId="77777777" w:rsidR="005E50B0" w:rsidRDefault="005E50B0" w:rsidP="005E50B0">
            <w:pPr>
              <w:pStyle w:val="ListParagraph"/>
              <w:numPr>
                <w:ilvl w:val="0"/>
                <w:numId w:val="2"/>
              </w:numPr>
              <w:spacing w:after="0" w:line="240" w:lineRule="auto"/>
            </w:pPr>
            <w:r>
              <w:t>Section D-III-1-a: Introduction of recombinant or synthetic nucleic acid molecules into Risk Group 2 agents, usually conducted at BL-2 containment.</w:t>
            </w:r>
          </w:p>
        </w:tc>
      </w:tr>
      <w:tr w:rsidR="005E50B0" w14:paraId="4446278F" w14:textId="77777777" w:rsidTr="007D451A">
        <w:sdt>
          <w:sdtPr>
            <w:id w:val="1992818476"/>
            <w14:checkbox>
              <w14:checked w14:val="1"/>
              <w14:checkedState w14:val="2612" w14:font="MS Gothic"/>
              <w14:uncheckedState w14:val="2610" w14:font="MS Gothic"/>
            </w14:checkbox>
          </w:sdtPr>
          <w:sdtContent>
            <w:tc>
              <w:tcPr>
                <w:tcW w:w="3062" w:type="dxa"/>
              </w:tcPr>
              <w:p w14:paraId="41A68EAA" w14:textId="77777777" w:rsidR="005E50B0" w:rsidRDefault="005E50B0" w:rsidP="007D451A">
                <w:pPr>
                  <w:jc w:val="center"/>
                </w:pPr>
                <w:r>
                  <w:rPr>
                    <w:rFonts w:ascii="MS Gothic" w:eastAsia="MS Gothic" w:hAnsi="MS Gothic" w:hint="eastAsia"/>
                  </w:rPr>
                  <w:t>☒</w:t>
                </w:r>
              </w:p>
            </w:tc>
          </w:sdtContent>
        </w:sdt>
        <w:tc>
          <w:tcPr>
            <w:tcW w:w="7828" w:type="dxa"/>
            <w:gridSpan w:val="2"/>
          </w:tcPr>
          <w:p w14:paraId="2DBBDB83" w14:textId="77777777" w:rsidR="005E50B0" w:rsidRDefault="005E50B0" w:rsidP="007D451A">
            <w:r>
              <w:t>Section D-III-2: Experiments using Risk Group 2, Risk Group 3, Risk Group 4, or Restricted Agents is Cloned into Nonpathogenic Prokaryotic or Lower Eukaryotic Host-Vector Systems</w:t>
            </w:r>
          </w:p>
          <w:p w14:paraId="1AE0FC92" w14:textId="77777777" w:rsidR="005E50B0" w:rsidRDefault="005E50B0" w:rsidP="005E50B0">
            <w:pPr>
              <w:pStyle w:val="ListParagraph"/>
              <w:numPr>
                <w:ilvl w:val="0"/>
                <w:numId w:val="2"/>
              </w:numPr>
              <w:spacing w:after="0" w:line="240" w:lineRule="auto"/>
            </w:pPr>
            <w:r>
              <w:t xml:space="preserve">Section D-III-2-a: DNA from Risk Group 2 or Risk Group 3 agents is transferred into nonpathogenic prokaryotes or lower eukaryotes may be performed under BL2 containment. Experiments in which DNA from Risk Group 4 agents is transferred into nonpathogenic prokaryotes or lower eukaryotes may be performed under BL2 containment after demonstration that only a totally and irreversibly defective fraction of the agent's genome is present in a given recombinant. In the absence of such a demonstration, BL4 containment shall be used. The IBC may approve the specific lowering of containment for particular experiments to BL1. </w:t>
            </w:r>
            <w:r w:rsidRPr="000C28F7">
              <w:t xml:space="preserve">Many experiments in this category are </w:t>
            </w:r>
            <w:r w:rsidRPr="000C28F7">
              <w:rPr>
                <w:b/>
                <w:bCs/>
              </w:rPr>
              <w:t>exempt</w:t>
            </w:r>
            <w:r w:rsidRPr="000C28F7">
              <w:t xml:space="preserve"> from the NIH Guidelines</w:t>
            </w:r>
            <w:r>
              <w:t>.</w:t>
            </w:r>
          </w:p>
        </w:tc>
      </w:tr>
      <w:tr w:rsidR="005E50B0" w14:paraId="456D906A" w14:textId="77777777" w:rsidTr="007D451A">
        <w:sdt>
          <w:sdtPr>
            <w:id w:val="1253165206"/>
            <w14:checkbox>
              <w14:checked w14:val="0"/>
              <w14:checkedState w14:val="2612" w14:font="MS Gothic"/>
              <w14:uncheckedState w14:val="2610" w14:font="MS Gothic"/>
            </w14:checkbox>
          </w:sdtPr>
          <w:sdtContent>
            <w:tc>
              <w:tcPr>
                <w:tcW w:w="3062" w:type="dxa"/>
              </w:tcPr>
              <w:p w14:paraId="52686D78" w14:textId="77777777" w:rsidR="005E50B0" w:rsidRDefault="005E50B0" w:rsidP="007D451A">
                <w:pPr>
                  <w:jc w:val="center"/>
                </w:pPr>
                <w:r>
                  <w:rPr>
                    <w:rFonts w:ascii="MS Gothic" w:eastAsia="MS Gothic" w:hAnsi="MS Gothic" w:hint="eastAsia"/>
                  </w:rPr>
                  <w:t>☐</w:t>
                </w:r>
              </w:p>
            </w:tc>
          </w:sdtContent>
        </w:sdt>
        <w:tc>
          <w:tcPr>
            <w:tcW w:w="7828" w:type="dxa"/>
            <w:gridSpan w:val="2"/>
          </w:tcPr>
          <w:p w14:paraId="0B3C6A3E" w14:textId="77777777" w:rsidR="005E50B0" w:rsidRDefault="005E50B0" w:rsidP="007D451A">
            <w:r>
              <w:t>Section D-III-3: Experiments involving the use of Infectious DNA or RNA Viruses or Defective DNA or RNA Viruses in the presence of a Helper System in Tissue Culture Systems</w:t>
            </w:r>
          </w:p>
          <w:p w14:paraId="27C4713D" w14:textId="77777777" w:rsidR="005E50B0" w:rsidRDefault="005E50B0" w:rsidP="005E50B0">
            <w:pPr>
              <w:pStyle w:val="ListParagraph"/>
              <w:numPr>
                <w:ilvl w:val="0"/>
                <w:numId w:val="2"/>
              </w:numPr>
              <w:spacing w:after="0" w:line="240" w:lineRule="auto"/>
            </w:pPr>
            <w:r>
              <w:t>Section D-III-3-a: Experiments involving the use of infectious or defective Risk Group 2 viruses in the presence of a helper system may be conducted at BL2.</w:t>
            </w:r>
          </w:p>
          <w:p w14:paraId="36390B26" w14:textId="77777777" w:rsidR="005E50B0" w:rsidRDefault="005E50B0" w:rsidP="005E50B0">
            <w:pPr>
              <w:pStyle w:val="ListParagraph"/>
              <w:numPr>
                <w:ilvl w:val="0"/>
                <w:numId w:val="2"/>
              </w:numPr>
              <w:spacing w:after="0" w:line="240" w:lineRule="auto"/>
            </w:pPr>
            <w:r>
              <w:t>Section D-III-3-e: Experiments involving the use of infectious or defective viruses in the presence of a helper system which are not covered in Sections D-III-3-a through Sections D-III-3-d may be conducted at BL1.</w:t>
            </w:r>
          </w:p>
        </w:tc>
      </w:tr>
      <w:tr w:rsidR="005E50B0" w14:paraId="077619D1" w14:textId="77777777" w:rsidTr="007D451A">
        <w:sdt>
          <w:sdtPr>
            <w:id w:val="1339346630"/>
            <w14:checkbox>
              <w14:checked w14:val="0"/>
              <w14:checkedState w14:val="2612" w14:font="MS Gothic"/>
              <w14:uncheckedState w14:val="2610" w14:font="MS Gothic"/>
            </w14:checkbox>
          </w:sdtPr>
          <w:sdtContent>
            <w:tc>
              <w:tcPr>
                <w:tcW w:w="3062" w:type="dxa"/>
              </w:tcPr>
              <w:p w14:paraId="174A03A8" w14:textId="77777777" w:rsidR="005E50B0" w:rsidRDefault="005E50B0" w:rsidP="007D451A">
                <w:pPr>
                  <w:jc w:val="center"/>
                </w:pPr>
                <w:r>
                  <w:rPr>
                    <w:rFonts w:ascii="MS Gothic" w:eastAsia="MS Gothic" w:hAnsi="MS Gothic" w:hint="eastAsia"/>
                  </w:rPr>
                  <w:t>☐</w:t>
                </w:r>
              </w:p>
            </w:tc>
          </w:sdtContent>
        </w:sdt>
        <w:tc>
          <w:tcPr>
            <w:tcW w:w="7828" w:type="dxa"/>
            <w:gridSpan w:val="2"/>
          </w:tcPr>
          <w:p w14:paraId="0D7B1302" w14:textId="77777777" w:rsidR="005E50B0" w:rsidRDefault="005E50B0" w:rsidP="007D451A">
            <w:r w:rsidRPr="00EF02E1">
              <w:t>Section D-III-4: Experiments</w:t>
            </w:r>
            <w:r>
              <w:t xml:space="preserve"> involving Whole Animals (p.19)</w:t>
            </w:r>
          </w:p>
          <w:p w14:paraId="4594F870" w14:textId="77777777" w:rsidR="005E50B0" w:rsidRDefault="005E50B0" w:rsidP="005E50B0">
            <w:pPr>
              <w:pStyle w:val="ListParagraph"/>
              <w:numPr>
                <w:ilvl w:val="0"/>
                <w:numId w:val="2"/>
              </w:numPr>
              <w:spacing w:after="0" w:line="240" w:lineRule="auto"/>
            </w:pPr>
            <w:r>
              <w:t xml:space="preserve">Section D-III-4-a: </w:t>
            </w:r>
            <w:r w:rsidRPr="009E79E3">
              <w:t>Recombinant or synthetic nucleic acid molecules, or DNA or RNA molecules derived therefrom, from any source except for greater than two-thirds of eukaryotic viral genome may be transferred to any non-human vertebrate or any invertebrate organism and propagated under conditions of physical containment comparable to BL1 or BL1-N and appropriate to the organism under study</w:t>
            </w:r>
            <w:r>
              <w:t xml:space="preserve">. </w:t>
            </w:r>
            <w:r w:rsidRPr="009E79E3">
              <w:t>Animals that contain sequences from viral vectors, which do not lead to transmissible infection either directly or indirectly as a result of complementation or recombination in animals, may be propagated under conditions of physical containment comparable to BL1 or BL1-N and appropriate to the organism under study. Experiments involving the introduction of other sequences from eukaryotic viral genomes into animals are covered under Section III-D-4-b, Experiments Involving Whole Animals. It is important that the investigator demonstrate that the fraction of the viral genome being utilized does not lead to productive infection. A U.S. Department of Agriculture permit is required for work with plant or animal pathogens.</w:t>
            </w:r>
          </w:p>
          <w:p w14:paraId="7F0BA9D0" w14:textId="77777777" w:rsidR="005E50B0" w:rsidRDefault="005E50B0" w:rsidP="005E50B0">
            <w:pPr>
              <w:pStyle w:val="ListParagraph"/>
              <w:numPr>
                <w:ilvl w:val="0"/>
                <w:numId w:val="2"/>
              </w:numPr>
              <w:spacing w:after="0" w:line="240" w:lineRule="auto"/>
            </w:pPr>
            <w:r>
              <w:t xml:space="preserve">Section D-III-4-b: </w:t>
            </w:r>
            <w:r w:rsidRPr="00EC1051">
              <w:t>For experiments involving recombinant or synthetic nucleic acid molecules, or DNA or RNA derived therefrom, involving whole animals, including transgenic animals, and not covered by Section III-D-1, Experiments Using Human or Animal Pathogens (Risk Group 2, Risk Group 3, Risk Group 4, or Restricted Agents as Host-Vector Systems), or Section III-D-4-a, the appropriate containment shall be determined by the Institutional Biosafety Committee. Experiments involving gene drive modified animals generated by recombinant or synthetic nucleic acid molecules shall be conducted at a minimum of BL2 or BL2-N (see Section III-D-8).</w:t>
            </w:r>
          </w:p>
          <w:p w14:paraId="7D7E9B8D" w14:textId="77777777" w:rsidR="005E50B0" w:rsidRDefault="005E50B0" w:rsidP="005E50B0">
            <w:pPr>
              <w:pStyle w:val="ListParagraph"/>
              <w:numPr>
                <w:ilvl w:val="0"/>
                <w:numId w:val="2"/>
              </w:numPr>
              <w:spacing w:after="0" w:line="240" w:lineRule="auto"/>
            </w:pPr>
            <w:r>
              <w:t>Section D-III-4-c: E</w:t>
            </w:r>
            <w:r w:rsidRPr="00EC1051">
              <w:t>xceptions under Section III-D-4, Experiments Involving Whole Animals</w:t>
            </w:r>
          </w:p>
          <w:p w14:paraId="7D226E53" w14:textId="77777777" w:rsidR="005E50B0" w:rsidRDefault="005E50B0" w:rsidP="005E50B0">
            <w:pPr>
              <w:pStyle w:val="ListParagraph"/>
              <w:numPr>
                <w:ilvl w:val="1"/>
                <w:numId w:val="2"/>
              </w:numPr>
              <w:spacing w:after="0" w:line="240" w:lineRule="auto"/>
            </w:pPr>
            <w:r>
              <w:t xml:space="preserve">Section D-III-4-c-(1): </w:t>
            </w:r>
            <w:r w:rsidRPr="00EC1051">
              <w:t>Experiments involving the generation of transgenic rodents that require BL1 containment are described under Section III-E-3, Experiments Involving Transgenic Rodents.</w:t>
            </w:r>
          </w:p>
          <w:p w14:paraId="2CEF5AF8" w14:textId="77777777" w:rsidR="005E50B0" w:rsidRDefault="005E50B0" w:rsidP="005E50B0">
            <w:pPr>
              <w:pStyle w:val="ListParagraph"/>
              <w:numPr>
                <w:ilvl w:val="1"/>
                <w:numId w:val="2"/>
              </w:numPr>
              <w:spacing w:after="0" w:line="240" w:lineRule="auto"/>
            </w:pPr>
            <w:r>
              <w:t>Section D-III-4-c-(2): T</w:t>
            </w:r>
            <w:r w:rsidRPr="00EC1051">
              <w:t>he purchase or transfer of transgenic rodents is exempt from the NIH Guidelines under Section III-F, Exempt Experiments (see Appendix C-VII, The Purchase or Transfer of Transgenic Rodents).</w:t>
            </w:r>
          </w:p>
          <w:p w14:paraId="75819676" w14:textId="77777777" w:rsidR="005E50B0" w:rsidRDefault="005E50B0" w:rsidP="005E50B0">
            <w:pPr>
              <w:pStyle w:val="ListParagraph"/>
              <w:numPr>
                <w:ilvl w:val="1"/>
                <w:numId w:val="2"/>
              </w:numPr>
              <w:spacing w:after="0" w:line="240" w:lineRule="auto"/>
            </w:pPr>
            <w:r>
              <w:t>Section D-III-4-c-(3): E</w:t>
            </w:r>
            <w:r w:rsidRPr="00EC1051">
              <w:t>xperiments involving the generation or use of gene drive modified animals require a minimum of BL2 containment and are covered under III-D-8, Experiments Involving Gene Drive Modified Organisms.</w:t>
            </w:r>
          </w:p>
        </w:tc>
      </w:tr>
      <w:tr w:rsidR="005E50B0" w14:paraId="74FA34D2" w14:textId="77777777" w:rsidTr="007D451A">
        <w:sdt>
          <w:sdtPr>
            <w:id w:val="198897858"/>
            <w14:checkbox>
              <w14:checked w14:val="0"/>
              <w14:checkedState w14:val="2612" w14:font="MS Gothic"/>
              <w14:uncheckedState w14:val="2610" w14:font="MS Gothic"/>
            </w14:checkbox>
          </w:sdtPr>
          <w:sdtContent>
            <w:tc>
              <w:tcPr>
                <w:tcW w:w="3062" w:type="dxa"/>
              </w:tcPr>
              <w:p w14:paraId="58C91E99" w14:textId="77777777" w:rsidR="005E50B0" w:rsidRDefault="005E50B0" w:rsidP="007D451A">
                <w:pPr>
                  <w:jc w:val="center"/>
                </w:pPr>
                <w:r>
                  <w:rPr>
                    <w:rFonts w:ascii="MS Gothic" w:eastAsia="MS Gothic" w:hAnsi="MS Gothic" w:hint="eastAsia"/>
                  </w:rPr>
                  <w:t>☐</w:t>
                </w:r>
              </w:p>
            </w:tc>
          </w:sdtContent>
        </w:sdt>
        <w:tc>
          <w:tcPr>
            <w:tcW w:w="7828" w:type="dxa"/>
            <w:gridSpan w:val="2"/>
          </w:tcPr>
          <w:p w14:paraId="36A7ABD9" w14:textId="77777777" w:rsidR="005E50B0" w:rsidRDefault="005E50B0" w:rsidP="007D451A">
            <w:r>
              <w:t>Section D-III-5: Experiments involving Whole Plants (p.20)</w:t>
            </w:r>
          </w:p>
          <w:p w14:paraId="59787C9F" w14:textId="77777777" w:rsidR="005E50B0" w:rsidRDefault="005E50B0" w:rsidP="005E50B0">
            <w:pPr>
              <w:pStyle w:val="ListParagraph"/>
              <w:numPr>
                <w:ilvl w:val="0"/>
                <w:numId w:val="2"/>
              </w:numPr>
              <w:spacing w:after="0" w:line="240" w:lineRule="auto"/>
            </w:pPr>
            <w:r>
              <w:t>Section D-III-5-a: B</w:t>
            </w:r>
            <w:r w:rsidRPr="009F66BA">
              <w:t xml:space="preserve">L3-P (Plants) or BL2-P + biological containment is recommended for experiments involving most exotic (see Section V-M, Footnotes and References of Sections I-IV) infectious agents with recognized potential for serious detrimental impact on managed or natural ecosystems </w:t>
            </w:r>
            <w:r w:rsidRPr="009F66BA">
              <w:lastRenderedPageBreak/>
              <w:t>when recombinant or synthetic nucleic acid molecule techniques are associated with whole plants</w:t>
            </w:r>
          </w:p>
          <w:p w14:paraId="7E51C2F7" w14:textId="77777777" w:rsidR="005E50B0" w:rsidRDefault="005E50B0" w:rsidP="005E50B0">
            <w:pPr>
              <w:pStyle w:val="ListParagraph"/>
              <w:numPr>
                <w:ilvl w:val="0"/>
                <w:numId w:val="2"/>
              </w:numPr>
              <w:spacing w:after="0" w:line="240" w:lineRule="auto"/>
            </w:pPr>
            <w:r>
              <w:t xml:space="preserve">Section D-III-5-b: </w:t>
            </w:r>
            <w:r w:rsidRPr="00DC0F10">
              <w:t>BL3-P or BL2-P + biological containment is recommended for experiments involving plants containing cloned genomes of readily transmissible exotic (see Section V-M, Footnotes and References of Sections I-IV) infectious agents with recognized potential for serious detrimental effects on managed or natural ecosystems in which there exists the possibility of reconstituting the complete and functional genome of the infectious agent by genomic complementation in planta.</w:t>
            </w:r>
          </w:p>
          <w:p w14:paraId="21B16A74" w14:textId="77777777" w:rsidR="005E50B0" w:rsidRPr="00DC0F10" w:rsidRDefault="005E50B0" w:rsidP="005E50B0">
            <w:pPr>
              <w:pStyle w:val="ListParagraph"/>
              <w:numPr>
                <w:ilvl w:val="0"/>
                <w:numId w:val="2"/>
              </w:numPr>
              <w:spacing w:after="0" w:line="240" w:lineRule="auto"/>
            </w:pPr>
            <w:r>
              <w:t xml:space="preserve">Section D-III-5-d: </w:t>
            </w:r>
            <w:r w:rsidRPr="00DC0F10">
              <w:t>B L3-P containment is recommended for experiments involving sequences encoding potent vertebrate toxins introduced into plants or associated organisms. Recombinant or synthetic nucleic acid molecules containing genes for the biosynthesis of toxin molecules lethal for vertebrates at an LD</w:t>
            </w:r>
            <w:r w:rsidRPr="00C27C9A">
              <w:rPr>
                <w:vertAlign w:val="subscript"/>
              </w:rPr>
              <w:t>50</w:t>
            </w:r>
            <w:r w:rsidRPr="00DC0F10">
              <w:t xml:space="preserve"> of</w:t>
            </w:r>
            <w:r>
              <w:t xml:space="preserve"> &lt;100 nanograms per kilogram body weight fall under Section III-B-1, and require NIH OSP and IBC approval before initiation. </w:t>
            </w:r>
          </w:p>
          <w:p w14:paraId="2E4DAD32" w14:textId="77777777" w:rsidR="005E50B0" w:rsidRDefault="005E50B0" w:rsidP="005E50B0">
            <w:pPr>
              <w:pStyle w:val="ListParagraph"/>
              <w:numPr>
                <w:ilvl w:val="0"/>
                <w:numId w:val="2"/>
              </w:numPr>
              <w:spacing w:after="0" w:line="240" w:lineRule="auto"/>
            </w:pPr>
            <w:r>
              <w:t>Section D-III-5-e: B</w:t>
            </w:r>
            <w:r w:rsidRPr="00F4551C">
              <w:t xml:space="preserve"> L3-P or BL2-P + biological containment is recommended for experiments with microbial pathogens of insects or small animals associated with plants if the recombinant or synthetic nucleic acid molecule-modified organism has a recognized potential for serious detrimental impact on managed or natural ecosystems.</w:t>
            </w:r>
          </w:p>
        </w:tc>
      </w:tr>
      <w:tr w:rsidR="005E50B0" w14:paraId="433F0939" w14:textId="77777777" w:rsidTr="007D451A">
        <w:sdt>
          <w:sdtPr>
            <w:id w:val="-1544200864"/>
            <w14:checkbox>
              <w14:checked w14:val="0"/>
              <w14:checkedState w14:val="2612" w14:font="MS Gothic"/>
              <w14:uncheckedState w14:val="2610" w14:font="MS Gothic"/>
            </w14:checkbox>
          </w:sdtPr>
          <w:sdtContent>
            <w:tc>
              <w:tcPr>
                <w:tcW w:w="3062" w:type="dxa"/>
              </w:tcPr>
              <w:p w14:paraId="3DC95E71" w14:textId="77777777" w:rsidR="005E50B0" w:rsidRDefault="005E50B0" w:rsidP="007D451A">
                <w:pPr>
                  <w:jc w:val="center"/>
                </w:pPr>
                <w:r>
                  <w:rPr>
                    <w:rFonts w:ascii="MS Gothic" w:eastAsia="MS Gothic" w:hAnsi="MS Gothic" w:hint="eastAsia"/>
                  </w:rPr>
                  <w:t>☐</w:t>
                </w:r>
              </w:p>
            </w:tc>
          </w:sdtContent>
        </w:sdt>
        <w:tc>
          <w:tcPr>
            <w:tcW w:w="7828" w:type="dxa"/>
            <w:gridSpan w:val="2"/>
          </w:tcPr>
          <w:p w14:paraId="7138DC28" w14:textId="77777777" w:rsidR="005E50B0" w:rsidRDefault="005E50B0" w:rsidP="007D451A">
            <w:r>
              <w:t>Section D-III-6: Experiments involving more than 10 Liters of Culture</w:t>
            </w:r>
          </w:p>
          <w:p w14:paraId="2D62D2D5" w14:textId="77777777" w:rsidR="005E50B0" w:rsidRPr="00523934" w:rsidRDefault="005E50B0" w:rsidP="005E50B0">
            <w:pPr>
              <w:pStyle w:val="ListParagraph"/>
              <w:numPr>
                <w:ilvl w:val="0"/>
                <w:numId w:val="2"/>
              </w:numPr>
              <w:spacing w:after="0" w:line="240" w:lineRule="auto"/>
            </w:pPr>
            <w:r>
              <w:t>T</w:t>
            </w:r>
            <w:r w:rsidRPr="00523934">
              <w:t>he appropriate containment will be decided by the I</w:t>
            </w:r>
            <w:r>
              <w:t>BC</w:t>
            </w:r>
            <w:r w:rsidRPr="00523934">
              <w:t>. Where appropriate, Appendix K, Physical Containment for Large Scale Uses of</w:t>
            </w:r>
            <w:r>
              <w:t xml:space="preserve"> </w:t>
            </w:r>
            <w:r w:rsidRPr="00523934">
              <w:t>Organisms Containing Recombinant or Synthetic Recombinant or synthetic nucleic acid Molecules, shall be used. Appendix K</w:t>
            </w:r>
            <w:r>
              <w:t xml:space="preserve"> </w:t>
            </w:r>
            <w:r w:rsidRPr="00523934">
              <w:t xml:space="preserve">describes containment conditions Good </w:t>
            </w:r>
            <w:proofErr w:type="gramStart"/>
            <w:r w:rsidRPr="00523934">
              <w:t>Large Scale</w:t>
            </w:r>
            <w:proofErr w:type="gramEnd"/>
            <w:r w:rsidRPr="00523934">
              <w:t xml:space="preserve"> Practice through BL3-Large Scale.</w:t>
            </w:r>
          </w:p>
        </w:tc>
      </w:tr>
      <w:tr w:rsidR="005E50B0" w14:paraId="16ABF5E6" w14:textId="77777777" w:rsidTr="007D451A">
        <w:sdt>
          <w:sdtPr>
            <w:id w:val="-1813011973"/>
            <w14:checkbox>
              <w14:checked w14:val="0"/>
              <w14:checkedState w14:val="2612" w14:font="MS Gothic"/>
              <w14:uncheckedState w14:val="2610" w14:font="MS Gothic"/>
            </w14:checkbox>
          </w:sdtPr>
          <w:sdtContent>
            <w:tc>
              <w:tcPr>
                <w:tcW w:w="3062" w:type="dxa"/>
              </w:tcPr>
              <w:p w14:paraId="6451B35C" w14:textId="77777777" w:rsidR="005E50B0" w:rsidRDefault="005E50B0" w:rsidP="007D451A">
                <w:pPr>
                  <w:jc w:val="center"/>
                </w:pPr>
                <w:r>
                  <w:rPr>
                    <w:rFonts w:ascii="MS Gothic" w:eastAsia="MS Gothic" w:hAnsi="MS Gothic" w:hint="eastAsia"/>
                  </w:rPr>
                  <w:t>☐</w:t>
                </w:r>
              </w:p>
            </w:tc>
          </w:sdtContent>
        </w:sdt>
        <w:tc>
          <w:tcPr>
            <w:tcW w:w="7828" w:type="dxa"/>
            <w:gridSpan w:val="2"/>
          </w:tcPr>
          <w:p w14:paraId="2D5AC097" w14:textId="77777777" w:rsidR="005E50B0" w:rsidRDefault="005E50B0" w:rsidP="007D451A">
            <w:r>
              <w:t>Section D-III-7: Experiments involving Influenza Viruses</w:t>
            </w:r>
          </w:p>
          <w:p w14:paraId="0D9B377A" w14:textId="77777777" w:rsidR="005E50B0" w:rsidRDefault="005E50B0" w:rsidP="005E50B0">
            <w:pPr>
              <w:pStyle w:val="ListParagraph"/>
              <w:numPr>
                <w:ilvl w:val="0"/>
                <w:numId w:val="2"/>
              </w:numPr>
              <w:spacing w:after="0" w:line="240" w:lineRule="auto"/>
            </w:pPr>
            <w:r w:rsidRPr="00C316D7">
              <w:t>Experiments with influenza viruses generated by recombinant or synthetic methods (e.g., generation by reverse genetics of chimeric viruses with reassorted segments, introduction of specific mutations) shall be conducted at the biosafety level containment corresponding to the Risk Group of the virus that was the source of the majority of segments in the recombinant or synthetic virus (e.g., experiments with viruses containing a majority of segments from a RG3 virus shall be conducted at BL3). Experiments with influenza viruses containing genes or segments from 1918-1919 H1N1 (1918 H1N1), human H2N2 (1957-1968) and highly pathogenic avian influenza H5N1 strains within the Goose/Guangdong/96-like H5 lineage (HPAI H5N1), including, but not limited to, strains of HPAI H5N1</w:t>
            </w:r>
            <w:r>
              <w:t xml:space="preserve"> virus that are transmissible a</w:t>
            </w:r>
            <w:r w:rsidRPr="00C316D7">
              <w:t>mong mammals by respiratory droplets, as demonstrated in an appropriate animal model or clinically in humans (hereinafter referred to as mammalian-transmissible HPAI H5N1 virus), shall be conducted at BL3 enhanced containment (see Appendix G-II-C-5, Biosafety Level 3 Enhanced for Research Involving Risk Group 3 Influenza Viruses) unless indicated below.</w:t>
            </w:r>
          </w:p>
        </w:tc>
      </w:tr>
      <w:tr w:rsidR="005E50B0" w14:paraId="62FAC6D1" w14:textId="77777777" w:rsidTr="007D451A">
        <w:sdt>
          <w:sdtPr>
            <w:id w:val="-1450764891"/>
            <w14:checkbox>
              <w14:checked w14:val="0"/>
              <w14:checkedState w14:val="2612" w14:font="MS Gothic"/>
              <w14:uncheckedState w14:val="2610" w14:font="MS Gothic"/>
            </w14:checkbox>
          </w:sdtPr>
          <w:sdtContent>
            <w:tc>
              <w:tcPr>
                <w:tcW w:w="3062" w:type="dxa"/>
              </w:tcPr>
              <w:p w14:paraId="5E054355" w14:textId="77777777" w:rsidR="005E50B0" w:rsidRDefault="005E50B0" w:rsidP="007D451A">
                <w:pPr>
                  <w:jc w:val="center"/>
                </w:pPr>
                <w:r>
                  <w:rPr>
                    <w:rFonts w:ascii="MS Gothic" w:eastAsia="MS Gothic" w:hAnsi="MS Gothic" w:hint="eastAsia"/>
                  </w:rPr>
                  <w:t>☐</w:t>
                </w:r>
              </w:p>
            </w:tc>
          </w:sdtContent>
        </w:sdt>
        <w:tc>
          <w:tcPr>
            <w:tcW w:w="7828" w:type="dxa"/>
            <w:gridSpan w:val="2"/>
          </w:tcPr>
          <w:p w14:paraId="0AF4F85C" w14:textId="77777777" w:rsidR="005E50B0" w:rsidRDefault="005E50B0" w:rsidP="007D451A">
            <w:r>
              <w:t>Section D-III-8: Experiments Involving Gene Drive Modified Organisms</w:t>
            </w:r>
          </w:p>
          <w:p w14:paraId="72E8AB26" w14:textId="77777777" w:rsidR="005E50B0" w:rsidRDefault="005E50B0" w:rsidP="005E50B0">
            <w:pPr>
              <w:pStyle w:val="ListParagraph"/>
              <w:numPr>
                <w:ilvl w:val="0"/>
                <w:numId w:val="2"/>
              </w:numPr>
              <w:spacing w:after="0" w:line="240" w:lineRule="auto"/>
            </w:pPr>
            <w:r>
              <w:lastRenderedPageBreak/>
              <w:t>Experiments involving gene drive modified organisms generated by recombinant or synthetic nucleic acid molecules shall be conducted at a minimum of Biosafety Level (BL) 2, BL2-N (Animals) or BL2-P (plant) containment.</w:t>
            </w:r>
          </w:p>
        </w:tc>
      </w:tr>
      <w:tr w:rsidR="002202D6" w14:paraId="1E29C030" w14:textId="77777777" w:rsidTr="002202D6">
        <w:tc>
          <w:tcPr>
            <w:tcW w:w="5445" w:type="dxa"/>
            <w:gridSpan w:val="2"/>
            <w:tcBorders>
              <w:right w:val="nil"/>
            </w:tcBorders>
            <w:shd w:val="clear" w:color="auto" w:fill="A6A6A6" w:themeFill="background1" w:themeFillShade="A6"/>
          </w:tcPr>
          <w:p w14:paraId="53DB0C69" w14:textId="77777777" w:rsidR="002202D6" w:rsidRPr="00F01E7D" w:rsidRDefault="002202D6" w:rsidP="002202D6">
            <w:pPr>
              <w:rPr>
                <w:b/>
                <w:bCs/>
              </w:rPr>
            </w:pPr>
            <w:r w:rsidRPr="00F01E7D">
              <w:rPr>
                <w:b/>
                <w:bCs/>
              </w:rPr>
              <w:lastRenderedPageBreak/>
              <w:t>Section III-E:</w:t>
            </w:r>
            <w:r>
              <w:rPr>
                <w:b/>
                <w:bCs/>
              </w:rPr>
              <w:t xml:space="preserve"> Experiments that Require IBC Notice Simultaneous to Initiation</w:t>
            </w:r>
            <w:r w:rsidRPr="00F01E7D">
              <w:rPr>
                <w:b/>
                <w:bCs/>
              </w:rPr>
              <w:t xml:space="preserve"> </w:t>
            </w:r>
            <w:r w:rsidRPr="00F01E7D">
              <w:t>(pg. 2</w:t>
            </w:r>
            <w:r>
              <w:t>2</w:t>
            </w:r>
            <w:r w:rsidRPr="00F01E7D">
              <w:t>)</w:t>
            </w:r>
          </w:p>
        </w:tc>
        <w:tc>
          <w:tcPr>
            <w:tcW w:w="5445" w:type="dxa"/>
            <w:tcBorders>
              <w:left w:val="nil"/>
            </w:tcBorders>
            <w:shd w:val="clear" w:color="auto" w:fill="A6A6A6" w:themeFill="background1" w:themeFillShade="A6"/>
          </w:tcPr>
          <w:p w14:paraId="49AA1D10" w14:textId="597AB769" w:rsidR="002202D6" w:rsidRPr="00F01E7D" w:rsidRDefault="002202D6" w:rsidP="007D451A">
            <w:pPr>
              <w:jc w:val="center"/>
              <w:rPr>
                <w:b/>
                <w:bCs/>
              </w:rPr>
            </w:pPr>
          </w:p>
        </w:tc>
      </w:tr>
      <w:tr w:rsidR="005E50B0" w14:paraId="338D3F58" w14:textId="77777777" w:rsidTr="007D451A">
        <w:sdt>
          <w:sdtPr>
            <w:id w:val="1362157982"/>
            <w14:checkbox>
              <w14:checked w14:val="1"/>
              <w14:checkedState w14:val="2612" w14:font="MS Gothic"/>
              <w14:uncheckedState w14:val="2610" w14:font="MS Gothic"/>
            </w14:checkbox>
          </w:sdtPr>
          <w:sdtContent>
            <w:tc>
              <w:tcPr>
                <w:tcW w:w="3062" w:type="dxa"/>
              </w:tcPr>
              <w:p w14:paraId="42BEAEF4" w14:textId="77777777" w:rsidR="005E50B0" w:rsidRDefault="005E50B0" w:rsidP="007D451A">
                <w:pPr>
                  <w:jc w:val="center"/>
                </w:pPr>
                <w:r>
                  <w:rPr>
                    <w:rFonts w:ascii="MS Gothic" w:eastAsia="MS Gothic" w:hAnsi="MS Gothic" w:hint="eastAsia"/>
                  </w:rPr>
                  <w:t>☒</w:t>
                </w:r>
              </w:p>
            </w:tc>
          </w:sdtContent>
        </w:sdt>
        <w:tc>
          <w:tcPr>
            <w:tcW w:w="7828" w:type="dxa"/>
            <w:gridSpan w:val="2"/>
          </w:tcPr>
          <w:p w14:paraId="284AA55A" w14:textId="77777777" w:rsidR="005E50B0" w:rsidRDefault="005E50B0" w:rsidP="007D451A">
            <w:r>
              <w:t xml:space="preserve">Section III-E-1: </w:t>
            </w:r>
            <w:r w:rsidRPr="00D519A5">
              <w:t>Experiments Involving the Formation of Recombinant or Synthetic Nucleic Acid Molecules Containing No More than Two Thirds of the Genome of any Eukaryotic Virus</w:t>
            </w:r>
          </w:p>
          <w:p w14:paraId="52B637F3" w14:textId="77777777" w:rsidR="005E50B0" w:rsidRPr="00D519A5" w:rsidRDefault="005E50B0" w:rsidP="005E50B0">
            <w:pPr>
              <w:pStyle w:val="ListParagraph"/>
              <w:numPr>
                <w:ilvl w:val="0"/>
                <w:numId w:val="2"/>
              </w:numPr>
              <w:spacing w:after="0" w:line="240" w:lineRule="auto"/>
            </w:pPr>
            <w:r>
              <w:t>R</w:t>
            </w:r>
            <w:r w:rsidRPr="00942CE3">
              <w:t xml:space="preserve">ecombinant or synthetic nucleic acid molecules containing no more than two-thirds of the genome of any eukaryotic virus (all viruses from a single Family being considered identical [see Section V-J, Footnotes and References of Sections I-IV]) may be propagated and maintained in cells in tissue culture using BL1 containment. For such experiments, it must be demonstrated that the cells lack a helper system for the specific Families of defective viruses being used. If a helper system is present, procedures specified under Section III-D-3, Experiments Involving the Use of Infectious Animal or Plant DNA or RNA Viruses or Defective Animal or Plant DNA or RNA Viruses in the Presence of a Helper System in Tissue Culture Systems, should be used. The DNA may contain fragments of the genome of viruses from more than one </w:t>
            </w:r>
            <w:proofErr w:type="gramStart"/>
            <w:r w:rsidRPr="00942CE3">
              <w:t>Family</w:t>
            </w:r>
            <w:proofErr w:type="gramEnd"/>
            <w:r w:rsidRPr="00942CE3">
              <w:t xml:space="preserve"> but each fragment shall be less than two-thirds of a genome.</w:t>
            </w:r>
          </w:p>
        </w:tc>
      </w:tr>
      <w:tr w:rsidR="005E50B0" w14:paraId="75E5B328" w14:textId="77777777" w:rsidTr="007D451A">
        <w:sdt>
          <w:sdtPr>
            <w:id w:val="1069540609"/>
            <w14:checkbox>
              <w14:checked w14:val="0"/>
              <w14:checkedState w14:val="2612" w14:font="MS Gothic"/>
              <w14:uncheckedState w14:val="2610" w14:font="MS Gothic"/>
            </w14:checkbox>
          </w:sdtPr>
          <w:sdtContent>
            <w:tc>
              <w:tcPr>
                <w:tcW w:w="3062" w:type="dxa"/>
              </w:tcPr>
              <w:p w14:paraId="4CC3D32F" w14:textId="77777777" w:rsidR="005E50B0" w:rsidRDefault="005E50B0" w:rsidP="007D451A">
                <w:pPr>
                  <w:jc w:val="center"/>
                </w:pPr>
                <w:r>
                  <w:rPr>
                    <w:rFonts w:ascii="MS Gothic" w:eastAsia="MS Gothic" w:hAnsi="MS Gothic" w:hint="eastAsia"/>
                  </w:rPr>
                  <w:t>☐</w:t>
                </w:r>
              </w:p>
            </w:tc>
          </w:sdtContent>
        </w:sdt>
        <w:tc>
          <w:tcPr>
            <w:tcW w:w="7828" w:type="dxa"/>
            <w:gridSpan w:val="2"/>
          </w:tcPr>
          <w:p w14:paraId="0F897F1B" w14:textId="77777777" w:rsidR="005E50B0" w:rsidRDefault="005E50B0" w:rsidP="007D451A">
            <w:r>
              <w:t>Section III-E-2: Experiments Involving Whole Plants</w:t>
            </w:r>
          </w:p>
          <w:p w14:paraId="28DDD7CC" w14:textId="77777777" w:rsidR="005E50B0" w:rsidRDefault="005E50B0" w:rsidP="005E50B0">
            <w:pPr>
              <w:pStyle w:val="ListParagraph"/>
              <w:numPr>
                <w:ilvl w:val="0"/>
                <w:numId w:val="2"/>
              </w:numPr>
              <w:spacing w:after="0" w:line="240" w:lineRule="auto"/>
            </w:pPr>
            <w:r>
              <w:t>Section III-E-2-a: B</w:t>
            </w:r>
            <w:r w:rsidRPr="00DF1717">
              <w:t>L1-P is recommended for all experiments with recombinant or synthetic recombinant or synthetic nucleic acid molecule-containing plants and plant-associated microorganisms not covered in Section III-E-2-b or other sections of the NIH Guidelines. Examples of such experiments are those involving recombinant or synthetic nucleic acid molecule-modified plants that are not noxious weeds or that cannot interbreed with noxious weeds in the immediate geographic area, and experiments involving whole plants and recombinant or synthetic nucleic acid molecule-modified non-exotic (see Section V-M, Footnotes and References of Sections I-IV) microorganisms that have no recognized potential for rapid and widespread dissemination or for serious detrimental impact on managed or natural ecosystems (e.g., Rhizobium spp. and Agrobacterium spp.).</w:t>
            </w:r>
          </w:p>
          <w:p w14:paraId="61AC6E4C" w14:textId="77777777" w:rsidR="005E50B0" w:rsidRDefault="005E50B0" w:rsidP="005E50B0">
            <w:pPr>
              <w:pStyle w:val="ListParagraph"/>
              <w:numPr>
                <w:ilvl w:val="0"/>
                <w:numId w:val="2"/>
              </w:numPr>
              <w:spacing w:after="0" w:line="240" w:lineRule="auto"/>
            </w:pPr>
            <w:r>
              <w:t>Section III-E-2-b: B</w:t>
            </w:r>
            <w:r w:rsidRPr="00594383">
              <w:t>L2-P or BL1-P + biological containment is recommended for the following experiments:</w:t>
            </w:r>
          </w:p>
          <w:p w14:paraId="2F103480" w14:textId="77777777" w:rsidR="005E50B0" w:rsidRDefault="005E50B0" w:rsidP="005E50B0">
            <w:pPr>
              <w:pStyle w:val="ListParagraph"/>
              <w:numPr>
                <w:ilvl w:val="1"/>
                <w:numId w:val="2"/>
              </w:numPr>
              <w:spacing w:after="0" w:line="240" w:lineRule="auto"/>
            </w:pPr>
            <w:r>
              <w:t>Section III-E-3-b-(1): P</w:t>
            </w:r>
            <w:r w:rsidRPr="00594383">
              <w:t>lants modified by recombinant or synthetic nucleic acid molecules that are noxious weeds or can interbreed with noxious weeds in the immediate geographic area.</w:t>
            </w:r>
          </w:p>
          <w:p w14:paraId="1BBAD2A4" w14:textId="77777777" w:rsidR="005E50B0" w:rsidRDefault="005E50B0" w:rsidP="005E50B0">
            <w:pPr>
              <w:pStyle w:val="ListParagraph"/>
              <w:numPr>
                <w:ilvl w:val="1"/>
                <w:numId w:val="2"/>
              </w:numPr>
              <w:spacing w:after="0" w:line="240" w:lineRule="auto"/>
            </w:pPr>
            <w:r>
              <w:t xml:space="preserve">Section III-E-3-b-(2): </w:t>
            </w:r>
            <w:r w:rsidRPr="00833C95">
              <w:t>Plants in which the introduced DNA represents the complete genome of a non</w:t>
            </w:r>
            <w:r>
              <w:t>-</w:t>
            </w:r>
            <w:r w:rsidRPr="00833C95">
              <w:t>exotic infectious agent</w:t>
            </w:r>
            <w:r>
              <w:t>.</w:t>
            </w:r>
          </w:p>
          <w:p w14:paraId="692FA3A2" w14:textId="77777777" w:rsidR="005E50B0" w:rsidRDefault="005E50B0" w:rsidP="005E50B0">
            <w:pPr>
              <w:pStyle w:val="ListParagraph"/>
              <w:numPr>
                <w:ilvl w:val="1"/>
                <w:numId w:val="2"/>
              </w:numPr>
              <w:spacing w:after="0" w:line="240" w:lineRule="auto"/>
            </w:pPr>
            <w:r>
              <w:t>Section III-E-3-b-(3): P</w:t>
            </w:r>
            <w:r w:rsidRPr="00833C95">
              <w:t xml:space="preserve">lants associated with recombinant or synthetic nucleic acid molecule-modified non-exotic microorganisms that have </w:t>
            </w:r>
            <w:r w:rsidRPr="00833C95">
              <w:lastRenderedPageBreak/>
              <w:t>a recognized potential for serious detrimental impact on managed or natural ecosystems</w:t>
            </w:r>
            <w:r>
              <w:t>.</w:t>
            </w:r>
          </w:p>
          <w:p w14:paraId="63A577AF" w14:textId="77777777" w:rsidR="005E50B0" w:rsidRDefault="005E50B0" w:rsidP="005E50B0">
            <w:pPr>
              <w:pStyle w:val="ListParagraph"/>
              <w:numPr>
                <w:ilvl w:val="1"/>
                <w:numId w:val="2"/>
              </w:numPr>
              <w:spacing w:after="0" w:line="240" w:lineRule="auto"/>
            </w:pPr>
            <w:r>
              <w:t xml:space="preserve">Section III-E-3-b-(4): </w:t>
            </w:r>
            <w:r w:rsidRPr="00833C95">
              <w:t>Plants associated with recombinant or synthetic nucleic acid molecule-modified exotic microorganisms that have no recognized potential for serious detrimental impact on managed or natural ecosystems</w:t>
            </w:r>
            <w:r>
              <w:t>.</w:t>
            </w:r>
          </w:p>
          <w:p w14:paraId="5DED5BC0" w14:textId="77777777" w:rsidR="005E50B0" w:rsidRPr="00265567" w:rsidRDefault="005E50B0" w:rsidP="005E50B0">
            <w:pPr>
              <w:pStyle w:val="ListParagraph"/>
              <w:numPr>
                <w:ilvl w:val="1"/>
                <w:numId w:val="2"/>
              </w:numPr>
              <w:spacing w:after="0" w:line="240" w:lineRule="auto"/>
            </w:pPr>
            <w:r>
              <w:t xml:space="preserve">Section III-E-3-b-(5): </w:t>
            </w:r>
            <w:r w:rsidRPr="00BC50D0">
              <w:t>Experiments with recombinant or synthetic nucleic acid molecule-modified arthropods or small animals associated with plants, or with arthropods or small animals with recombinant or synthetic nucleic acid molecule-modified microorganisms associated with them if the recombinant or synthetic nucleic acid molecule-modified microorganisms have no recognized potential for serious detrimental impact on managed or natural ecosystems</w:t>
            </w:r>
            <w:r>
              <w:t>.</w:t>
            </w:r>
          </w:p>
        </w:tc>
      </w:tr>
      <w:tr w:rsidR="005E50B0" w14:paraId="13105487" w14:textId="77777777" w:rsidTr="007D451A">
        <w:sdt>
          <w:sdtPr>
            <w:id w:val="-1359729142"/>
            <w14:checkbox>
              <w14:checked w14:val="0"/>
              <w14:checkedState w14:val="2612" w14:font="MS Gothic"/>
              <w14:uncheckedState w14:val="2610" w14:font="MS Gothic"/>
            </w14:checkbox>
          </w:sdtPr>
          <w:sdtContent>
            <w:tc>
              <w:tcPr>
                <w:tcW w:w="3062" w:type="dxa"/>
              </w:tcPr>
              <w:p w14:paraId="081700A4" w14:textId="77777777" w:rsidR="005E50B0" w:rsidRDefault="005E50B0" w:rsidP="007D451A">
                <w:pPr>
                  <w:jc w:val="center"/>
                </w:pPr>
                <w:r>
                  <w:rPr>
                    <w:rFonts w:ascii="MS Gothic" w:eastAsia="MS Gothic" w:hAnsi="MS Gothic" w:hint="eastAsia"/>
                  </w:rPr>
                  <w:t>☐</w:t>
                </w:r>
              </w:p>
            </w:tc>
          </w:sdtContent>
        </w:sdt>
        <w:tc>
          <w:tcPr>
            <w:tcW w:w="7828" w:type="dxa"/>
            <w:gridSpan w:val="2"/>
          </w:tcPr>
          <w:p w14:paraId="758057D6" w14:textId="77777777" w:rsidR="005E50B0" w:rsidRDefault="005E50B0" w:rsidP="007D451A">
            <w:r>
              <w:t>Section III-E-3: Experiments involving Transgenic Rodents</w:t>
            </w:r>
          </w:p>
          <w:p w14:paraId="57B698CA" w14:textId="77777777" w:rsidR="005E50B0" w:rsidRPr="00265567" w:rsidRDefault="005E50B0" w:rsidP="005E50B0">
            <w:pPr>
              <w:pStyle w:val="ListParagraph"/>
              <w:numPr>
                <w:ilvl w:val="0"/>
                <w:numId w:val="2"/>
              </w:numPr>
              <w:spacing w:after="0" w:line="240" w:lineRule="auto"/>
            </w:pPr>
            <w:r>
              <w:t xml:space="preserve">Section III-E-3-a: </w:t>
            </w:r>
            <w:r w:rsidRPr="004C7A55">
              <w:t>Experiments involving the breeding of certain BL1 transgenic rodents are exempt under Section III-F, Exempt Experiments</w:t>
            </w:r>
            <w:r>
              <w:t>.</w:t>
            </w:r>
          </w:p>
        </w:tc>
      </w:tr>
      <w:tr w:rsidR="002202D6" w14:paraId="0CAE3991" w14:textId="77777777" w:rsidTr="002202D6">
        <w:tc>
          <w:tcPr>
            <w:tcW w:w="5445" w:type="dxa"/>
            <w:gridSpan w:val="2"/>
            <w:tcBorders>
              <w:right w:val="nil"/>
            </w:tcBorders>
            <w:shd w:val="clear" w:color="auto" w:fill="A6A6A6" w:themeFill="background1" w:themeFillShade="A6"/>
          </w:tcPr>
          <w:p w14:paraId="150040D3" w14:textId="77777777" w:rsidR="002202D6" w:rsidRPr="00F01E7D" w:rsidRDefault="002202D6" w:rsidP="002202D6">
            <w:pPr>
              <w:rPr>
                <w:b/>
                <w:bCs/>
              </w:rPr>
            </w:pPr>
            <w:r>
              <w:rPr>
                <w:b/>
                <w:bCs/>
              </w:rPr>
              <w:t xml:space="preserve">Section F- Exempt Experiments </w:t>
            </w:r>
            <w:r w:rsidRPr="00F01E7D">
              <w:t>(pg. 24)</w:t>
            </w:r>
          </w:p>
        </w:tc>
        <w:tc>
          <w:tcPr>
            <w:tcW w:w="5445" w:type="dxa"/>
            <w:tcBorders>
              <w:left w:val="nil"/>
            </w:tcBorders>
            <w:shd w:val="clear" w:color="auto" w:fill="A6A6A6" w:themeFill="background1" w:themeFillShade="A6"/>
          </w:tcPr>
          <w:p w14:paraId="74877C08" w14:textId="3A9F86B9" w:rsidR="002202D6" w:rsidRPr="00F01E7D" w:rsidRDefault="002202D6" w:rsidP="002202D6">
            <w:pPr>
              <w:rPr>
                <w:b/>
                <w:bCs/>
              </w:rPr>
            </w:pPr>
          </w:p>
        </w:tc>
      </w:tr>
      <w:tr w:rsidR="005E50B0" w14:paraId="052D9209" w14:textId="77777777" w:rsidTr="007D451A">
        <w:sdt>
          <w:sdtPr>
            <w:id w:val="-1929108442"/>
            <w14:checkbox>
              <w14:checked w14:val="0"/>
              <w14:checkedState w14:val="2612" w14:font="MS Gothic"/>
              <w14:uncheckedState w14:val="2610" w14:font="MS Gothic"/>
            </w14:checkbox>
          </w:sdtPr>
          <w:sdtContent>
            <w:tc>
              <w:tcPr>
                <w:tcW w:w="3062" w:type="dxa"/>
              </w:tcPr>
              <w:p w14:paraId="12E3307E" w14:textId="77777777" w:rsidR="005E50B0" w:rsidRDefault="005E50B0" w:rsidP="007D451A">
                <w:pPr>
                  <w:jc w:val="center"/>
                </w:pPr>
                <w:r>
                  <w:rPr>
                    <w:rFonts w:ascii="MS Gothic" w:eastAsia="MS Gothic" w:hAnsi="MS Gothic" w:hint="eastAsia"/>
                  </w:rPr>
                  <w:t>☐</w:t>
                </w:r>
              </w:p>
            </w:tc>
          </w:sdtContent>
        </w:sdt>
        <w:tc>
          <w:tcPr>
            <w:tcW w:w="7828" w:type="dxa"/>
            <w:gridSpan w:val="2"/>
          </w:tcPr>
          <w:p w14:paraId="30C809D2" w14:textId="77777777" w:rsidR="005E50B0" w:rsidRPr="00D45134" w:rsidRDefault="005E50B0" w:rsidP="007D451A">
            <w:r w:rsidRPr="00D45134">
              <w:t xml:space="preserve">Section </w:t>
            </w:r>
            <w:r>
              <w:t>III-F-1: T</w:t>
            </w:r>
            <w:r w:rsidRPr="00155835">
              <w:t>hose synthetic nucleic acids that: (1) can neither replicate nor generate nucleic acids that can replicate in any living cell (e.g., oligonucleotides or other synthetic nucleic acids that do not contain an origin of replication or contain elements known to interact with either DNA or RNA polymerase), and (2) are not designed to introduce a stable genetic modification, and (3) do not produce a toxin that is lethal for vertebrates at an LD</w:t>
            </w:r>
            <w:r w:rsidRPr="00C27C9A">
              <w:rPr>
                <w:vertAlign w:val="subscript"/>
              </w:rPr>
              <w:t>50</w:t>
            </w:r>
            <w:r w:rsidRPr="00155835">
              <w:t xml:space="preserve"> of less than 100 nanograms per kilogram body weight. If a synthetic nucleic acid is deliberately transferred into one or more human research participants and meets the criteria of Section III-C, it is not exempt under this Section</w:t>
            </w:r>
          </w:p>
        </w:tc>
      </w:tr>
      <w:tr w:rsidR="005E50B0" w14:paraId="4A10A975" w14:textId="77777777" w:rsidTr="007D451A">
        <w:sdt>
          <w:sdtPr>
            <w:id w:val="696281007"/>
            <w14:checkbox>
              <w14:checked w14:val="0"/>
              <w14:checkedState w14:val="2612" w14:font="MS Gothic"/>
              <w14:uncheckedState w14:val="2610" w14:font="MS Gothic"/>
            </w14:checkbox>
          </w:sdtPr>
          <w:sdtContent>
            <w:tc>
              <w:tcPr>
                <w:tcW w:w="3062" w:type="dxa"/>
              </w:tcPr>
              <w:p w14:paraId="40482774" w14:textId="77777777" w:rsidR="005E50B0" w:rsidRDefault="005E50B0" w:rsidP="007D451A">
                <w:pPr>
                  <w:jc w:val="center"/>
                </w:pPr>
                <w:r>
                  <w:rPr>
                    <w:rFonts w:ascii="MS Gothic" w:eastAsia="MS Gothic" w:hAnsi="MS Gothic" w:hint="eastAsia"/>
                  </w:rPr>
                  <w:t>☐</w:t>
                </w:r>
              </w:p>
            </w:tc>
          </w:sdtContent>
        </w:sdt>
        <w:tc>
          <w:tcPr>
            <w:tcW w:w="7828" w:type="dxa"/>
            <w:gridSpan w:val="2"/>
          </w:tcPr>
          <w:p w14:paraId="2B1E7238" w14:textId="77777777" w:rsidR="005E50B0" w:rsidRPr="00D45134" w:rsidRDefault="005E50B0" w:rsidP="007D451A">
            <w:r w:rsidRPr="00D45134">
              <w:t xml:space="preserve">Section </w:t>
            </w:r>
            <w:r>
              <w:t>III-F-2: T</w:t>
            </w:r>
            <w:r w:rsidRPr="009117C3">
              <w:t>hose that are not in organisms, cells, or viruses and that have not been modified or manipulated (e.g., encapsulated into synthetic or natural vehicles) to render them capable of penetrating cellular membranes.</w:t>
            </w:r>
          </w:p>
        </w:tc>
      </w:tr>
      <w:tr w:rsidR="005E50B0" w14:paraId="56B3901D" w14:textId="77777777" w:rsidTr="007D451A">
        <w:sdt>
          <w:sdtPr>
            <w:id w:val="-2077272467"/>
            <w14:checkbox>
              <w14:checked w14:val="0"/>
              <w14:checkedState w14:val="2612" w14:font="MS Gothic"/>
              <w14:uncheckedState w14:val="2610" w14:font="MS Gothic"/>
            </w14:checkbox>
          </w:sdtPr>
          <w:sdtContent>
            <w:tc>
              <w:tcPr>
                <w:tcW w:w="3062" w:type="dxa"/>
              </w:tcPr>
              <w:p w14:paraId="7C41C28B" w14:textId="77777777" w:rsidR="005E50B0" w:rsidRDefault="005E50B0" w:rsidP="007D451A">
                <w:pPr>
                  <w:jc w:val="center"/>
                </w:pPr>
                <w:r>
                  <w:rPr>
                    <w:rFonts w:ascii="MS Gothic" w:eastAsia="MS Gothic" w:hAnsi="MS Gothic" w:hint="eastAsia"/>
                  </w:rPr>
                  <w:t>☐</w:t>
                </w:r>
              </w:p>
            </w:tc>
          </w:sdtContent>
        </w:sdt>
        <w:tc>
          <w:tcPr>
            <w:tcW w:w="7828" w:type="dxa"/>
            <w:gridSpan w:val="2"/>
          </w:tcPr>
          <w:p w14:paraId="01D154EC" w14:textId="77777777" w:rsidR="005E50B0" w:rsidRPr="00D45134" w:rsidRDefault="005E50B0" w:rsidP="007D451A">
            <w:r w:rsidRPr="00D45134">
              <w:t xml:space="preserve">Section </w:t>
            </w:r>
            <w:r>
              <w:t xml:space="preserve">III-F-3: </w:t>
            </w:r>
            <w:r w:rsidRPr="009117C3">
              <w:t>Those that consist solely of the exact recombinant or synthetic nucleic acid sequence from a single source that exists contemporaneously in nature.</w:t>
            </w:r>
          </w:p>
        </w:tc>
      </w:tr>
      <w:tr w:rsidR="005E50B0" w14:paraId="7AF08029" w14:textId="77777777" w:rsidTr="007D451A">
        <w:sdt>
          <w:sdtPr>
            <w:id w:val="1781680972"/>
            <w14:checkbox>
              <w14:checked w14:val="0"/>
              <w14:checkedState w14:val="2612" w14:font="MS Gothic"/>
              <w14:uncheckedState w14:val="2610" w14:font="MS Gothic"/>
            </w14:checkbox>
          </w:sdtPr>
          <w:sdtContent>
            <w:tc>
              <w:tcPr>
                <w:tcW w:w="3062" w:type="dxa"/>
              </w:tcPr>
              <w:p w14:paraId="41AC9316" w14:textId="77777777" w:rsidR="005E50B0" w:rsidRDefault="005E50B0" w:rsidP="007D451A">
                <w:pPr>
                  <w:jc w:val="center"/>
                </w:pPr>
                <w:r>
                  <w:rPr>
                    <w:rFonts w:ascii="MS Gothic" w:eastAsia="MS Gothic" w:hAnsi="MS Gothic" w:hint="eastAsia"/>
                  </w:rPr>
                  <w:t>☐</w:t>
                </w:r>
              </w:p>
            </w:tc>
          </w:sdtContent>
        </w:sdt>
        <w:tc>
          <w:tcPr>
            <w:tcW w:w="7828" w:type="dxa"/>
            <w:gridSpan w:val="2"/>
          </w:tcPr>
          <w:p w14:paraId="149388B7" w14:textId="77777777" w:rsidR="005E50B0" w:rsidRPr="00D45134" w:rsidRDefault="005E50B0" w:rsidP="007D451A">
            <w:r w:rsidRPr="00D45134">
              <w:t xml:space="preserve">Section </w:t>
            </w:r>
            <w:r>
              <w:t xml:space="preserve">III-F-4: </w:t>
            </w:r>
            <w:r w:rsidRPr="005C09D0">
              <w:t>Those that consist entirely of nucleic acids from a prokaryotic host, including its indigenous plasmids or viruses when propagated only in that host (or a closely related strain of the same species), or when transferred to another host by well-established physiological means.</w:t>
            </w:r>
          </w:p>
        </w:tc>
      </w:tr>
      <w:tr w:rsidR="005E50B0" w14:paraId="5B0B761D" w14:textId="77777777" w:rsidTr="007D451A">
        <w:sdt>
          <w:sdtPr>
            <w:id w:val="-1779566135"/>
            <w14:checkbox>
              <w14:checked w14:val="0"/>
              <w14:checkedState w14:val="2612" w14:font="MS Gothic"/>
              <w14:uncheckedState w14:val="2610" w14:font="MS Gothic"/>
            </w14:checkbox>
          </w:sdtPr>
          <w:sdtContent>
            <w:tc>
              <w:tcPr>
                <w:tcW w:w="3062" w:type="dxa"/>
              </w:tcPr>
              <w:p w14:paraId="7771A11F" w14:textId="77777777" w:rsidR="005E50B0" w:rsidRDefault="005E50B0" w:rsidP="007D451A">
                <w:pPr>
                  <w:jc w:val="center"/>
                </w:pPr>
                <w:r>
                  <w:rPr>
                    <w:rFonts w:ascii="MS Gothic" w:eastAsia="MS Gothic" w:hAnsi="MS Gothic" w:hint="eastAsia"/>
                  </w:rPr>
                  <w:t>☐</w:t>
                </w:r>
              </w:p>
            </w:tc>
          </w:sdtContent>
        </w:sdt>
        <w:tc>
          <w:tcPr>
            <w:tcW w:w="7828" w:type="dxa"/>
            <w:gridSpan w:val="2"/>
          </w:tcPr>
          <w:p w14:paraId="5D3F28C2" w14:textId="77777777" w:rsidR="005E50B0" w:rsidRPr="00D45134" w:rsidRDefault="005E50B0" w:rsidP="007D451A">
            <w:r w:rsidRPr="00D45134">
              <w:t xml:space="preserve">Section </w:t>
            </w:r>
            <w:r>
              <w:t xml:space="preserve">III-F-5: </w:t>
            </w:r>
            <w:r w:rsidRPr="005C09D0">
              <w:t>Those that consist entirely of nucleic acids from a eukaryotic host including its chloroplasts, mitochondria, or plasmids (but excluding viruses) when propagated only in that host (o</w:t>
            </w:r>
            <w:r>
              <w:t>r a closely related strain of the same species).</w:t>
            </w:r>
          </w:p>
        </w:tc>
      </w:tr>
      <w:tr w:rsidR="005E50B0" w14:paraId="0A304E0D" w14:textId="77777777" w:rsidTr="007D451A">
        <w:sdt>
          <w:sdtPr>
            <w:id w:val="-1594705110"/>
            <w14:checkbox>
              <w14:checked w14:val="0"/>
              <w14:checkedState w14:val="2612" w14:font="MS Gothic"/>
              <w14:uncheckedState w14:val="2610" w14:font="MS Gothic"/>
            </w14:checkbox>
          </w:sdtPr>
          <w:sdtContent>
            <w:tc>
              <w:tcPr>
                <w:tcW w:w="3062" w:type="dxa"/>
              </w:tcPr>
              <w:p w14:paraId="61BF15FE" w14:textId="77777777" w:rsidR="005E50B0" w:rsidRDefault="005E50B0" w:rsidP="007D451A">
                <w:pPr>
                  <w:jc w:val="center"/>
                </w:pPr>
                <w:r>
                  <w:rPr>
                    <w:rFonts w:ascii="MS Gothic" w:eastAsia="MS Gothic" w:hAnsi="MS Gothic" w:hint="eastAsia"/>
                  </w:rPr>
                  <w:t>☐</w:t>
                </w:r>
              </w:p>
            </w:tc>
          </w:sdtContent>
        </w:sdt>
        <w:tc>
          <w:tcPr>
            <w:tcW w:w="7828" w:type="dxa"/>
            <w:gridSpan w:val="2"/>
          </w:tcPr>
          <w:p w14:paraId="7ABB9AD8" w14:textId="77777777" w:rsidR="005E50B0" w:rsidRPr="00D45134" w:rsidRDefault="005E50B0" w:rsidP="007D451A">
            <w:r w:rsidRPr="00D45134">
              <w:t xml:space="preserve">Section </w:t>
            </w:r>
            <w:r>
              <w:t xml:space="preserve">III-F-6: </w:t>
            </w:r>
            <w:r w:rsidRPr="00AC0930">
              <w:t>Those that consist entirely of DNA segments from different species that exchange DNA by known physiological processes, though one or more of the segments may be a synthetic equivalent. A list of such exchangers will be prepared and periodically revised by the NIH Director after appropriate notice and opportunity for public comment (see Section IV-C-1-b-(1)-(c), Major Actions). See Appendices A-I through A-VI, Exemptions under Section III-F-6-Sublists of Natural Exchangers, for a list of natural exchangers that are exempt from the NIH Guidelines.</w:t>
            </w:r>
          </w:p>
        </w:tc>
      </w:tr>
      <w:tr w:rsidR="005E50B0" w14:paraId="627A3803" w14:textId="77777777" w:rsidTr="007D451A">
        <w:sdt>
          <w:sdtPr>
            <w:id w:val="1339882264"/>
            <w14:checkbox>
              <w14:checked w14:val="0"/>
              <w14:checkedState w14:val="2612" w14:font="MS Gothic"/>
              <w14:uncheckedState w14:val="2610" w14:font="MS Gothic"/>
            </w14:checkbox>
          </w:sdtPr>
          <w:sdtContent>
            <w:tc>
              <w:tcPr>
                <w:tcW w:w="3062" w:type="dxa"/>
              </w:tcPr>
              <w:p w14:paraId="7A2F0CAE" w14:textId="77777777" w:rsidR="005E50B0" w:rsidRDefault="005E50B0" w:rsidP="007D451A">
                <w:pPr>
                  <w:jc w:val="center"/>
                </w:pPr>
                <w:r>
                  <w:rPr>
                    <w:rFonts w:ascii="MS Gothic" w:eastAsia="MS Gothic" w:hAnsi="MS Gothic" w:hint="eastAsia"/>
                  </w:rPr>
                  <w:t>☐</w:t>
                </w:r>
              </w:p>
            </w:tc>
          </w:sdtContent>
        </w:sdt>
        <w:tc>
          <w:tcPr>
            <w:tcW w:w="7828" w:type="dxa"/>
            <w:gridSpan w:val="2"/>
          </w:tcPr>
          <w:p w14:paraId="7A0665BF" w14:textId="77777777" w:rsidR="005E50B0" w:rsidRPr="00D45134" w:rsidRDefault="005E50B0" w:rsidP="007D451A">
            <w:r w:rsidRPr="00D45134">
              <w:t xml:space="preserve">Section </w:t>
            </w:r>
            <w:r>
              <w:t xml:space="preserve">III-F-7: </w:t>
            </w:r>
            <w:r w:rsidRPr="00AC0930">
              <w:t>Those genomic DNA molecules that have acquired a transposable element, provided the transposable element does not contain any recombinant and/or synthetic DNA</w:t>
            </w:r>
            <w:r>
              <w:t>.</w:t>
            </w:r>
          </w:p>
        </w:tc>
      </w:tr>
      <w:tr w:rsidR="005E50B0" w14:paraId="067B6DF0" w14:textId="77777777" w:rsidTr="007D451A">
        <w:sdt>
          <w:sdtPr>
            <w:id w:val="-1638329746"/>
            <w14:checkbox>
              <w14:checked w14:val="1"/>
              <w14:checkedState w14:val="2612" w14:font="MS Gothic"/>
              <w14:uncheckedState w14:val="2610" w14:font="MS Gothic"/>
            </w14:checkbox>
          </w:sdtPr>
          <w:sdtContent>
            <w:tc>
              <w:tcPr>
                <w:tcW w:w="3062" w:type="dxa"/>
              </w:tcPr>
              <w:p w14:paraId="05C3AD06" w14:textId="77777777" w:rsidR="005E50B0" w:rsidRDefault="005E50B0" w:rsidP="007D451A">
                <w:pPr>
                  <w:jc w:val="center"/>
                </w:pPr>
                <w:r>
                  <w:rPr>
                    <w:rFonts w:ascii="MS Gothic" w:eastAsia="MS Gothic" w:hAnsi="MS Gothic" w:hint="eastAsia"/>
                  </w:rPr>
                  <w:t>☒</w:t>
                </w:r>
              </w:p>
            </w:tc>
          </w:sdtContent>
        </w:sdt>
        <w:tc>
          <w:tcPr>
            <w:tcW w:w="7828" w:type="dxa"/>
            <w:gridSpan w:val="2"/>
          </w:tcPr>
          <w:p w14:paraId="3ED1822A" w14:textId="77777777" w:rsidR="005E50B0" w:rsidRPr="00D45134" w:rsidRDefault="005E50B0" w:rsidP="007D451A">
            <w:r w:rsidRPr="00D45134">
              <w:t xml:space="preserve">Section </w:t>
            </w:r>
            <w:r>
              <w:t xml:space="preserve">III-F-8: </w:t>
            </w:r>
            <w:r w:rsidRPr="00AC0930">
              <w:t>Those that do not present a significant risk to health or the environment (see Section IV</w:t>
            </w:r>
            <w:r>
              <w:t>-</w:t>
            </w:r>
            <w:r w:rsidRPr="00AC0930">
              <w:t xml:space="preserve">C-1-b-(1)-(c), Major Actions), as determined by the NIH Director following appropriate notice and opportunity for public comment. </w:t>
            </w:r>
            <w:r>
              <w:t xml:space="preserve">See </w:t>
            </w:r>
            <w:hyperlink r:id="rId16" w:history="1">
              <w:r w:rsidRPr="00717C5C">
                <w:rPr>
                  <w:rStyle w:val="Hyperlink"/>
                </w:rPr>
                <w:t>Appendix C</w:t>
              </w:r>
            </w:hyperlink>
            <w:r>
              <w:t>.</w:t>
            </w:r>
          </w:p>
        </w:tc>
      </w:tr>
    </w:tbl>
    <w:p w14:paraId="48353A26" w14:textId="77777777" w:rsidR="005E50B0" w:rsidRDefault="005E50B0" w:rsidP="005E50B0"/>
    <w:p w14:paraId="3D0492DB" w14:textId="77777777" w:rsidR="005E50B0" w:rsidRDefault="005E50B0" w:rsidP="005E50B0"/>
    <w:p w14:paraId="7382A73C" w14:textId="77777777" w:rsidR="005E50B0" w:rsidRDefault="005E50B0" w:rsidP="005E50B0">
      <w:r>
        <w:t xml:space="preserve">*Checklist is based on the </w:t>
      </w:r>
      <w:hyperlink r:id="rId17" w:history="1">
        <w:r w:rsidRPr="004F3505">
          <w:rPr>
            <w:rStyle w:val="Hyperlink"/>
          </w:rPr>
          <w:t>NIH Transparency Requirements for IBCs</w:t>
        </w:r>
      </w:hyperlink>
      <w:r>
        <w:t xml:space="preserve"> effective June 1, 2025. </w:t>
      </w:r>
    </w:p>
    <w:p w14:paraId="7656942B" w14:textId="77777777" w:rsidR="005E50B0" w:rsidRDefault="005E50B0" w:rsidP="005E50B0"/>
    <w:p w14:paraId="5D8EDE62" w14:textId="77777777" w:rsidR="005E50B0" w:rsidRPr="0075080B" w:rsidRDefault="005E50B0" w:rsidP="0075080B">
      <w:pPr>
        <w:spacing w:after="120"/>
        <w:rPr>
          <w:rFonts w:cstheme="minorHAnsi"/>
        </w:rPr>
      </w:pPr>
    </w:p>
    <w:sectPr w:rsidR="005E50B0" w:rsidRPr="0075080B" w:rsidSect="00502810">
      <w:headerReference w:type="default" r:id="rId18"/>
      <w:pgSz w:w="12240" w:h="15840"/>
      <w:pgMar w:top="1440" w:right="1440" w:bottom="1440" w:left="1440" w:header="17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95BB" w14:textId="77777777" w:rsidR="00873AA4" w:rsidRDefault="00873AA4" w:rsidP="006D6522">
      <w:r>
        <w:separator/>
      </w:r>
    </w:p>
  </w:endnote>
  <w:endnote w:type="continuationSeparator" w:id="0">
    <w:p w14:paraId="12AE890B" w14:textId="77777777" w:rsidR="00873AA4" w:rsidRDefault="00873AA4" w:rsidP="006D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5B14" w14:textId="77777777" w:rsidR="00873AA4" w:rsidRDefault="00873AA4" w:rsidP="006D6522">
      <w:r>
        <w:separator/>
      </w:r>
    </w:p>
  </w:footnote>
  <w:footnote w:type="continuationSeparator" w:id="0">
    <w:p w14:paraId="73059688" w14:textId="77777777" w:rsidR="00873AA4" w:rsidRDefault="00873AA4" w:rsidP="006D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2528" w14:textId="2B56C8E0" w:rsidR="006D6522" w:rsidRDefault="00502810" w:rsidP="006D6522">
    <w:pPr>
      <w:pStyle w:val="Header"/>
      <w:ind w:firstLine="720"/>
    </w:pPr>
    <w:r>
      <w:rPr>
        <w:noProof/>
      </w:rPr>
      <mc:AlternateContent>
        <mc:Choice Requires="wps">
          <w:drawing>
            <wp:anchor distT="45720" distB="45720" distL="114300" distR="114300" simplePos="0" relativeHeight="251661312" behindDoc="0" locked="0" layoutInCell="1" allowOverlap="1" wp14:anchorId="731AA118" wp14:editId="128F11D0">
              <wp:simplePos x="0" y="0"/>
              <wp:positionH relativeFrom="column">
                <wp:posOffset>657860</wp:posOffset>
              </wp:positionH>
              <wp:positionV relativeFrom="paragraph">
                <wp:posOffset>-857250</wp:posOffset>
              </wp:positionV>
              <wp:extent cx="236093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A0EE789" w14:textId="77777777" w:rsidR="006D6522" w:rsidRPr="00674ABC" w:rsidRDefault="006D6522" w:rsidP="00502810">
                          <w:pPr>
                            <w:pBdr>
                              <w:left w:val="single" w:sz="2" w:space="8" w:color="auto"/>
                            </w:pBdr>
                            <w:ind w:left="90" w:firstLine="90"/>
                            <w:rPr>
                              <w:rFonts w:ascii="Roboto Condensed" w:hAnsi="Roboto Condensed"/>
                              <w:b/>
                              <w:noProof/>
                              <w:color w:val="830019"/>
                              <w:sz w:val="22"/>
                              <w:szCs w:val="22"/>
                            </w:rPr>
                          </w:pPr>
                          <w:r>
                            <w:rPr>
                              <w:rFonts w:ascii="Roboto Condensed" w:hAnsi="Roboto Condensed"/>
                              <w:b/>
                              <w:noProof/>
                              <w:color w:val="830019"/>
                              <w:sz w:val="22"/>
                              <w:szCs w:val="22"/>
                            </w:rPr>
                            <w:t>Research &amp; Sponsored Programs</w:t>
                          </w:r>
                        </w:p>
                        <w:p w14:paraId="38D55839" w14:textId="77777777" w:rsidR="006D6522" w:rsidRPr="00490EE8" w:rsidRDefault="006D6522" w:rsidP="00502810">
                          <w:pPr>
                            <w:pBdr>
                              <w:left w:val="single" w:sz="2" w:space="8" w:color="auto"/>
                            </w:pBdr>
                            <w:ind w:left="90" w:firstLine="90"/>
                            <w:rPr>
                              <w:rFonts w:ascii="Roboto Condensed" w:hAnsi="Roboto Condensed"/>
                              <w:noProof/>
                              <w:sz w:val="16"/>
                              <w:szCs w:val="16"/>
                            </w:rPr>
                          </w:pPr>
                          <w:r>
                            <w:rPr>
                              <w:rFonts w:ascii="Roboto Condensed" w:hAnsi="Roboto Condensed"/>
                              <w:noProof/>
                              <w:sz w:val="16"/>
                              <w:szCs w:val="16"/>
                            </w:rPr>
                            <w:t>243 Graff Hall</w:t>
                          </w:r>
                        </w:p>
                        <w:p w14:paraId="6BA65A4C" w14:textId="77777777" w:rsidR="006D6522" w:rsidRPr="00490EE8" w:rsidRDefault="006D6522" w:rsidP="00502810">
                          <w:pPr>
                            <w:pBdr>
                              <w:left w:val="single" w:sz="2" w:space="8" w:color="auto"/>
                            </w:pBdr>
                            <w:ind w:left="90" w:firstLine="90"/>
                            <w:rPr>
                              <w:rFonts w:ascii="Roboto Condensed" w:hAnsi="Roboto Condensed"/>
                              <w:noProof/>
                              <w:sz w:val="16"/>
                              <w:szCs w:val="16"/>
                            </w:rPr>
                          </w:pPr>
                          <w:r w:rsidRPr="00490EE8">
                            <w:rPr>
                              <w:rFonts w:ascii="Roboto Condensed" w:hAnsi="Roboto Condensed"/>
                              <w:noProof/>
                              <w:sz w:val="16"/>
                              <w:szCs w:val="16"/>
                            </w:rPr>
                            <w:t>1725 State Street</w:t>
                          </w:r>
                        </w:p>
                        <w:p w14:paraId="67E2FC69" w14:textId="77777777" w:rsidR="006D6522" w:rsidRPr="00AB3FE3" w:rsidRDefault="006D6522" w:rsidP="00502810">
                          <w:pPr>
                            <w:pBdr>
                              <w:left w:val="single" w:sz="2" w:space="8" w:color="auto"/>
                            </w:pBdr>
                            <w:ind w:left="90" w:firstLine="90"/>
                            <w:rPr>
                              <w:rFonts w:ascii="Roboto Condensed" w:hAnsi="Roboto Condensed"/>
                              <w:noProof/>
                              <w:sz w:val="16"/>
                              <w:szCs w:val="16"/>
                            </w:rPr>
                          </w:pPr>
                          <w:r w:rsidRPr="00AB3FE3">
                            <w:rPr>
                              <w:rFonts w:ascii="Roboto Condensed" w:hAnsi="Roboto Condensed"/>
                              <w:noProof/>
                              <w:sz w:val="16"/>
                              <w:szCs w:val="16"/>
                            </w:rPr>
                            <w:t xml:space="preserve">La Crosse, WI 54601 </w:t>
                          </w:r>
                        </w:p>
                        <w:p w14:paraId="09FA2A14" w14:textId="77777777" w:rsidR="006D6522" w:rsidRPr="00490EE8" w:rsidRDefault="006D6522" w:rsidP="00502810">
                          <w:pPr>
                            <w:pBdr>
                              <w:left w:val="single" w:sz="2" w:space="8" w:color="auto"/>
                            </w:pBdr>
                            <w:ind w:left="90" w:firstLine="90"/>
                            <w:rPr>
                              <w:rFonts w:ascii="Roboto Condensed" w:hAnsi="Roboto Condensed"/>
                              <w:noProof/>
                              <w:sz w:val="16"/>
                              <w:szCs w:val="16"/>
                            </w:rPr>
                          </w:pPr>
                          <w:r w:rsidRPr="00490EE8">
                            <w:rPr>
                              <w:rFonts w:ascii="Roboto Condensed" w:hAnsi="Roboto Condensed"/>
                              <w:noProof/>
                              <w:sz w:val="16"/>
                              <w:szCs w:val="16"/>
                            </w:rPr>
                            <w:t>608.785.</w:t>
                          </w:r>
                          <w:r>
                            <w:rPr>
                              <w:rFonts w:ascii="Roboto Condensed" w:hAnsi="Roboto Condensed"/>
                              <w:noProof/>
                              <w:sz w:val="16"/>
                              <w:szCs w:val="16"/>
                            </w:rPr>
                            <w:t>8044</w:t>
                          </w:r>
                        </w:p>
                        <w:p w14:paraId="5D2D0440" w14:textId="0BF25AA4" w:rsidR="006D6522" w:rsidRPr="00674ABC" w:rsidRDefault="006D6522" w:rsidP="00502810">
                          <w:pPr>
                            <w:pBdr>
                              <w:left w:val="single" w:sz="2" w:space="8" w:color="auto"/>
                            </w:pBdr>
                            <w:ind w:left="90" w:firstLine="90"/>
                            <w:rPr>
                              <w:rFonts w:ascii="Roboto Condensed" w:hAnsi="Roboto Condensed"/>
                              <w:noProof/>
                              <w:sz w:val="16"/>
                              <w:szCs w:val="16"/>
                            </w:rPr>
                          </w:pPr>
                          <w:hyperlink r:id="rId1" w:history="1">
                            <w:r w:rsidRPr="00A919DC">
                              <w:rPr>
                                <w:rStyle w:val="Hyperlink"/>
                                <w:rFonts w:ascii="Roboto Condensed" w:hAnsi="Roboto Condensed"/>
                                <w:noProof/>
                                <w:sz w:val="16"/>
                                <w:szCs w:val="16"/>
                              </w:rPr>
                              <w:t>grants@uwlax.edu</w:t>
                            </w:r>
                          </w:hyperlink>
                        </w:p>
                        <w:p w14:paraId="1DD40CEB" w14:textId="457C3BCC" w:rsidR="006D6522" w:rsidRDefault="006D652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1AA118" id="_x0000_t202" coordsize="21600,21600" o:spt="202" path="m,l,21600r21600,l21600,xe">
              <v:stroke joinstyle="miter"/>
              <v:path gradientshapeok="t" o:connecttype="rect"/>
            </v:shapetype>
            <v:shape id="Text Box 2" o:spid="_x0000_s1026" type="#_x0000_t202" style="position:absolute;left:0;text-align:left;margin-left:51.8pt;margin-top:-67.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" filled="f" stroked="f">
              <v:textbox style="mso-fit-shape-to-text:t">
                <w:txbxContent>
                  <w:p w14:paraId="4A0EE789" w14:textId="77777777" w:rsidR="006D6522" w:rsidRPr="00674ABC" w:rsidRDefault="006D6522" w:rsidP="00502810">
                    <w:pPr>
                      <w:pBdr>
                        <w:left w:val="single" w:sz="2" w:space="8" w:color="auto"/>
                      </w:pBdr>
                      <w:ind w:left="90" w:firstLine="90"/>
                      <w:rPr>
                        <w:rFonts w:ascii="Roboto Condensed" w:hAnsi="Roboto Condensed"/>
                        <w:b/>
                        <w:noProof/>
                        <w:color w:val="830019"/>
                        <w:sz w:val="22"/>
                        <w:szCs w:val="22"/>
                      </w:rPr>
                    </w:pPr>
                    <w:r>
                      <w:rPr>
                        <w:rFonts w:ascii="Roboto Condensed" w:hAnsi="Roboto Condensed"/>
                        <w:b/>
                        <w:noProof/>
                        <w:color w:val="830019"/>
                        <w:sz w:val="22"/>
                        <w:szCs w:val="22"/>
                      </w:rPr>
                      <w:t>Research &amp; Sponsored Programs</w:t>
                    </w:r>
                  </w:p>
                  <w:p w14:paraId="38D55839" w14:textId="77777777" w:rsidR="006D6522" w:rsidRPr="00490EE8" w:rsidRDefault="006D6522" w:rsidP="00502810">
                    <w:pPr>
                      <w:pBdr>
                        <w:left w:val="single" w:sz="2" w:space="8" w:color="auto"/>
                      </w:pBdr>
                      <w:ind w:left="90" w:firstLine="90"/>
                      <w:rPr>
                        <w:rFonts w:ascii="Roboto Condensed" w:hAnsi="Roboto Condensed"/>
                        <w:noProof/>
                        <w:sz w:val="16"/>
                        <w:szCs w:val="16"/>
                      </w:rPr>
                    </w:pPr>
                    <w:r>
                      <w:rPr>
                        <w:rFonts w:ascii="Roboto Condensed" w:hAnsi="Roboto Condensed"/>
                        <w:noProof/>
                        <w:sz w:val="16"/>
                        <w:szCs w:val="16"/>
                      </w:rPr>
                      <w:t>243 Graff Hall</w:t>
                    </w:r>
                  </w:p>
                  <w:p w14:paraId="6BA65A4C" w14:textId="77777777" w:rsidR="006D6522" w:rsidRPr="00490EE8" w:rsidRDefault="006D6522" w:rsidP="00502810">
                    <w:pPr>
                      <w:pBdr>
                        <w:left w:val="single" w:sz="2" w:space="8" w:color="auto"/>
                      </w:pBdr>
                      <w:ind w:left="90" w:firstLine="90"/>
                      <w:rPr>
                        <w:rFonts w:ascii="Roboto Condensed" w:hAnsi="Roboto Condensed"/>
                        <w:noProof/>
                        <w:sz w:val="16"/>
                        <w:szCs w:val="16"/>
                      </w:rPr>
                    </w:pPr>
                    <w:r w:rsidRPr="00490EE8">
                      <w:rPr>
                        <w:rFonts w:ascii="Roboto Condensed" w:hAnsi="Roboto Condensed"/>
                        <w:noProof/>
                        <w:sz w:val="16"/>
                        <w:szCs w:val="16"/>
                      </w:rPr>
                      <w:t>1725 State Street</w:t>
                    </w:r>
                  </w:p>
                  <w:p w14:paraId="67E2FC69" w14:textId="77777777" w:rsidR="006D6522" w:rsidRPr="00AB3FE3" w:rsidRDefault="006D6522" w:rsidP="00502810">
                    <w:pPr>
                      <w:pBdr>
                        <w:left w:val="single" w:sz="2" w:space="8" w:color="auto"/>
                      </w:pBdr>
                      <w:ind w:left="90" w:firstLine="90"/>
                      <w:rPr>
                        <w:rFonts w:ascii="Roboto Condensed" w:hAnsi="Roboto Condensed"/>
                        <w:noProof/>
                        <w:sz w:val="16"/>
                        <w:szCs w:val="16"/>
                      </w:rPr>
                    </w:pPr>
                    <w:r w:rsidRPr="00AB3FE3">
                      <w:rPr>
                        <w:rFonts w:ascii="Roboto Condensed" w:hAnsi="Roboto Condensed"/>
                        <w:noProof/>
                        <w:sz w:val="16"/>
                        <w:szCs w:val="16"/>
                      </w:rPr>
                      <w:t xml:space="preserve">La Crosse, WI 54601 </w:t>
                    </w:r>
                  </w:p>
                  <w:p w14:paraId="09FA2A14" w14:textId="77777777" w:rsidR="006D6522" w:rsidRPr="00490EE8" w:rsidRDefault="006D6522" w:rsidP="00502810">
                    <w:pPr>
                      <w:pBdr>
                        <w:left w:val="single" w:sz="2" w:space="8" w:color="auto"/>
                      </w:pBdr>
                      <w:ind w:left="90" w:firstLine="90"/>
                      <w:rPr>
                        <w:rFonts w:ascii="Roboto Condensed" w:hAnsi="Roboto Condensed"/>
                        <w:noProof/>
                        <w:sz w:val="16"/>
                        <w:szCs w:val="16"/>
                      </w:rPr>
                    </w:pPr>
                    <w:r w:rsidRPr="00490EE8">
                      <w:rPr>
                        <w:rFonts w:ascii="Roboto Condensed" w:hAnsi="Roboto Condensed"/>
                        <w:noProof/>
                        <w:sz w:val="16"/>
                        <w:szCs w:val="16"/>
                      </w:rPr>
                      <w:t>608.785.</w:t>
                    </w:r>
                    <w:r>
                      <w:rPr>
                        <w:rFonts w:ascii="Roboto Condensed" w:hAnsi="Roboto Condensed"/>
                        <w:noProof/>
                        <w:sz w:val="16"/>
                        <w:szCs w:val="16"/>
                      </w:rPr>
                      <w:t>8044</w:t>
                    </w:r>
                  </w:p>
                  <w:p w14:paraId="5D2D0440" w14:textId="0BF25AA4" w:rsidR="006D6522" w:rsidRPr="00674ABC" w:rsidRDefault="006D6522" w:rsidP="00502810">
                    <w:pPr>
                      <w:pBdr>
                        <w:left w:val="single" w:sz="2" w:space="8" w:color="auto"/>
                      </w:pBdr>
                      <w:ind w:left="90" w:firstLine="90"/>
                      <w:rPr>
                        <w:rFonts w:ascii="Roboto Condensed" w:hAnsi="Roboto Condensed"/>
                        <w:noProof/>
                        <w:sz w:val="16"/>
                        <w:szCs w:val="16"/>
                      </w:rPr>
                    </w:pPr>
                    <w:hyperlink r:id="rId2" w:history="1">
                      <w:r w:rsidRPr="00A919DC">
                        <w:rPr>
                          <w:rStyle w:val="Hyperlink"/>
                          <w:rFonts w:ascii="Roboto Condensed" w:hAnsi="Roboto Condensed"/>
                          <w:noProof/>
                          <w:sz w:val="16"/>
                          <w:szCs w:val="16"/>
                        </w:rPr>
                        <w:t>grants@uwlax.edu</w:t>
                      </w:r>
                    </w:hyperlink>
                  </w:p>
                  <w:p w14:paraId="1DD40CEB" w14:textId="457C3BCC" w:rsidR="006D6522" w:rsidRDefault="006D6522"/>
                </w:txbxContent>
              </v:textbox>
            </v:shape>
          </w:pict>
        </mc:Fallback>
      </mc:AlternateContent>
    </w:r>
    <w:r w:rsidR="00760B64" w:rsidRPr="00490EE8">
      <w:rPr>
        <w:noProof/>
      </w:rPr>
      <w:drawing>
        <wp:anchor distT="0" distB="0" distL="114300" distR="114300" simplePos="0" relativeHeight="251659264" behindDoc="0" locked="0" layoutInCell="1" allowOverlap="1" wp14:anchorId="39A1DA93" wp14:editId="4FD0A60D">
          <wp:simplePos x="0" y="0"/>
          <wp:positionH relativeFrom="column">
            <wp:posOffset>-628650</wp:posOffset>
          </wp:positionH>
          <wp:positionV relativeFrom="paragraph">
            <wp:posOffset>-857250</wp:posOffset>
          </wp:positionV>
          <wp:extent cx="1286510" cy="805815"/>
          <wp:effectExtent l="0" t="0" r="8890" b="0"/>
          <wp:wrapNone/>
          <wp:docPr id="2" name="Picture 2" descr="University of Wisconsin-La Cros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Wisconsin-La Crosse logo."/>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86510" cy="805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2165"/>
    <w:multiLevelType w:val="hybridMultilevel"/>
    <w:tmpl w:val="A76ED546"/>
    <w:lvl w:ilvl="0" w:tplc="E4448812">
      <w:start w:val="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83794"/>
    <w:multiLevelType w:val="hybridMultilevel"/>
    <w:tmpl w:val="B4442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188297">
    <w:abstractNumId w:val="1"/>
  </w:num>
  <w:num w:numId="2" w16cid:durableId="16694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57"/>
    <w:rsid w:val="000000F7"/>
    <w:rsid w:val="000011E9"/>
    <w:rsid w:val="00002442"/>
    <w:rsid w:val="000034CC"/>
    <w:rsid w:val="00014F16"/>
    <w:rsid w:val="00026D9C"/>
    <w:rsid w:val="000277B3"/>
    <w:rsid w:val="000424CA"/>
    <w:rsid w:val="000634AC"/>
    <w:rsid w:val="0006683E"/>
    <w:rsid w:val="00067038"/>
    <w:rsid w:val="000717D3"/>
    <w:rsid w:val="00085DDE"/>
    <w:rsid w:val="000A5624"/>
    <w:rsid w:val="000B07B5"/>
    <w:rsid w:val="000B2D15"/>
    <w:rsid w:val="000B3D5F"/>
    <w:rsid w:val="000C4AD7"/>
    <w:rsid w:val="000D6C87"/>
    <w:rsid w:val="000D6D78"/>
    <w:rsid w:val="000E23CA"/>
    <w:rsid w:val="000F73DF"/>
    <w:rsid w:val="0010321F"/>
    <w:rsid w:val="00104E99"/>
    <w:rsid w:val="00113E31"/>
    <w:rsid w:val="00120BA9"/>
    <w:rsid w:val="001230FC"/>
    <w:rsid w:val="001326A4"/>
    <w:rsid w:val="001331C0"/>
    <w:rsid w:val="00143B74"/>
    <w:rsid w:val="001455F6"/>
    <w:rsid w:val="00156A08"/>
    <w:rsid w:val="001603D5"/>
    <w:rsid w:val="00162ADE"/>
    <w:rsid w:val="00167994"/>
    <w:rsid w:val="00172CF4"/>
    <w:rsid w:val="00172DDE"/>
    <w:rsid w:val="00174739"/>
    <w:rsid w:val="00184323"/>
    <w:rsid w:val="00193093"/>
    <w:rsid w:val="001A45FA"/>
    <w:rsid w:val="001A6A70"/>
    <w:rsid w:val="001A7708"/>
    <w:rsid w:val="001B11FD"/>
    <w:rsid w:val="001B3EF1"/>
    <w:rsid w:val="001B4896"/>
    <w:rsid w:val="001E4177"/>
    <w:rsid w:val="001E7CE7"/>
    <w:rsid w:val="001F6D75"/>
    <w:rsid w:val="001F6D9F"/>
    <w:rsid w:val="001F7F75"/>
    <w:rsid w:val="0020043B"/>
    <w:rsid w:val="002038A3"/>
    <w:rsid w:val="00205F24"/>
    <w:rsid w:val="00207604"/>
    <w:rsid w:val="00207A20"/>
    <w:rsid w:val="0021056A"/>
    <w:rsid w:val="00213705"/>
    <w:rsid w:val="002202D6"/>
    <w:rsid w:val="00221986"/>
    <w:rsid w:val="00222D77"/>
    <w:rsid w:val="00231172"/>
    <w:rsid w:val="00237FCB"/>
    <w:rsid w:val="00254397"/>
    <w:rsid w:val="00257B36"/>
    <w:rsid w:val="00260A2D"/>
    <w:rsid w:val="00264B99"/>
    <w:rsid w:val="002833E6"/>
    <w:rsid w:val="00283F74"/>
    <w:rsid w:val="00284BDC"/>
    <w:rsid w:val="002A1DC5"/>
    <w:rsid w:val="002B7602"/>
    <w:rsid w:val="002B7BAF"/>
    <w:rsid w:val="002D0271"/>
    <w:rsid w:val="002D2A4F"/>
    <w:rsid w:val="002D2D81"/>
    <w:rsid w:val="002D55D0"/>
    <w:rsid w:val="002D5F87"/>
    <w:rsid w:val="002D6E84"/>
    <w:rsid w:val="002E3587"/>
    <w:rsid w:val="002F15EF"/>
    <w:rsid w:val="002F5CB3"/>
    <w:rsid w:val="002F75DD"/>
    <w:rsid w:val="002F7B4D"/>
    <w:rsid w:val="00303373"/>
    <w:rsid w:val="00305D76"/>
    <w:rsid w:val="00323F2C"/>
    <w:rsid w:val="00326267"/>
    <w:rsid w:val="003265D2"/>
    <w:rsid w:val="0032783D"/>
    <w:rsid w:val="00343774"/>
    <w:rsid w:val="003475B3"/>
    <w:rsid w:val="003754D6"/>
    <w:rsid w:val="00377E9C"/>
    <w:rsid w:val="00384644"/>
    <w:rsid w:val="003933AE"/>
    <w:rsid w:val="003A017D"/>
    <w:rsid w:val="003A3957"/>
    <w:rsid w:val="003B60D4"/>
    <w:rsid w:val="003D1279"/>
    <w:rsid w:val="003E125B"/>
    <w:rsid w:val="003E33DC"/>
    <w:rsid w:val="003F1CF3"/>
    <w:rsid w:val="003F5853"/>
    <w:rsid w:val="003F6EC4"/>
    <w:rsid w:val="00400079"/>
    <w:rsid w:val="004035E0"/>
    <w:rsid w:val="0040581F"/>
    <w:rsid w:val="004127C8"/>
    <w:rsid w:val="00422447"/>
    <w:rsid w:val="004262F9"/>
    <w:rsid w:val="004353B6"/>
    <w:rsid w:val="00436AC1"/>
    <w:rsid w:val="0043766A"/>
    <w:rsid w:val="00447C3C"/>
    <w:rsid w:val="00451F93"/>
    <w:rsid w:val="00452E23"/>
    <w:rsid w:val="00456DE9"/>
    <w:rsid w:val="0046142D"/>
    <w:rsid w:val="00472285"/>
    <w:rsid w:val="0049344C"/>
    <w:rsid w:val="004939E3"/>
    <w:rsid w:val="00494CB4"/>
    <w:rsid w:val="00494EF4"/>
    <w:rsid w:val="00497C0D"/>
    <w:rsid w:val="004D5396"/>
    <w:rsid w:val="004E7545"/>
    <w:rsid w:val="00502810"/>
    <w:rsid w:val="00507181"/>
    <w:rsid w:val="0051150C"/>
    <w:rsid w:val="005122B6"/>
    <w:rsid w:val="00531A98"/>
    <w:rsid w:val="005376D1"/>
    <w:rsid w:val="00540447"/>
    <w:rsid w:val="00541FC0"/>
    <w:rsid w:val="00544C4B"/>
    <w:rsid w:val="00547FC2"/>
    <w:rsid w:val="00555F66"/>
    <w:rsid w:val="00571364"/>
    <w:rsid w:val="00594F26"/>
    <w:rsid w:val="005A2F43"/>
    <w:rsid w:val="005A5249"/>
    <w:rsid w:val="005A668C"/>
    <w:rsid w:val="005B0A52"/>
    <w:rsid w:val="005B390E"/>
    <w:rsid w:val="005B5473"/>
    <w:rsid w:val="005C4F39"/>
    <w:rsid w:val="005D27A4"/>
    <w:rsid w:val="005D5DB7"/>
    <w:rsid w:val="005D6560"/>
    <w:rsid w:val="005D7E41"/>
    <w:rsid w:val="005E3515"/>
    <w:rsid w:val="005E50B0"/>
    <w:rsid w:val="005E58AC"/>
    <w:rsid w:val="005F11FC"/>
    <w:rsid w:val="005F1780"/>
    <w:rsid w:val="00600FA0"/>
    <w:rsid w:val="00603F49"/>
    <w:rsid w:val="006060A8"/>
    <w:rsid w:val="00606EDA"/>
    <w:rsid w:val="006139EF"/>
    <w:rsid w:val="00621602"/>
    <w:rsid w:val="006221EF"/>
    <w:rsid w:val="00643C88"/>
    <w:rsid w:val="00647249"/>
    <w:rsid w:val="00650870"/>
    <w:rsid w:val="00655584"/>
    <w:rsid w:val="00666063"/>
    <w:rsid w:val="00670664"/>
    <w:rsid w:val="00674EFB"/>
    <w:rsid w:val="006871D4"/>
    <w:rsid w:val="006913BA"/>
    <w:rsid w:val="00692A66"/>
    <w:rsid w:val="00696B45"/>
    <w:rsid w:val="006A7975"/>
    <w:rsid w:val="006B0F41"/>
    <w:rsid w:val="006B4FE4"/>
    <w:rsid w:val="006B5CD0"/>
    <w:rsid w:val="006C6990"/>
    <w:rsid w:val="006D6522"/>
    <w:rsid w:val="006D7C4A"/>
    <w:rsid w:val="006E283A"/>
    <w:rsid w:val="006E6BC3"/>
    <w:rsid w:val="006F49B5"/>
    <w:rsid w:val="006F6393"/>
    <w:rsid w:val="006F6958"/>
    <w:rsid w:val="00705F83"/>
    <w:rsid w:val="00712078"/>
    <w:rsid w:val="00716AA3"/>
    <w:rsid w:val="00722F55"/>
    <w:rsid w:val="007330F4"/>
    <w:rsid w:val="00733E8E"/>
    <w:rsid w:val="00745F37"/>
    <w:rsid w:val="00746CF2"/>
    <w:rsid w:val="0075080B"/>
    <w:rsid w:val="0075138F"/>
    <w:rsid w:val="00757A2E"/>
    <w:rsid w:val="00760B64"/>
    <w:rsid w:val="00765BE4"/>
    <w:rsid w:val="007664FA"/>
    <w:rsid w:val="007677D5"/>
    <w:rsid w:val="007679C3"/>
    <w:rsid w:val="00771BCA"/>
    <w:rsid w:val="00774897"/>
    <w:rsid w:val="007756C2"/>
    <w:rsid w:val="00775FFC"/>
    <w:rsid w:val="00782BF4"/>
    <w:rsid w:val="007853A9"/>
    <w:rsid w:val="007874E7"/>
    <w:rsid w:val="00794F05"/>
    <w:rsid w:val="007B182B"/>
    <w:rsid w:val="007B59F5"/>
    <w:rsid w:val="007C2857"/>
    <w:rsid w:val="007C5C62"/>
    <w:rsid w:val="007D03C7"/>
    <w:rsid w:val="007D3736"/>
    <w:rsid w:val="007E084A"/>
    <w:rsid w:val="007E57B0"/>
    <w:rsid w:val="007E659C"/>
    <w:rsid w:val="00801BC3"/>
    <w:rsid w:val="00806EF9"/>
    <w:rsid w:val="00810632"/>
    <w:rsid w:val="008270F4"/>
    <w:rsid w:val="0083012D"/>
    <w:rsid w:val="0083254B"/>
    <w:rsid w:val="00832F9B"/>
    <w:rsid w:val="00842DED"/>
    <w:rsid w:val="00845E2D"/>
    <w:rsid w:val="008500AA"/>
    <w:rsid w:val="008557C3"/>
    <w:rsid w:val="008569ED"/>
    <w:rsid w:val="0086106A"/>
    <w:rsid w:val="00872981"/>
    <w:rsid w:val="00873AA4"/>
    <w:rsid w:val="00880680"/>
    <w:rsid w:val="00886B64"/>
    <w:rsid w:val="00886CB0"/>
    <w:rsid w:val="008B2E97"/>
    <w:rsid w:val="008B4F9B"/>
    <w:rsid w:val="008B7187"/>
    <w:rsid w:val="008D55A2"/>
    <w:rsid w:val="008F15BF"/>
    <w:rsid w:val="008F6C6E"/>
    <w:rsid w:val="00900501"/>
    <w:rsid w:val="00911E8A"/>
    <w:rsid w:val="009131F7"/>
    <w:rsid w:val="009228AD"/>
    <w:rsid w:val="009244AB"/>
    <w:rsid w:val="00927797"/>
    <w:rsid w:val="009300AD"/>
    <w:rsid w:val="0093234F"/>
    <w:rsid w:val="009502C6"/>
    <w:rsid w:val="00952178"/>
    <w:rsid w:val="00955528"/>
    <w:rsid w:val="00956070"/>
    <w:rsid w:val="00960319"/>
    <w:rsid w:val="00964C90"/>
    <w:rsid w:val="00965874"/>
    <w:rsid w:val="00965949"/>
    <w:rsid w:val="0097377A"/>
    <w:rsid w:val="00976C20"/>
    <w:rsid w:val="0097792E"/>
    <w:rsid w:val="00982546"/>
    <w:rsid w:val="00986181"/>
    <w:rsid w:val="00987B9F"/>
    <w:rsid w:val="009900AE"/>
    <w:rsid w:val="00991BF7"/>
    <w:rsid w:val="00992F6F"/>
    <w:rsid w:val="009975C0"/>
    <w:rsid w:val="009A0768"/>
    <w:rsid w:val="009B4198"/>
    <w:rsid w:val="009C4FE6"/>
    <w:rsid w:val="009D5449"/>
    <w:rsid w:val="009D71F9"/>
    <w:rsid w:val="009F316E"/>
    <w:rsid w:val="00A066F7"/>
    <w:rsid w:val="00A06D0B"/>
    <w:rsid w:val="00A12882"/>
    <w:rsid w:val="00A154F7"/>
    <w:rsid w:val="00A206C7"/>
    <w:rsid w:val="00A27411"/>
    <w:rsid w:val="00A322B5"/>
    <w:rsid w:val="00A54158"/>
    <w:rsid w:val="00A65BEA"/>
    <w:rsid w:val="00A7419A"/>
    <w:rsid w:val="00A807B2"/>
    <w:rsid w:val="00A87BBB"/>
    <w:rsid w:val="00A908C2"/>
    <w:rsid w:val="00AB6DA3"/>
    <w:rsid w:val="00AB70A2"/>
    <w:rsid w:val="00AC10E0"/>
    <w:rsid w:val="00AC70F6"/>
    <w:rsid w:val="00AE1CD4"/>
    <w:rsid w:val="00AE7D94"/>
    <w:rsid w:val="00AF3719"/>
    <w:rsid w:val="00AF6A5A"/>
    <w:rsid w:val="00B04479"/>
    <w:rsid w:val="00B07043"/>
    <w:rsid w:val="00B07C0A"/>
    <w:rsid w:val="00B102CA"/>
    <w:rsid w:val="00B317D5"/>
    <w:rsid w:val="00B37AA5"/>
    <w:rsid w:val="00B426FC"/>
    <w:rsid w:val="00B507FE"/>
    <w:rsid w:val="00B52A62"/>
    <w:rsid w:val="00B56297"/>
    <w:rsid w:val="00B675AE"/>
    <w:rsid w:val="00B755DE"/>
    <w:rsid w:val="00B760C9"/>
    <w:rsid w:val="00B800F9"/>
    <w:rsid w:val="00B80F16"/>
    <w:rsid w:val="00B83D75"/>
    <w:rsid w:val="00B94E5F"/>
    <w:rsid w:val="00BB4282"/>
    <w:rsid w:val="00BB5499"/>
    <w:rsid w:val="00BB6DAE"/>
    <w:rsid w:val="00BC3667"/>
    <w:rsid w:val="00BC7016"/>
    <w:rsid w:val="00BD17EC"/>
    <w:rsid w:val="00BE0EDD"/>
    <w:rsid w:val="00BE25ED"/>
    <w:rsid w:val="00BE2F9D"/>
    <w:rsid w:val="00BE5725"/>
    <w:rsid w:val="00BE5B1D"/>
    <w:rsid w:val="00BE5CB1"/>
    <w:rsid w:val="00BF0BFD"/>
    <w:rsid w:val="00BF4BED"/>
    <w:rsid w:val="00BF64E2"/>
    <w:rsid w:val="00BF75F8"/>
    <w:rsid w:val="00C00ECD"/>
    <w:rsid w:val="00C0156D"/>
    <w:rsid w:val="00C0560F"/>
    <w:rsid w:val="00C063BF"/>
    <w:rsid w:val="00C06E67"/>
    <w:rsid w:val="00C25D37"/>
    <w:rsid w:val="00C3436E"/>
    <w:rsid w:val="00C422E1"/>
    <w:rsid w:val="00C42EE7"/>
    <w:rsid w:val="00C4539A"/>
    <w:rsid w:val="00C45DDF"/>
    <w:rsid w:val="00C5487A"/>
    <w:rsid w:val="00C56033"/>
    <w:rsid w:val="00C767B0"/>
    <w:rsid w:val="00C91045"/>
    <w:rsid w:val="00C94823"/>
    <w:rsid w:val="00C975B2"/>
    <w:rsid w:val="00CA6B50"/>
    <w:rsid w:val="00CB6FE0"/>
    <w:rsid w:val="00CC46D1"/>
    <w:rsid w:val="00CD5153"/>
    <w:rsid w:val="00CD5EA1"/>
    <w:rsid w:val="00CD6F6B"/>
    <w:rsid w:val="00CD72E1"/>
    <w:rsid w:val="00CE6A99"/>
    <w:rsid w:val="00D0113C"/>
    <w:rsid w:val="00D07DFD"/>
    <w:rsid w:val="00D20A81"/>
    <w:rsid w:val="00D212AE"/>
    <w:rsid w:val="00D2240C"/>
    <w:rsid w:val="00D24A8C"/>
    <w:rsid w:val="00D35DDB"/>
    <w:rsid w:val="00D50D38"/>
    <w:rsid w:val="00D52166"/>
    <w:rsid w:val="00D820AE"/>
    <w:rsid w:val="00D8421E"/>
    <w:rsid w:val="00D91728"/>
    <w:rsid w:val="00D93325"/>
    <w:rsid w:val="00DA6A89"/>
    <w:rsid w:val="00DC2814"/>
    <w:rsid w:val="00DD52C3"/>
    <w:rsid w:val="00DE4580"/>
    <w:rsid w:val="00DE4E98"/>
    <w:rsid w:val="00DF5AE0"/>
    <w:rsid w:val="00DF79BC"/>
    <w:rsid w:val="00E22E19"/>
    <w:rsid w:val="00E333B7"/>
    <w:rsid w:val="00E374C5"/>
    <w:rsid w:val="00E43B0A"/>
    <w:rsid w:val="00E45D4E"/>
    <w:rsid w:val="00E4613A"/>
    <w:rsid w:val="00E538C7"/>
    <w:rsid w:val="00E566BA"/>
    <w:rsid w:val="00E702F0"/>
    <w:rsid w:val="00E91529"/>
    <w:rsid w:val="00E94424"/>
    <w:rsid w:val="00EA11F3"/>
    <w:rsid w:val="00EA45AD"/>
    <w:rsid w:val="00EB5268"/>
    <w:rsid w:val="00ED25FB"/>
    <w:rsid w:val="00EF0780"/>
    <w:rsid w:val="00EF1BF2"/>
    <w:rsid w:val="00EF5DD9"/>
    <w:rsid w:val="00F02670"/>
    <w:rsid w:val="00F3070E"/>
    <w:rsid w:val="00F417A5"/>
    <w:rsid w:val="00F51902"/>
    <w:rsid w:val="00F60242"/>
    <w:rsid w:val="00F614A0"/>
    <w:rsid w:val="00F658CE"/>
    <w:rsid w:val="00F72353"/>
    <w:rsid w:val="00F75D8F"/>
    <w:rsid w:val="00F937EB"/>
    <w:rsid w:val="00FA17FE"/>
    <w:rsid w:val="00FA6019"/>
    <w:rsid w:val="00FA684D"/>
    <w:rsid w:val="00FB11B7"/>
    <w:rsid w:val="00FB5119"/>
    <w:rsid w:val="00FB7E18"/>
    <w:rsid w:val="00FC5BD8"/>
    <w:rsid w:val="00FC6D99"/>
    <w:rsid w:val="00FD466D"/>
    <w:rsid w:val="00FE0499"/>
    <w:rsid w:val="00FE3F78"/>
    <w:rsid w:val="00FE4D24"/>
    <w:rsid w:val="00FF54DA"/>
    <w:rsid w:val="00FF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78F6"/>
  <w15:chartTrackingRefBased/>
  <w15:docId w15:val="{DE91AFFB-FB8C-411C-AAC6-5489DF97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22"/>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2202D6"/>
    <w:pPr>
      <w:spacing w:after="120"/>
      <w:outlineLvl w:val="0"/>
    </w:pPr>
    <w:rPr>
      <w:rFonts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21F"/>
    <w:pPr>
      <w:spacing w:after="160" w:line="259" w:lineRule="auto"/>
      <w:ind w:left="720"/>
      <w:contextualSpacing/>
    </w:pPr>
    <w:rPr>
      <w:kern w:val="2"/>
      <w:sz w:val="22"/>
      <w:szCs w:val="22"/>
      <w14:ligatures w14:val="standardContextual"/>
    </w:rPr>
  </w:style>
  <w:style w:type="paragraph" w:styleId="Header">
    <w:name w:val="header"/>
    <w:basedOn w:val="Normal"/>
    <w:link w:val="HeaderChar"/>
    <w:uiPriority w:val="99"/>
    <w:unhideWhenUsed/>
    <w:rsid w:val="006D6522"/>
    <w:pPr>
      <w:tabs>
        <w:tab w:val="center" w:pos="4680"/>
        <w:tab w:val="right" w:pos="9360"/>
      </w:tabs>
    </w:pPr>
    <w:rPr>
      <w:kern w:val="2"/>
      <w:sz w:val="22"/>
      <w:szCs w:val="22"/>
      <w14:ligatures w14:val="standardContextual"/>
    </w:rPr>
  </w:style>
  <w:style w:type="character" w:customStyle="1" w:styleId="HeaderChar">
    <w:name w:val="Header Char"/>
    <w:basedOn w:val="DefaultParagraphFont"/>
    <w:link w:val="Header"/>
    <w:uiPriority w:val="99"/>
    <w:rsid w:val="006D6522"/>
  </w:style>
  <w:style w:type="paragraph" w:styleId="Footer">
    <w:name w:val="footer"/>
    <w:basedOn w:val="Normal"/>
    <w:link w:val="FooterChar"/>
    <w:uiPriority w:val="99"/>
    <w:unhideWhenUsed/>
    <w:rsid w:val="006D6522"/>
    <w:pPr>
      <w:tabs>
        <w:tab w:val="center" w:pos="4680"/>
        <w:tab w:val="right" w:pos="9360"/>
      </w:tabs>
    </w:pPr>
    <w:rPr>
      <w:kern w:val="2"/>
      <w:sz w:val="22"/>
      <w:szCs w:val="22"/>
      <w14:ligatures w14:val="standardContextual"/>
    </w:rPr>
  </w:style>
  <w:style w:type="character" w:customStyle="1" w:styleId="FooterChar">
    <w:name w:val="Footer Char"/>
    <w:basedOn w:val="DefaultParagraphFont"/>
    <w:link w:val="Footer"/>
    <w:uiPriority w:val="99"/>
    <w:rsid w:val="006D6522"/>
  </w:style>
  <w:style w:type="character" w:styleId="Hyperlink">
    <w:name w:val="Hyperlink"/>
    <w:basedOn w:val="DefaultParagraphFont"/>
    <w:uiPriority w:val="99"/>
    <w:unhideWhenUsed/>
    <w:rsid w:val="006D6522"/>
    <w:rPr>
      <w:color w:val="0563C1" w:themeColor="hyperlink"/>
      <w:u w:val="single"/>
    </w:rPr>
  </w:style>
  <w:style w:type="character" w:styleId="UnresolvedMention">
    <w:name w:val="Unresolved Mention"/>
    <w:basedOn w:val="DefaultParagraphFont"/>
    <w:uiPriority w:val="99"/>
    <w:semiHidden/>
    <w:unhideWhenUsed/>
    <w:rsid w:val="006D6522"/>
    <w:rPr>
      <w:color w:val="605E5C"/>
      <w:shd w:val="clear" w:color="auto" w:fill="E1DFDD"/>
    </w:rPr>
  </w:style>
  <w:style w:type="paragraph" w:customStyle="1" w:styleId="xmsonormal">
    <w:name w:val="x_msonormal"/>
    <w:basedOn w:val="Normal"/>
    <w:rsid w:val="000011E9"/>
    <w:rPr>
      <w:rFonts w:ascii="Calibri" w:hAnsi="Calibri" w:cs="Calibri"/>
      <w:sz w:val="22"/>
      <w:szCs w:val="22"/>
    </w:rPr>
  </w:style>
  <w:style w:type="character" w:styleId="FollowedHyperlink">
    <w:name w:val="FollowedHyperlink"/>
    <w:basedOn w:val="DefaultParagraphFont"/>
    <w:uiPriority w:val="99"/>
    <w:semiHidden/>
    <w:unhideWhenUsed/>
    <w:rsid w:val="002F15EF"/>
    <w:rPr>
      <w:color w:val="954F72" w:themeColor="followedHyperlink"/>
      <w:u w:val="single"/>
    </w:rPr>
  </w:style>
  <w:style w:type="table" w:styleId="TableGrid">
    <w:name w:val="Table Grid"/>
    <w:basedOn w:val="TableNormal"/>
    <w:uiPriority w:val="39"/>
    <w:rsid w:val="005E5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202D6"/>
    <w:pPr>
      <w:jc w:val="center"/>
    </w:pPr>
    <w:rPr>
      <w:rFonts w:cstheme="minorHAnsi"/>
      <w:b/>
      <w:bCs/>
      <w:sz w:val="22"/>
      <w:szCs w:val="22"/>
    </w:rPr>
  </w:style>
  <w:style w:type="character" w:customStyle="1" w:styleId="TitleChar">
    <w:name w:val="Title Char"/>
    <w:basedOn w:val="DefaultParagraphFont"/>
    <w:link w:val="Title"/>
    <w:uiPriority w:val="10"/>
    <w:rsid w:val="002202D6"/>
    <w:rPr>
      <w:rFonts w:cstheme="minorHAnsi"/>
      <w:b/>
      <w:bCs/>
      <w:kern w:val="0"/>
      <w14:ligatures w14:val="none"/>
    </w:rPr>
  </w:style>
  <w:style w:type="character" w:customStyle="1" w:styleId="Heading1Char">
    <w:name w:val="Heading 1 Char"/>
    <w:basedOn w:val="DefaultParagraphFont"/>
    <w:link w:val="Heading1"/>
    <w:uiPriority w:val="9"/>
    <w:rsid w:val="002202D6"/>
    <w:rPr>
      <w:rFonts w:cstheme="minorHAnsi"/>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0662">
      <w:bodyDiv w:val="1"/>
      <w:marLeft w:val="0"/>
      <w:marRight w:val="0"/>
      <w:marTop w:val="0"/>
      <w:marBottom w:val="0"/>
      <w:divBdr>
        <w:top w:val="none" w:sz="0" w:space="0" w:color="auto"/>
        <w:left w:val="none" w:sz="0" w:space="0" w:color="auto"/>
        <w:bottom w:val="none" w:sz="0" w:space="0" w:color="auto"/>
        <w:right w:val="none" w:sz="0" w:space="0" w:color="auto"/>
      </w:divBdr>
    </w:div>
    <w:div w:id="220219289">
      <w:bodyDiv w:val="1"/>
      <w:marLeft w:val="0"/>
      <w:marRight w:val="0"/>
      <w:marTop w:val="0"/>
      <w:marBottom w:val="0"/>
      <w:divBdr>
        <w:top w:val="none" w:sz="0" w:space="0" w:color="auto"/>
        <w:left w:val="none" w:sz="0" w:space="0" w:color="auto"/>
        <w:bottom w:val="none" w:sz="0" w:space="0" w:color="auto"/>
        <w:right w:val="none" w:sz="0" w:space="0" w:color="auto"/>
      </w:divBdr>
    </w:div>
    <w:div w:id="552499312">
      <w:bodyDiv w:val="1"/>
      <w:marLeft w:val="0"/>
      <w:marRight w:val="0"/>
      <w:marTop w:val="0"/>
      <w:marBottom w:val="0"/>
      <w:divBdr>
        <w:top w:val="none" w:sz="0" w:space="0" w:color="auto"/>
        <w:left w:val="none" w:sz="0" w:space="0" w:color="auto"/>
        <w:bottom w:val="none" w:sz="0" w:space="0" w:color="auto"/>
        <w:right w:val="none" w:sz="0" w:space="0" w:color="auto"/>
      </w:divBdr>
    </w:div>
    <w:div w:id="640309422">
      <w:bodyDiv w:val="1"/>
      <w:marLeft w:val="0"/>
      <w:marRight w:val="0"/>
      <w:marTop w:val="0"/>
      <w:marBottom w:val="0"/>
      <w:divBdr>
        <w:top w:val="none" w:sz="0" w:space="0" w:color="auto"/>
        <w:left w:val="none" w:sz="0" w:space="0" w:color="auto"/>
        <w:bottom w:val="none" w:sz="0" w:space="0" w:color="auto"/>
        <w:right w:val="none" w:sz="0" w:space="0" w:color="auto"/>
      </w:divBdr>
    </w:div>
    <w:div w:id="849174537">
      <w:bodyDiv w:val="1"/>
      <w:marLeft w:val="0"/>
      <w:marRight w:val="0"/>
      <w:marTop w:val="0"/>
      <w:marBottom w:val="0"/>
      <w:divBdr>
        <w:top w:val="none" w:sz="0" w:space="0" w:color="auto"/>
        <w:left w:val="none" w:sz="0" w:space="0" w:color="auto"/>
        <w:bottom w:val="none" w:sz="0" w:space="0" w:color="auto"/>
        <w:right w:val="none" w:sz="0" w:space="0" w:color="auto"/>
      </w:divBdr>
    </w:div>
    <w:div w:id="1472013445">
      <w:bodyDiv w:val="1"/>
      <w:marLeft w:val="0"/>
      <w:marRight w:val="0"/>
      <w:marTop w:val="0"/>
      <w:marBottom w:val="0"/>
      <w:divBdr>
        <w:top w:val="none" w:sz="0" w:space="0" w:color="auto"/>
        <w:left w:val="none" w:sz="0" w:space="0" w:color="auto"/>
        <w:bottom w:val="none" w:sz="0" w:space="0" w:color="auto"/>
        <w:right w:val="none" w:sz="0" w:space="0" w:color="auto"/>
      </w:divBdr>
    </w:div>
    <w:div w:id="1620141203">
      <w:bodyDiv w:val="1"/>
      <w:marLeft w:val="0"/>
      <w:marRight w:val="0"/>
      <w:marTop w:val="0"/>
      <w:marBottom w:val="0"/>
      <w:divBdr>
        <w:top w:val="none" w:sz="0" w:space="0" w:color="auto"/>
        <w:left w:val="none" w:sz="0" w:space="0" w:color="auto"/>
        <w:bottom w:val="none" w:sz="0" w:space="0" w:color="auto"/>
        <w:right w:val="none" w:sz="0" w:space="0" w:color="auto"/>
      </w:divBdr>
    </w:div>
    <w:div w:id="1851408357">
      <w:bodyDiv w:val="1"/>
      <w:marLeft w:val="0"/>
      <w:marRight w:val="0"/>
      <w:marTop w:val="0"/>
      <w:marBottom w:val="0"/>
      <w:divBdr>
        <w:top w:val="none" w:sz="0" w:space="0" w:color="auto"/>
        <w:left w:val="none" w:sz="0" w:space="0" w:color="auto"/>
        <w:bottom w:val="none" w:sz="0" w:space="0" w:color="auto"/>
        <w:right w:val="none" w:sz="0" w:space="0" w:color="auto"/>
      </w:divBdr>
    </w:div>
    <w:div w:id="1950114488">
      <w:bodyDiv w:val="1"/>
      <w:marLeft w:val="0"/>
      <w:marRight w:val="0"/>
      <w:marTop w:val="0"/>
      <w:marBottom w:val="0"/>
      <w:divBdr>
        <w:top w:val="none" w:sz="0" w:space="0" w:color="auto"/>
        <w:left w:val="none" w:sz="0" w:space="0" w:color="auto"/>
        <w:bottom w:val="none" w:sz="0" w:space="0" w:color="auto"/>
        <w:right w:val="none" w:sz="0" w:space="0" w:color="auto"/>
      </w:divBdr>
    </w:div>
    <w:div w:id="19957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sp.od.nih.gov/policies/biosafety-and-biosecurity-policy/faqs-about-ibc-meetings-and-minute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p.od.nih.gov/wp-content/uploads/NIH_Guidelines.pdf" TargetMode="External"/><Relationship Id="rId17" Type="http://schemas.openxmlformats.org/officeDocument/2006/relationships/hyperlink" Target="https://osp.od.nih.gov/policies/biosafety-and-biosecurity-policy/faqs-about-ibc-meetings-and-minutes/" TargetMode="External"/><Relationship Id="rId2" Type="http://schemas.openxmlformats.org/officeDocument/2006/relationships/customXml" Target="../customXml/item2.xml"/><Relationship Id="rId16" Type="http://schemas.openxmlformats.org/officeDocument/2006/relationships/hyperlink" Target="https://osp.od.nih.gov/wp-content/uploads/NIH_Guidelin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od.nih.gov/policies/biosafety-and-biosecurity-policy" TargetMode="External"/><Relationship Id="rId5" Type="http://schemas.openxmlformats.org/officeDocument/2006/relationships/styles" Target="styles.xml"/><Relationship Id="rId15" Type="http://schemas.openxmlformats.org/officeDocument/2006/relationships/hyperlink" Target="https://osp.od.nih.gov/wp-content/uploads/NIH_Guidelines.pdf" TargetMode="External"/><Relationship Id="rId10" Type="http://schemas.openxmlformats.org/officeDocument/2006/relationships/hyperlink" Target="https://absa.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sp.od.nih.gov/wp-content/uploads/NIH_Guideline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grants@uwlax.edu" TargetMode="External"/><Relationship Id="rId1" Type="http://schemas.openxmlformats.org/officeDocument/2006/relationships/hyperlink" Target="mailto:grants@uwla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2FCB325F616428F608C724D030727" ma:contentTypeVersion="10" ma:contentTypeDescription="Create a new document." ma:contentTypeScope="" ma:versionID="577e9f702f1f7fb103c7906b985d4c25">
  <xsd:schema xmlns:xsd="http://www.w3.org/2001/XMLSchema" xmlns:xs="http://www.w3.org/2001/XMLSchema" xmlns:p="http://schemas.microsoft.com/office/2006/metadata/properties" xmlns:ns2="5d19ecd9-718f-48da-85fc-3cb0d9653349" xmlns:ns3="3db11956-298e-4c6c-bf81-518e7600d6e5" targetNamespace="http://schemas.microsoft.com/office/2006/metadata/properties" ma:root="true" ma:fieldsID="77f12df57d84527802d8fd9e093849c5" ns2:_="" ns3:_="">
    <xsd:import namespace="5d19ecd9-718f-48da-85fc-3cb0d9653349"/>
    <xsd:import namespace="3db11956-298e-4c6c-bf81-518e7600d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9ecd9-718f-48da-85fc-3cb0d9653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11956-298e-4c6c-bf81-518e7600d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8adc0c-7635-4301-9eb8-85d6b96e6930}" ma:internalName="TaxCatchAll" ma:showField="CatchAllData" ma:web="3db11956-298e-4c6c-bf81-518e7600d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9ecd9-718f-48da-85fc-3cb0d9653349">
      <Terms xmlns="http://schemas.microsoft.com/office/infopath/2007/PartnerControls"/>
    </lcf76f155ced4ddcb4097134ff3c332f>
    <TaxCatchAll xmlns="3db11956-298e-4c6c-bf81-518e7600d6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F6E2A-E57F-4248-8E15-B96BEFAE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9ecd9-718f-48da-85fc-3cb0d9653349"/>
    <ds:schemaRef ds:uri="3db11956-298e-4c6c-bf81-518e7600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8AB80-DDF3-4772-8E95-4D1F927F8CC6}">
  <ds:schemaRefs>
    <ds:schemaRef ds:uri="http://schemas.microsoft.com/office/2006/metadata/properties"/>
    <ds:schemaRef ds:uri="http://schemas.microsoft.com/office/infopath/2007/PartnerControls"/>
    <ds:schemaRef ds:uri="5d19ecd9-718f-48da-85fc-3cb0d9653349"/>
    <ds:schemaRef ds:uri="3db11956-298e-4c6c-bf81-518e7600d6e5"/>
  </ds:schemaRefs>
</ds:datastoreItem>
</file>

<file path=customXml/itemProps3.xml><?xml version="1.0" encoding="utf-8"?>
<ds:datastoreItem xmlns:ds="http://schemas.openxmlformats.org/officeDocument/2006/customXml" ds:itemID="{10E29B23-995C-4566-BF97-8CBD0F1BA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Nielsen</dc:creator>
  <cp:keywords/>
  <dc:description/>
  <cp:lastModifiedBy>Kaylie Connaughty</cp:lastModifiedBy>
  <cp:revision>14</cp:revision>
  <dcterms:created xsi:type="dcterms:W3CDTF">2026-04-15T17:38:00Z</dcterms:created>
  <dcterms:modified xsi:type="dcterms:W3CDTF">2026-04-21T18:07:00Z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0x0101006C32FCB325F616428F608C724D030727</vt:lpwstr>
  </property>
  <property fmtid="{D5CDD505-2E9C-101B-9397-08002B2CF9AE}" pid="3" name="MediaServiceImageTags">
    <vt:lpwstr/>
  </property>
</Properties>
</file>