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0E" w:rsidRPr="00B42501" w:rsidRDefault="00FC08DB" w:rsidP="00FC08DB">
      <w:pPr>
        <w:jc w:val="center"/>
        <w:rPr>
          <w:b/>
          <w:sz w:val="28"/>
          <w:szCs w:val="28"/>
        </w:rPr>
      </w:pPr>
      <w:r w:rsidRPr="00B42501">
        <w:rPr>
          <w:b/>
          <w:sz w:val="28"/>
          <w:szCs w:val="28"/>
        </w:rPr>
        <w:t>Post-Tenure Review Procedures</w:t>
      </w:r>
    </w:p>
    <w:p w:rsidR="00823695" w:rsidRPr="009072D0" w:rsidRDefault="00823695" w:rsidP="00FC08DB">
      <w:pPr>
        <w:jc w:val="center"/>
        <w:rPr>
          <w:sz w:val="22"/>
        </w:rPr>
      </w:pPr>
      <w:r w:rsidRPr="009072D0">
        <w:rPr>
          <w:b/>
          <w:sz w:val="22"/>
        </w:rPr>
        <w:t>(cla</w:t>
      </w:r>
      <w:r w:rsidR="00883130">
        <w:rPr>
          <w:b/>
          <w:sz w:val="22"/>
        </w:rPr>
        <w:t xml:space="preserve">rifications and emphasis of specific </w:t>
      </w:r>
      <w:r w:rsidRPr="009072D0">
        <w:rPr>
          <w:b/>
          <w:sz w:val="22"/>
        </w:rPr>
        <w:t>policy</w:t>
      </w:r>
      <w:r w:rsidR="00883130">
        <w:rPr>
          <w:b/>
          <w:sz w:val="22"/>
        </w:rPr>
        <w:t xml:space="preserve"> points</w:t>
      </w:r>
      <w:r w:rsidRPr="009072D0">
        <w:rPr>
          <w:b/>
          <w:sz w:val="22"/>
        </w:rPr>
        <w:t>)</w:t>
      </w:r>
    </w:p>
    <w:p w:rsidR="00FC08DB" w:rsidRPr="009072D0" w:rsidRDefault="00FC08DB" w:rsidP="00FC08DB">
      <w:pPr>
        <w:rPr>
          <w:sz w:val="22"/>
        </w:rPr>
      </w:pPr>
      <w:bookmarkStart w:id="0" w:name="_GoBack"/>
      <w:bookmarkEnd w:id="0"/>
    </w:p>
    <w:p w:rsidR="00FC08DB" w:rsidRPr="009072D0" w:rsidRDefault="00823695" w:rsidP="00FC08DB">
      <w:pPr>
        <w:pStyle w:val="ListParagraph"/>
        <w:numPr>
          <w:ilvl w:val="0"/>
          <w:numId w:val="1"/>
        </w:numPr>
        <w:rPr>
          <w:sz w:val="22"/>
        </w:rPr>
      </w:pPr>
      <w:r w:rsidRPr="009072D0">
        <w:rPr>
          <w:sz w:val="22"/>
        </w:rPr>
        <w:t>The D</w:t>
      </w:r>
      <w:r w:rsidR="00FC08DB" w:rsidRPr="009072D0">
        <w:rPr>
          <w:sz w:val="22"/>
        </w:rPr>
        <w:t>ean must receive a separate letter regarding post-tenure review even if the review coincided with another form of review such as merit review.</w:t>
      </w:r>
    </w:p>
    <w:p w:rsidR="00FC08DB" w:rsidRPr="009072D0" w:rsidRDefault="00FC08DB" w:rsidP="00FC08DB">
      <w:pPr>
        <w:pStyle w:val="ListParagraph"/>
        <w:numPr>
          <w:ilvl w:val="0"/>
          <w:numId w:val="1"/>
        </w:numPr>
        <w:rPr>
          <w:sz w:val="22"/>
        </w:rPr>
      </w:pPr>
      <w:r w:rsidRPr="009072D0">
        <w:rPr>
          <w:sz w:val="22"/>
        </w:rPr>
        <w:t>Composition of the departmental post-tenure review committee</w:t>
      </w:r>
    </w:p>
    <w:p w:rsidR="00FC08DB" w:rsidRPr="009072D0" w:rsidRDefault="00FC08DB" w:rsidP="00FC08DB">
      <w:pPr>
        <w:pStyle w:val="ListParagraph"/>
        <w:numPr>
          <w:ilvl w:val="1"/>
          <w:numId w:val="1"/>
        </w:numPr>
        <w:rPr>
          <w:sz w:val="22"/>
        </w:rPr>
      </w:pPr>
      <w:r w:rsidRPr="009072D0">
        <w:rPr>
          <w:sz w:val="22"/>
        </w:rPr>
        <w:t>Department chair is the chair of the post-tenure review committee UNLESS</w:t>
      </w:r>
    </w:p>
    <w:p w:rsidR="00FC08DB" w:rsidRPr="009072D0" w:rsidRDefault="00FC08DB" w:rsidP="009072D0">
      <w:pPr>
        <w:pStyle w:val="ListParagraph"/>
        <w:numPr>
          <w:ilvl w:val="2"/>
          <w:numId w:val="1"/>
        </w:numPr>
        <w:rPr>
          <w:sz w:val="22"/>
        </w:rPr>
      </w:pPr>
      <w:r w:rsidRPr="009072D0">
        <w:rPr>
          <w:sz w:val="22"/>
        </w:rPr>
        <w:t>The department chair holds tenure in another department</w:t>
      </w:r>
    </w:p>
    <w:p w:rsidR="00FC08DB" w:rsidRPr="009072D0" w:rsidRDefault="00FC08DB" w:rsidP="00FC08DB">
      <w:pPr>
        <w:pStyle w:val="ListParagraph"/>
        <w:numPr>
          <w:ilvl w:val="2"/>
          <w:numId w:val="1"/>
        </w:numPr>
        <w:rPr>
          <w:sz w:val="22"/>
        </w:rPr>
      </w:pPr>
      <w:r w:rsidRPr="009072D0">
        <w:rPr>
          <w:sz w:val="22"/>
        </w:rPr>
        <w:t>The department chair is being reviewed</w:t>
      </w:r>
    </w:p>
    <w:p w:rsidR="00FC08DB" w:rsidRPr="009072D0" w:rsidRDefault="00FC08DB" w:rsidP="00FC08DB">
      <w:pPr>
        <w:pStyle w:val="ListParagraph"/>
        <w:numPr>
          <w:ilvl w:val="2"/>
          <w:numId w:val="1"/>
        </w:numPr>
        <w:rPr>
          <w:sz w:val="22"/>
        </w:rPr>
      </w:pPr>
      <w:r w:rsidRPr="009072D0">
        <w:rPr>
          <w:sz w:val="22"/>
        </w:rPr>
        <w:t>The department chair needs to recuse themselves via UWL’s nepotism policy.</w:t>
      </w:r>
    </w:p>
    <w:p w:rsidR="00FC08DB" w:rsidRPr="009072D0" w:rsidRDefault="00FC08DB" w:rsidP="00FC08DB">
      <w:pPr>
        <w:pStyle w:val="ListParagraph"/>
        <w:numPr>
          <w:ilvl w:val="2"/>
          <w:numId w:val="1"/>
        </w:numPr>
        <w:rPr>
          <w:sz w:val="22"/>
        </w:rPr>
      </w:pPr>
      <w:r w:rsidRPr="009072D0">
        <w:rPr>
          <w:sz w:val="22"/>
        </w:rPr>
        <w:t>In any of these cases, the chair is elected from the membership of the committee.</w:t>
      </w:r>
    </w:p>
    <w:p w:rsidR="00FC08DB" w:rsidRDefault="00FC08DB" w:rsidP="00FC08DB">
      <w:pPr>
        <w:pStyle w:val="ListParagraph"/>
        <w:numPr>
          <w:ilvl w:val="1"/>
          <w:numId w:val="1"/>
        </w:numPr>
        <w:rPr>
          <w:sz w:val="22"/>
        </w:rPr>
      </w:pPr>
      <w:r w:rsidRPr="009072D0">
        <w:rPr>
          <w:sz w:val="22"/>
        </w:rPr>
        <w:t>The committee must be comprised of a minimum of three members</w:t>
      </w:r>
    </w:p>
    <w:p w:rsidR="00AD0B27" w:rsidRPr="009072D0" w:rsidRDefault="00AD0B27" w:rsidP="00AD0B27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If the Department Chair is tenured outside the department but votes on other personnel matters (e.g., retention/promotion), then they are a voting member of the Post-Tenure Review Committee. If they do NOT vote on other personnel matters, they are NOT a voting member of the committee.</w:t>
      </w:r>
    </w:p>
    <w:p w:rsidR="00FC08DB" w:rsidRPr="009072D0" w:rsidRDefault="00FC08DB" w:rsidP="00FC08DB">
      <w:pPr>
        <w:pStyle w:val="ListParagraph"/>
        <w:numPr>
          <w:ilvl w:val="2"/>
          <w:numId w:val="1"/>
        </w:numPr>
        <w:rPr>
          <w:sz w:val="22"/>
        </w:rPr>
      </w:pPr>
      <w:r w:rsidRPr="009072D0">
        <w:rPr>
          <w:sz w:val="22"/>
        </w:rPr>
        <w:t>If there are not three tenured members of the department</w:t>
      </w:r>
    </w:p>
    <w:p w:rsidR="00FC08DB" w:rsidRPr="00883130" w:rsidRDefault="00AD0B27" w:rsidP="00FC08DB">
      <w:pPr>
        <w:pStyle w:val="ListParagraph"/>
        <w:numPr>
          <w:ilvl w:val="3"/>
          <w:numId w:val="1"/>
        </w:numPr>
        <w:rPr>
          <w:sz w:val="22"/>
          <w:highlight w:val="yellow"/>
        </w:rPr>
      </w:pPr>
      <w:r>
        <w:rPr>
          <w:sz w:val="22"/>
          <w:highlight w:val="yellow"/>
        </w:rPr>
        <w:t>Department C</w:t>
      </w:r>
      <w:r w:rsidR="00FC08DB" w:rsidRPr="00883130">
        <w:rPr>
          <w:sz w:val="22"/>
          <w:highlight w:val="yellow"/>
        </w:rPr>
        <w:t>hair, in consultation with the De</w:t>
      </w:r>
      <w:r w:rsidR="00524058">
        <w:rPr>
          <w:sz w:val="22"/>
          <w:highlight w:val="yellow"/>
        </w:rPr>
        <w:t>an and the faculty member, meet</w:t>
      </w:r>
      <w:r w:rsidR="00FC08DB" w:rsidRPr="00883130">
        <w:rPr>
          <w:sz w:val="22"/>
          <w:highlight w:val="yellow"/>
        </w:rPr>
        <w:t xml:space="preserve"> to select outside member(s)</w:t>
      </w:r>
    </w:p>
    <w:p w:rsidR="00FC08DB" w:rsidRPr="009072D0" w:rsidRDefault="00FC08DB" w:rsidP="00FC08DB">
      <w:pPr>
        <w:pStyle w:val="ListParagraph"/>
        <w:numPr>
          <w:ilvl w:val="4"/>
          <w:numId w:val="1"/>
        </w:numPr>
        <w:rPr>
          <w:sz w:val="22"/>
        </w:rPr>
      </w:pPr>
      <w:r w:rsidRPr="009072D0">
        <w:rPr>
          <w:sz w:val="22"/>
        </w:rPr>
        <w:t>If there is disagreement, the Dean has final say</w:t>
      </w:r>
      <w:r w:rsidR="000022B5" w:rsidRPr="009072D0">
        <w:rPr>
          <w:sz w:val="22"/>
        </w:rPr>
        <w:t>.</w:t>
      </w:r>
    </w:p>
    <w:p w:rsidR="00FC08DB" w:rsidRPr="009072D0" w:rsidRDefault="00FC08DB" w:rsidP="00FC08DB">
      <w:pPr>
        <w:pStyle w:val="ListParagraph"/>
        <w:numPr>
          <w:ilvl w:val="0"/>
          <w:numId w:val="1"/>
        </w:numPr>
        <w:rPr>
          <w:b/>
          <w:sz w:val="22"/>
        </w:rPr>
      </w:pPr>
      <w:r w:rsidRPr="009072D0">
        <w:rPr>
          <w:b/>
          <w:sz w:val="22"/>
        </w:rPr>
        <w:t>Meeting Process</w:t>
      </w:r>
    </w:p>
    <w:p w:rsidR="00FC08DB" w:rsidRPr="009072D0" w:rsidRDefault="005F7564" w:rsidP="00FC08DB">
      <w:pPr>
        <w:pStyle w:val="ListParagraph"/>
        <w:numPr>
          <w:ilvl w:val="1"/>
          <w:numId w:val="1"/>
        </w:numPr>
        <w:rPr>
          <w:sz w:val="22"/>
        </w:rPr>
      </w:pPr>
      <w:r w:rsidRPr="009072D0">
        <w:rPr>
          <w:sz w:val="22"/>
        </w:rPr>
        <w:t xml:space="preserve">21 calendar </w:t>
      </w:r>
      <w:proofErr w:type="gramStart"/>
      <w:r w:rsidRPr="009072D0">
        <w:rPr>
          <w:sz w:val="22"/>
        </w:rPr>
        <w:t>days</w:t>
      </w:r>
      <w:proofErr w:type="gramEnd"/>
      <w:r w:rsidRPr="009072D0">
        <w:rPr>
          <w:sz w:val="22"/>
        </w:rPr>
        <w:t xml:space="preserve"> notification of the date/time/place of the meeting and of the 7 day prior deadline to turn in materials must be provided to the candidate via email or hard copy.</w:t>
      </w:r>
    </w:p>
    <w:p w:rsidR="005F7564" w:rsidRPr="009072D0" w:rsidRDefault="005F7564" w:rsidP="00FC08DB">
      <w:pPr>
        <w:pStyle w:val="ListParagraph"/>
        <w:numPr>
          <w:ilvl w:val="1"/>
          <w:numId w:val="1"/>
        </w:numPr>
        <w:rPr>
          <w:sz w:val="22"/>
        </w:rPr>
      </w:pPr>
      <w:r w:rsidRPr="009072D0">
        <w:rPr>
          <w:sz w:val="22"/>
        </w:rPr>
        <w:t>Faculty member does not need to be present. Meeting should be in closed session with appropriate open meetings law notifications.</w:t>
      </w:r>
      <w:r w:rsidR="00524058">
        <w:rPr>
          <w:sz w:val="22"/>
        </w:rPr>
        <w:t xml:space="preserve"> If multiple faculty are being reviewed, separate meetings (e.g., 15 minutes apart) should be set up with official notices for each meeting.</w:t>
      </w:r>
    </w:p>
    <w:p w:rsidR="005F7564" w:rsidRPr="009072D0" w:rsidRDefault="000022B5" w:rsidP="00FC08DB">
      <w:pPr>
        <w:pStyle w:val="ListParagraph"/>
        <w:numPr>
          <w:ilvl w:val="1"/>
          <w:numId w:val="1"/>
        </w:numPr>
        <w:rPr>
          <w:sz w:val="22"/>
        </w:rPr>
      </w:pPr>
      <w:r w:rsidRPr="009072D0">
        <w:rPr>
          <w:sz w:val="22"/>
        </w:rPr>
        <w:t>7</w:t>
      </w:r>
      <w:r w:rsidR="005F7564" w:rsidRPr="009072D0">
        <w:rPr>
          <w:sz w:val="22"/>
        </w:rPr>
        <w:t xml:space="preserve"> calendar days prior to the meeting, the candidate turns in a 5-year annual activity report with hyperlinks. </w:t>
      </w:r>
    </w:p>
    <w:p w:rsidR="005F7564" w:rsidRPr="009072D0" w:rsidRDefault="005F7564" w:rsidP="00FC08DB">
      <w:pPr>
        <w:pStyle w:val="ListParagraph"/>
        <w:numPr>
          <w:ilvl w:val="1"/>
          <w:numId w:val="1"/>
        </w:numPr>
        <w:rPr>
          <w:sz w:val="22"/>
        </w:rPr>
      </w:pPr>
      <w:r w:rsidRPr="009072D0">
        <w:rPr>
          <w:sz w:val="22"/>
        </w:rPr>
        <w:t>Department chair provides 5-year TAI to the committee.</w:t>
      </w:r>
    </w:p>
    <w:p w:rsidR="005F7564" w:rsidRPr="009072D0" w:rsidRDefault="005F7564" w:rsidP="00FC08DB">
      <w:pPr>
        <w:pStyle w:val="ListParagraph"/>
        <w:numPr>
          <w:ilvl w:val="1"/>
          <w:numId w:val="1"/>
        </w:numPr>
        <w:rPr>
          <w:sz w:val="22"/>
        </w:rPr>
      </w:pPr>
      <w:r w:rsidRPr="009072D0">
        <w:rPr>
          <w:sz w:val="22"/>
        </w:rPr>
        <w:t xml:space="preserve">For SOE faculty- SOE Dean receives a copy </w:t>
      </w:r>
      <w:r w:rsidR="000022B5" w:rsidRPr="009072D0">
        <w:rPr>
          <w:sz w:val="22"/>
        </w:rPr>
        <w:t>of materials when content-area d</w:t>
      </w:r>
      <w:r w:rsidRPr="009072D0">
        <w:rPr>
          <w:sz w:val="22"/>
        </w:rPr>
        <w:t>ean receives a copy.</w:t>
      </w:r>
    </w:p>
    <w:p w:rsidR="005F7564" w:rsidRPr="009072D0" w:rsidRDefault="005F7564" w:rsidP="00FC08DB">
      <w:pPr>
        <w:pStyle w:val="ListParagraph"/>
        <w:numPr>
          <w:ilvl w:val="1"/>
          <w:numId w:val="1"/>
        </w:numPr>
        <w:rPr>
          <w:sz w:val="22"/>
        </w:rPr>
      </w:pPr>
      <w:r w:rsidRPr="009072D0">
        <w:rPr>
          <w:sz w:val="22"/>
        </w:rPr>
        <w:t xml:space="preserve">Move into closed session under WI Statute 19.85(1)(c). </w:t>
      </w:r>
    </w:p>
    <w:p w:rsidR="00115D3F" w:rsidRPr="009072D0" w:rsidRDefault="00115D3F" w:rsidP="00FC08DB">
      <w:pPr>
        <w:pStyle w:val="ListParagraph"/>
        <w:numPr>
          <w:ilvl w:val="1"/>
          <w:numId w:val="1"/>
        </w:numPr>
        <w:rPr>
          <w:sz w:val="22"/>
        </w:rPr>
      </w:pPr>
      <w:r w:rsidRPr="009072D0">
        <w:rPr>
          <w:sz w:val="22"/>
        </w:rPr>
        <w:t>Motion that candidate X meets expectations for post-tenure review.</w:t>
      </w:r>
    </w:p>
    <w:p w:rsidR="00115D3F" w:rsidRPr="009072D0" w:rsidRDefault="00115D3F" w:rsidP="00115D3F">
      <w:pPr>
        <w:pStyle w:val="ListParagraph"/>
        <w:numPr>
          <w:ilvl w:val="2"/>
          <w:numId w:val="1"/>
        </w:numPr>
        <w:rPr>
          <w:sz w:val="22"/>
        </w:rPr>
      </w:pPr>
      <w:r w:rsidRPr="009072D0">
        <w:rPr>
          <w:sz w:val="22"/>
        </w:rPr>
        <w:t>Discussion as to whether or not faculty member meets or does not meet expectations. Each category- teaching, scholarship, and service is reviewed.</w:t>
      </w:r>
    </w:p>
    <w:p w:rsidR="00115D3F" w:rsidRPr="009072D0" w:rsidRDefault="00115D3F" w:rsidP="00115D3F">
      <w:pPr>
        <w:pStyle w:val="ListParagraph"/>
        <w:numPr>
          <w:ilvl w:val="2"/>
          <w:numId w:val="1"/>
        </w:numPr>
        <w:rPr>
          <w:sz w:val="22"/>
        </w:rPr>
      </w:pPr>
      <w:r w:rsidRPr="009072D0">
        <w:rPr>
          <w:sz w:val="22"/>
        </w:rPr>
        <w:t>Vote- majority as defined by departmental by-laws.</w:t>
      </w:r>
    </w:p>
    <w:p w:rsidR="00115D3F" w:rsidRPr="009072D0" w:rsidRDefault="00115D3F" w:rsidP="00115D3F">
      <w:pPr>
        <w:pStyle w:val="ListParagraph"/>
        <w:numPr>
          <w:ilvl w:val="1"/>
          <w:numId w:val="1"/>
        </w:numPr>
        <w:rPr>
          <w:sz w:val="22"/>
        </w:rPr>
      </w:pPr>
      <w:r w:rsidRPr="009072D0">
        <w:rPr>
          <w:sz w:val="22"/>
        </w:rPr>
        <w:t>Committee reports on performance in each of the three areas using the criteria for review defined in departmental by-laws.</w:t>
      </w:r>
    </w:p>
    <w:p w:rsidR="00115D3F" w:rsidRPr="009072D0" w:rsidRDefault="00115D3F" w:rsidP="00115D3F">
      <w:pPr>
        <w:pStyle w:val="ListParagraph"/>
        <w:numPr>
          <w:ilvl w:val="1"/>
          <w:numId w:val="1"/>
        </w:numPr>
        <w:rPr>
          <w:sz w:val="22"/>
        </w:rPr>
      </w:pPr>
      <w:r w:rsidRPr="009072D0">
        <w:rPr>
          <w:sz w:val="22"/>
        </w:rPr>
        <w:t>Department may also draw on foundational expectations related to professional ethics.</w:t>
      </w:r>
    </w:p>
    <w:p w:rsidR="00115D3F" w:rsidRPr="009072D0" w:rsidRDefault="00115D3F" w:rsidP="00115D3F">
      <w:pPr>
        <w:pStyle w:val="ListParagraph"/>
        <w:numPr>
          <w:ilvl w:val="1"/>
          <w:numId w:val="1"/>
        </w:numPr>
        <w:rPr>
          <w:sz w:val="22"/>
        </w:rPr>
      </w:pPr>
      <w:r w:rsidRPr="009072D0">
        <w:rPr>
          <w:sz w:val="22"/>
        </w:rPr>
        <w:t>School of Education dean provides input via an evaluative letter.</w:t>
      </w:r>
    </w:p>
    <w:p w:rsidR="00AE031F" w:rsidRPr="009072D0" w:rsidRDefault="00AE031F" w:rsidP="00AE031F">
      <w:pPr>
        <w:rPr>
          <w:sz w:val="22"/>
        </w:rPr>
      </w:pPr>
    </w:p>
    <w:p w:rsidR="00115D3F" w:rsidRPr="009072D0" w:rsidRDefault="00115D3F" w:rsidP="00AE031F">
      <w:pPr>
        <w:rPr>
          <w:b/>
          <w:sz w:val="22"/>
        </w:rPr>
      </w:pPr>
      <w:r w:rsidRPr="009072D0">
        <w:rPr>
          <w:b/>
          <w:sz w:val="22"/>
        </w:rPr>
        <w:t>Faculty who “Meet Expectations”</w:t>
      </w:r>
    </w:p>
    <w:p w:rsidR="001770C2" w:rsidRPr="009072D0" w:rsidRDefault="001770C2" w:rsidP="00115D3F">
      <w:pPr>
        <w:pStyle w:val="ListParagraph"/>
        <w:numPr>
          <w:ilvl w:val="1"/>
          <w:numId w:val="1"/>
        </w:numPr>
        <w:rPr>
          <w:sz w:val="22"/>
        </w:rPr>
      </w:pPr>
      <w:r w:rsidRPr="009072D0">
        <w:rPr>
          <w:sz w:val="22"/>
        </w:rPr>
        <w:t>Committee chair sends a letter to the Dean (or Deans if SOE) and the faculty member within 14 calendar days (but no later than December 15</w:t>
      </w:r>
      <w:r w:rsidRPr="009072D0">
        <w:rPr>
          <w:sz w:val="22"/>
          <w:vertAlign w:val="superscript"/>
        </w:rPr>
        <w:t>th</w:t>
      </w:r>
      <w:r w:rsidRPr="009072D0">
        <w:rPr>
          <w:sz w:val="22"/>
        </w:rPr>
        <w:t xml:space="preserve">). </w:t>
      </w:r>
    </w:p>
    <w:p w:rsidR="00115D3F" w:rsidRPr="009072D0" w:rsidRDefault="001770C2" w:rsidP="00115D3F">
      <w:pPr>
        <w:pStyle w:val="ListParagraph"/>
        <w:numPr>
          <w:ilvl w:val="1"/>
          <w:numId w:val="1"/>
        </w:numPr>
        <w:rPr>
          <w:sz w:val="22"/>
        </w:rPr>
      </w:pPr>
      <w:r w:rsidRPr="009072D0">
        <w:rPr>
          <w:sz w:val="22"/>
        </w:rPr>
        <w:t>Letter must include date of the vote and numerical result of the vote</w:t>
      </w:r>
      <w:r w:rsidR="00853B27" w:rsidRPr="009072D0">
        <w:rPr>
          <w:sz w:val="22"/>
        </w:rPr>
        <w:t xml:space="preserve"> that clearly indicates that the faculty member “meets expectations”. Letter must include the </w:t>
      </w:r>
      <w:r w:rsidR="00853B27" w:rsidRPr="009072D0">
        <w:rPr>
          <w:b/>
          <w:sz w:val="22"/>
        </w:rPr>
        <w:t>NAMES of all the tenured faculty members who voted</w:t>
      </w:r>
      <w:r w:rsidR="00853B27" w:rsidRPr="009072D0">
        <w:rPr>
          <w:sz w:val="22"/>
        </w:rPr>
        <w:t xml:space="preserve"> and the Committee Chair’s signature. Letter includes a brief description of consensus points on strengths in each area that are the basis of the determination of “meets expectations”.</w:t>
      </w:r>
    </w:p>
    <w:p w:rsidR="00853B27" w:rsidRPr="009072D0" w:rsidRDefault="00853B27" w:rsidP="00853B27">
      <w:pPr>
        <w:pStyle w:val="ListParagraph"/>
        <w:numPr>
          <w:ilvl w:val="0"/>
          <w:numId w:val="1"/>
        </w:numPr>
        <w:rPr>
          <w:b/>
          <w:sz w:val="22"/>
          <w:highlight w:val="yellow"/>
        </w:rPr>
      </w:pPr>
      <w:r w:rsidRPr="009072D0">
        <w:rPr>
          <w:b/>
          <w:sz w:val="22"/>
          <w:highlight w:val="yellow"/>
        </w:rPr>
        <w:t>Dean’s Responsibility</w:t>
      </w:r>
    </w:p>
    <w:p w:rsidR="00853B27" w:rsidRPr="009072D0" w:rsidRDefault="00853B27" w:rsidP="00853B27">
      <w:pPr>
        <w:pStyle w:val="ListParagraph"/>
        <w:numPr>
          <w:ilvl w:val="1"/>
          <w:numId w:val="1"/>
        </w:numPr>
        <w:rPr>
          <w:sz w:val="22"/>
        </w:rPr>
      </w:pPr>
      <w:r w:rsidRPr="009072D0">
        <w:rPr>
          <w:sz w:val="22"/>
        </w:rPr>
        <w:t>Dean reviews letter and faculty post-tenure review file (if necessary).</w:t>
      </w:r>
    </w:p>
    <w:p w:rsidR="00853B27" w:rsidRPr="009072D0" w:rsidRDefault="00853B27" w:rsidP="00853B27">
      <w:pPr>
        <w:pStyle w:val="ListParagraph"/>
        <w:numPr>
          <w:ilvl w:val="1"/>
          <w:numId w:val="1"/>
        </w:numPr>
        <w:rPr>
          <w:sz w:val="22"/>
        </w:rPr>
      </w:pPr>
      <w:r w:rsidRPr="009072D0">
        <w:rPr>
          <w:sz w:val="22"/>
        </w:rPr>
        <w:t xml:space="preserve">If the Dean is in agreement with the department, the Dean </w:t>
      </w:r>
      <w:r w:rsidR="00883130">
        <w:rPr>
          <w:sz w:val="22"/>
        </w:rPr>
        <w:t xml:space="preserve">writes a brief “I concur” letter, </w:t>
      </w:r>
      <w:r w:rsidRPr="009072D0">
        <w:rPr>
          <w:sz w:val="22"/>
        </w:rPr>
        <w:t xml:space="preserve">forwards </w:t>
      </w:r>
      <w:r w:rsidR="00883130">
        <w:rPr>
          <w:sz w:val="22"/>
        </w:rPr>
        <w:t xml:space="preserve">both </w:t>
      </w:r>
      <w:r w:rsidRPr="009072D0">
        <w:rPr>
          <w:sz w:val="22"/>
        </w:rPr>
        <w:t>letter</w:t>
      </w:r>
      <w:r w:rsidR="00883130">
        <w:rPr>
          <w:sz w:val="22"/>
        </w:rPr>
        <w:t>s</w:t>
      </w:r>
      <w:r w:rsidRPr="009072D0">
        <w:rPr>
          <w:sz w:val="22"/>
        </w:rPr>
        <w:t xml:space="preserve"> to HR and posts </w:t>
      </w:r>
      <w:r w:rsidR="00883130">
        <w:rPr>
          <w:sz w:val="22"/>
        </w:rPr>
        <w:t xml:space="preserve">the </w:t>
      </w:r>
      <w:r w:rsidRPr="009072D0">
        <w:rPr>
          <w:sz w:val="22"/>
        </w:rPr>
        <w:t>letter</w:t>
      </w:r>
      <w:r w:rsidR="00883130">
        <w:rPr>
          <w:sz w:val="22"/>
        </w:rPr>
        <w:t>s</w:t>
      </w:r>
      <w:r w:rsidRPr="009072D0">
        <w:rPr>
          <w:sz w:val="22"/>
        </w:rPr>
        <w:t xml:space="preserve"> to </w:t>
      </w:r>
      <w:r w:rsidR="00883130">
        <w:rPr>
          <w:sz w:val="22"/>
        </w:rPr>
        <w:t xml:space="preserve">the </w:t>
      </w:r>
      <w:r w:rsidRPr="009072D0">
        <w:rPr>
          <w:sz w:val="22"/>
        </w:rPr>
        <w:t>Provost’s repository site for post-tenure review materials prior to February 1</w:t>
      </w:r>
      <w:r w:rsidRPr="009072D0">
        <w:rPr>
          <w:sz w:val="22"/>
          <w:vertAlign w:val="superscript"/>
        </w:rPr>
        <w:t>st</w:t>
      </w:r>
      <w:r w:rsidRPr="009072D0">
        <w:rPr>
          <w:sz w:val="22"/>
        </w:rPr>
        <w:t>.</w:t>
      </w:r>
      <w:r w:rsidR="00883130">
        <w:rPr>
          <w:sz w:val="22"/>
        </w:rPr>
        <w:t xml:space="preserve"> CC’s to SOE Dean if SOE affiliated faculty member.</w:t>
      </w:r>
    </w:p>
    <w:p w:rsidR="00853B27" w:rsidRPr="009072D0" w:rsidRDefault="00883130" w:rsidP="00853B27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If the Dean (includes SOE D</w:t>
      </w:r>
      <w:r w:rsidR="00853B27" w:rsidRPr="009072D0">
        <w:rPr>
          <w:sz w:val="22"/>
        </w:rPr>
        <w:t>ean if SOE) is NOT in agreement with the department:</w:t>
      </w:r>
    </w:p>
    <w:p w:rsidR="00853B27" w:rsidRPr="009072D0" w:rsidRDefault="00853B27" w:rsidP="00853B27">
      <w:pPr>
        <w:pStyle w:val="ListParagraph"/>
        <w:numPr>
          <w:ilvl w:val="2"/>
          <w:numId w:val="1"/>
        </w:numPr>
        <w:rPr>
          <w:sz w:val="22"/>
        </w:rPr>
      </w:pPr>
      <w:r w:rsidRPr="009072D0">
        <w:rPr>
          <w:sz w:val="22"/>
        </w:rPr>
        <w:t>Dean writes a separate letter with their appraisal of the faculty member’s work in context with</w:t>
      </w:r>
      <w:r w:rsidR="000022B5" w:rsidRPr="009072D0">
        <w:rPr>
          <w:sz w:val="22"/>
        </w:rPr>
        <w:t>in</w:t>
      </w:r>
      <w:r w:rsidRPr="009072D0">
        <w:rPr>
          <w:sz w:val="22"/>
        </w:rPr>
        <w:t xml:space="preserve"> department by-laws.</w:t>
      </w:r>
    </w:p>
    <w:p w:rsidR="00853B27" w:rsidRPr="009072D0" w:rsidRDefault="00CB625A" w:rsidP="00853B27">
      <w:pPr>
        <w:pStyle w:val="ListParagraph"/>
        <w:numPr>
          <w:ilvl w:val="2"/>
          <w:numId w:val="1"/>
        </w:numPr>
        <w:rPr>
          <w:sz w:val="22"/>
        </w:rPr>
      </w:pPr>
      <w:r w:rsidRPr="009072D0">
        <w:rPr>
          <w:sz w:val="22"/>
        </w:rPr>
        <w:t>Dean must provide letter to candidate so that the candidate has 7 calendar days to respond in writing.</w:t>
      </w:r>
    </w:p>
    <w:p w:rsidR="00AE031F" w:rsidRPr="009072D0" w:rsidRDefault="00AE031F" w:rsidP="00AE031F">
      <w:pPr>
        <w:rPr>
          <w:b/>
          <w:sz w:val="22"/>
        </w:rPr>
      </w:pPr>
    </w:p>
    <w:p w:rsidR="00883130" w:rsidRDefault="00883130" w:rsidP="00AE031F">
      <w:pPr>
        <w:rPr>
          <w:b/>
          <w:sz w:val="22"/>
        </w:rPr>
      </w:pPr>
    </w:p>
    <w:p w:rsidR="00883130" w:rsidRDefault="00883130" w:rsidP="00AE031F">
      <w:pPr>
        <w:rPr>
          <w:b/>
          <w:sz w:val="22"/>
        </w:rPr>
      </w:pPr>
    </w:p>
    <w:p w:rsidR="00CB625A" w:rsidRPr="009072D0" w:rsidRDefault="00CB625A" w:rsidP="00AE031F">
      <w:pPr>
        <w:rPr>
          <w:sz w:val="22"/>
        </w:rPr>
      </w:pPr>
      <w:r w:rsidRPr="009072D0">
        <w:rPr>
          <w:b/>
          <w:sz w:val="22"/>
        </w:rPr>
        <w:t>Faculty Who Do Not “Meet Expectations”</w:t>
      </w:r>
    </w:p>
    <w:p w:rsidR="00AE031F" w:rsidRPr="009072D0" w:rsidRDefault="00AE031F" w:rsidP="00AE031F">
      <w:pPr>
        <w:pStyle w:val="ListParagraph"/>
        <w:numPr>
          <w:ilvl w:val="1"/>
          <w:numId w:val="1"/>
        </w:numPr>
        <w:rPr>
          <w:sz w:val="22"/>
        </w:rPr>
      </w:pPr>
      <w:r w:rsidRPr="009072D0">
        <w:rPr>
          <w:sz w:val="22"/>
        </w:rPr>
        <w:t>Committee chair sends a letter to the Dean (or Deans if SOE) and the faculty member within 14 calendar days (but no later than December 15</w:t>
      </w:r>
      <w:r w:rsidRPr="009072D0">
        <w:rPr>
          <w:sz w:val="22"/>
          <w:vertAlign w:val="superscript"/>
        </w:rPr>
        <w:t>th</w:t>
      </w:r>
      <w:r w:rsidRPr="009072D0">
        <w:rPr>
          <w:sz w:val="22"/>
        </w:rPr>
        <w:t xml:space="preserve">). </w:t>
      </w:r>
    </w:p>
    <w:p w:rsidR="00CB625A" w:rsidRPr="009072D0" w:rsidRDefault="00AE031F" w:rsidP="00AE031F">
      <w:pPr>
        <w:pStyle w:val="ListParagraph"/>
        <w:numPr>
          <w:ilvl w:val="1"/>
          <w:numId w:val="1"/>
        </w:numPr>
        <w:rPr>
          <w:sz w:val="22"/>
        </w:rPr>
      </w:pPr>
      <w:r w:rsidRPr="009072D0">
        <w:rPr>
          <w:sz w:val="22"/>
        </w:rPr>
        <w:t>Letter must include date of the vote and numerical result of the vote that clearly indicates that the faculty member does not “</w:t>
      </w:r>
      <w:r w:rsidR="000022B5" w:rsidRPr="009072D0">
        <w:rPr>
          <w:sz w:val="22"/>
        </w:rPr>
        <w:t>meet</w:t>
      </w:r>
      <w:r w:rsidRPr="009072D0">
        <w:rPr>
          <w:sz w:val="22"/>
        </w:rPr>
        <w:t xml:space="preserve"> expectations” and that the committee recommends the development of a remediation plan. Letter must include the </w:t>
      </w:r>
      <w:r w:rsidRPr="009072D0">
        <w:rPr>
          <w:b/>
          <w:sz w:val="22"/>
        </w:rPr>
        <w:t>NAMES of all the tenured faculty members who voted</w:t>
      </w:r>
      <w:r w:rsidRPr="009072D0">
        <w:rPr>
          <w:sz w:val="22"/>
        </w:rPr>
        <w:t xml:space="preserve"> and the Committee Chair’s signature. Letter must include a description of consensus points of the committee regarding the faculty member’s work in teaching, scholarship, and service with clear identification of deficiencies.</w:t>
      </w:r>
    </w:p>
    <w:p w:rsidR="00AE031F" w:rsidRPr="009072D0" w:rsidRDefault="00AE031F" w:rsidP="00AE031F">
      <w:pPr>
        <w:pStyle w:val="ListParagraph"/>
        <w:numPr>
          <w:ilvl w:val="1"/>
          <w:numId w:val="1"/>
        </w:numPr>
        <w:rPr>
          <w:sz w:val="22"/>
        </w:rPr>
      </w:pPr>
      <w:r w:rsidRPr="009072D0">
        <w:rPr>
          <w:sz w:val="22"/>
        </w:rPr>
        <w:t>Department forwards the letter, electronic portfolio an</w:t>
      </w:r>
      <w:r w:rsidR="002931D6" w:rsidRPr="009072D0">
        <w:rPr>
          <w:sz w:val="22"/>
        </w:rPr>
        <w:t>d TAI with composite SEI scores to the Dean(s).</w:t>
      </w:r>
    </w:p>
    <w:p w:rsidR="00AE031F" w:rsidRPr="009072D0" w:rsidRDefault="00AE031F" w:rsidP="00AE031F">
      <w:pPr>
        <w:pStyle w:val="ListParagraph"/>
        <w:numPr>
          <w:ilvl w:val="0"/>
          <w:numId w:val="1"/>
        </w:numPr>
        <w:rPr>
          <w:sz w:val="22"/>
          <w:highlight w:val="yellow"/>
        </w:rPr>
      </w:pPr>
      <w:r w:rsidRPr="009072D0">
        <w:rPr>
          <w:b/>
          <w:sz w:val="22"/>
          <w:highlight w:val="yellow"/>
        </w:rPr>
        <w:t>Dean Responsibilities</w:t>
      </w:r>
    </w:p>
    <w:p w:rsidR="004D4724" w:rsidRPr="009072D0" w:rsidRDefault="00AE031F" w:rsidP="004D4724">
      <w:pPr>
        <w:pStyle w:val="ListParagraph"/>
        <w:numPr>
          <w:ilvl w:val="1"/>
          <w:numId w:val="1"/>
        </w:numPr>
        <w:rPr>
          <w:sz w:val="22"/>
        </w:rPr>
      </w:pPr>
      <w:r w:rsidRPr="009072D0">
        <w:rPr>
          <w:sz w:val="22"/>
          <w:highlight w:val="yellow"/>
        </w:rPr>
        <w:t>Dean reviews file</w:t>
      </w:r>
      <w:r w:rsidRPr="009072D0">
        <w:rPr>
          <w:sz w:val="22"/>
        </w:rPr>
        <w:t xml:space="preserve"> and materials</w:t>
      </w:r>
      <w:r w:rsidR="004D4724" w:rsidRPr="009072D0">
        <w:rPr>
          <w:sz w:val="22"/>
        </w:rPr>
        <w:t xml:space="preserve"> and if the faculty member is SOE affiliated, SOE Dean should provide written commentary and recommendations that are included in the content Dean’s letter.</w:t>
      </w:r>
    </w:p>
    <w:p w:rsidR="00AE031F" w:rsidRPr="009072D0" w:rsidRDefault="00AE031F" w:rsidP="00AE031F">
      <w:pPr>
        <w:pStyle w:val="ListParagraph"/>
        <w:numPr>
          <w:ilvl w:val="1"/>
          <w:numId w:val="1"/>
        </w:numPr>
        <w:rPr>
          <w:sz w:val="22"/>
        </w:rPr>
      </w:pPr>
      <w:r w:rsidRPr="009072D0">
        <w:rPr>
          <w:sz w:val="22"/>
        </w:rPr>
        <w:t xml:space="preserve"> </w:t>
      </w:r>
      <w:r w:rsidR="004D4724" w:rsidRPr="009072D0">
        <w:rPr>
          <w:sz w:val="22"/>
          <w:highlight w:val="yellow"/>
        </w:rPr>
        <w:t xml:space="preserve">Dean </w:t>
      </w:r>
      <w:r w:rsidRPr="009072D0">
        <w:rPr>
          <w:sz w:val="22"/>
          <w:highlight w:val="yellow"/>
        </w:rPr>
        <w:t>submits a letter</w:t>
      </w:r>
      <w:r w:rsidRPr="009072D0">
        <w:rPr>
          <w:sz w:val="22"/>
        </w:rPr>
        <w:t xml:space="preserve"> to the Provost and the faculty member, cc’ing Department Chair</w:t>
      </w:r>
      <w:r w:rsidR="00883130">
        <w:rPr>
          <w:sz w:val="22"/>
        </w:rPr>
        <w:t>, and the SOE Dean if there is SOE affiliation</w:t>
      </w:r>
      <w:r w:rsidRPr="009072D0">
        <w:rPr>
          <w:sz w:val="22"/>
        </w:rPr>
        <w:t>, by February 1</w:t>
      </w:r>
      <w:r w:rsidRPr="009072D0">
        <w:rPr>
          <w:sz w:val="22"/>
          <w:vertAlign w:val="superscript"/>
        </w:rPr>
        <w:t>st</w:t>
      </w:r>
      <w:r w:rsidRPr="009072D0">
        <w:rPr>
          <w:sz w:val="22"/>
        </w:rPr>
        <w:t xml:space="preserve"> of the same academic year of th</w:t>
      </w:r>
      <w:r w:rsidR="004D4724" w:rsidRPr="009072D0">
        <w:rPr>
          <w:sz w:val="22"/>
        </w:rPr>
        <w:t>e review.</w:t>
      </w:r>
    </w:p>
    <w:p w:rsidR="004D4724" w:rsidRPr="009072D0" w:rsidRDefault="004D4724" w:rsidP="00AE031F">
      <w:pPr>
        <w:pStyle w:val="ListParagraph"/>
        <w:numPr>
          <w:ilvl w:val="1"/>
          <w:numId w:val="1"/>
        </w:numPr>
        <w:rPr>
          <w:sz w:val="22"/>
        </w:rPr>
      </w:pPr>
      <w:r w:rsidRPr="009072D0">
        <w:rPr>
          <w:sz w:val="22"/>
        </w:rPr>
        <w:t>Dean’s letter contains:</w:t>
      </w:r>
    </w:p>
    <w:p w:rsidR="004D4724" w:rsidRPr="009072D0" w:rsidRDefault="004D4724" w:rsidP="004D4724">
      <w:pPr>
        <w:pStyle w:val="ListParagraph"/>
        <w:numPr>
          <w:ilvl w:val="2"/>
          <w:numId w:val="1"/>
        </w:numPr>
        <w:rPr>
          <w:sz w:val="22"/>
        </w:rPr>
      </w:pPr>
      <w:r w:rsidRPr="009072D0">
        <w:rPr>
          <w:sz w:val="22"/>
        </w:rPr>
        <w:t>Clear indication of whether or not the D</w:t>
      </w:r>
      <w:r w:rsidR="00B51E3A">
        <w:rPr>
          <w:sz w:val="22"/>
        </w:rPr>
        <w:t>ean concurs with the department</w:t>
      </w:r>
      <w:r w:rsidRPr="009072D0">
        <w:rPr>
          <w:sz w:val="22"/>
        </w:rPr>
        <w:t xml:space="preserve"> recommendation.</w:t>
      </w:r>
    </w:p>
    <w:p w:rsidR="004D4724" w:rsidRPr="009072D0" w:rsidRDefault="004D4724" w:rsidP="004D4724">
      <w:pPr>
        <w:pStyle w:val="ListParagraph"/>
        <w:numPr>
          <w:ilvl w:val="1"/>
          <w:numId w:val="1"/>
        </w:numPr>
        <w:rPr>
          <w:sz w:val="22"/>
        </w:rPr>
      </w:pPr>
      <w:r w:rsidRPr="009072D0">
        <w:rPr>
          <w:sz w:val="22"/>
        </w:rPr>
        <w:t>Faculty member has 7 days to respond in writing.</w:t>
      </w:r>
    </w:p>
    <w:p w:rsidR="004D4724" w:rsidRPr="009072D0" w:rsidRDefault="004D4724" w:rsidP="004D4724">
      <w:pPr>
        <w:pStyle w:val="ListParagraph"/>
        <w:numPr>
          <w:ilvl w:val="1"/>
          <w:numId w:val="1"/>
        </w:numPr>
        <w:rPr>
          <w:sz w:val="22"/>
        </w:rPr>
      </w:pPr>
      <w:r w:rsidRPr="009072D0">
        <w:rPr>
          <w:sz w:val="22"/>
        </w:rPr>
        <w:t>If Provost concurs, that letter indicates the process and timeline for developing a remediation plan.</w:t>
      </w:r>
    </w:p>
    <w:p w:rsidR="004D4724" w:rsidRPr="009072D0" w:rsidRDefault="004D4724" w:rsidP="004D4724">
      <w:pPr>
        <w:pStyle w:val="ListParagraph"/>
        <w:numPr>
          <w:ilvl w:val="1"/>
          <w:numId w:val="1"/>
        </w:numPr>
        <w:rPr>
          <w:sz w:val="22"/>
        </w:rPr>
      </w:pPr>
      <w:r w:rsidRPr="009072D0">
        <w:rPr>
          <w:sz w:val="22"/>
        </w:rPr>
        <w:t xml:space="preserve">After Provost’s letter is received by Dean and faculty member, </w:t>
      </w:r>
      <w:r w:rsidRPr="009072D0">
        <w:rPr>
          <w:b/>
          <w:sz w:val="22"/>
          <w:highlight w:val="yellow"/>
        </w:rPr>
        <w:t>Dean initiates a face-to-face meeting within 21 calendar days of the date of the Provost’s letter</w:t>
      </w:r>
      <w:r w:rsidRPr="009072D0">
        <w:rPr>
          <w:sz w:val="22"/>
        </w:rPr>
        <w:t xml:space="preserve"> with the faculty member and the chair of the post-tenure review committee. If the faculty member refuses, the Dean proceeds alone.</w:t>
      </w:r>
    </w:p>
    <w:p w:rsidR="004D4724" w:rsidRPr="009072D0" w:rsidRDefault="004D4724" w:rsidP="004D4724">
      <w:pPr>
        <w:pStyle w:val="ListParagraph"/>
        <w:numPr>
          <w:ilvl w:val="1"/>
          <w:numId w:val="1"/>
        </w:numPr>
        <w:rPr>
          <w:sz w:val="22"/>
        </w:rPr>
      </w:pPr>
      <w:r w:rsidRPr="009072D0">
        <w:rPr>
          <w:sz w:val="22"/>
        </w:rPr>
        <w:t>Committee chair and faculty member develop a written plan that clearly indicates the links between the deficiencies and the operationalized goals and outcomes.</w:t>
      </w:r>
    </w:p>
    <w:p w:rsidR="004D4724" w:rsidRPr="009072D0" w:rsidRDefault="004D4724" w:rsidP="004D4724">
      <w:pPr>
        <w:pStyle w:val="ListParagraph"/>
        <w:numPr>
          <w:ilvl w:val="1"/>
          <w:numId w:val="1"/>
        </w:numPr>
        <w:rPr>
          <w:sz w:val="22"/>
        </w:rPr>
      </w:pPr>
      <w:r w:rsidRPr="009072D0">
        <w:rPr>
          <w:sz w:val="22"/>
          <w:highlight w:val="yellow"/>
        </w:rPr>
        <w:t>The Dean meets with the faculty</w:t>
      </w:r>
      <w:r w:rsidR="002931D6" w:rsidRPr="009072D0">
        <w:rPr>
          <w:sz w:val="22"/>
          <w:highlight w:val="yellow"/>
        </w:rPr>
        <w:t xml:space="preserve"> member</w:t>
      </w:r>
      <w:r w:rsidR="002931D6" w:rsidRPr="009072D0">
        <w:rPr>
          <w:sz w:val="22"/>
        </w:rPr>
        <w:t xml:space="preserve"> </w:t>
      </w:r>
      <w:r w:rsidRPr="009072D0">
        <w:rPr>
          <w:sz w:val="22"/>
        </w:rPr>
        <w:t xml:space="preserve">and </w:t>
      </w:r>
      <w:r w:rsidR="002931D6" w:rsidRPr="009072D0">
        <w:rPr>
          <w:sz w:val="22"/>
        </w:rPr>
        <w:t xml:space="preserve">Committee </w:t>
      </w:r>
      <w:r w:rsidRPr="009072D0">
        <w:rPr>
          <w:sz w:val="22"/>
        </w:rPr>
        <w:t xml:space="preserve">Chair. </w:t>
      </w:r>
      <w:r w:rsidR="00464972" w:rsidRPr="009072D0">
        <w:rPr>
          <w:sz w:val="22"/>
        </w:rPr>
        <w:t>Faculty member may bring one other tenured faculty mem</w:t>
      </w:r>
      <w:r w:rsidR="002931D6" w:rsidRPr="009072D0">
        <w:rPr>
          <w:sz w:val="22"/>
        </w:rPr>
        <w:t>ber. Dean brings someone in if Committee C</w:t>
      </w:r>
      <w:r w:rsidR="00464972" w:rsidRPr="009072D0">
        <w:rPr>
          <w:sz w:val="22"/>
        </w:rPr>
        <w:t>hair cannot be present.</w:t>
      </w:r>
    </w:p>
    <w:p w:rsidR="00464972" w:rsidRPr="009072D0" w:rsidRDefault="00464972" w:rsidP="004D4724">
      <w:pPr>
        <w:pStyle w:val="ListParagraph"/>
        <w:numPr>
          <w:ilvl w:val="1"/>
          <w:numId w:val="1"/>
        </w:numPr>
        <w:rPr>
          <w:sz w:val="22"/>
        </w:rPr>
      </w:pPr>
      <w:r w:rsidRPr="009072D0">
        <w:rPr>
          <w:sz w:val="22"/>
        </w:rPr>
        <w:t>At the meeting, through mutual discussion, a development plan is constructed. The plan must include:</w:t>
      </w:r>
    </w:p>
    <w:p w:rsidR="00464972" w:rsidRPr="009072D0" w:rsidRDefault="00464972" w:rsidP="00464972">
      <w:pPr>
        <w:pStyle w:val="ListParagraph"/>
        <w:numPr>
          <w:ilvl w:val="2"/>
          <w:numId w:val="1"/>
        </w:numPr>
        <w:rPr>
          <w:sz w:val="22"/>
        </w:rPr>
      </w:pPr>
      <w:r w:rsidRPr="009072D0">
        <w:rPr>
          <w:sz w:val="22"/>
        </w:rPr>
        <w:t xml:space="preserve">A detailed list of resources that will be provided or that are to be used to meet the goals of the plan. </w:t>
      </w:r>
    </w:p>
    <w:p w:rsidR="00464972" w:rsidRPr="009072D0" w:rsidRDefault="00464972" w:rsidP="00464972">
      <w:pPr>
        <w:pStyle w:val="ListParagraph"/>
        <w:numPr>
          <w:ilvl w:val="2"/>
          <w:numId w:val="1"/>
        </w:numPr>
        <w:rPr>
          <w:sz w:val="22"/>
        </w:rPr>
      </w:pPr>
      <w:r w:rsidRPr="009072D0">
        <w:rPr>
          <w:sz w:val="22"/>
        </w:rPr>
        <w:t>A deadline no later than three academic semesters from the fall of the academic year following the review</w:t>
      </w:r>
      <w:r w:rsidR="00F05597" w:rsidRPr="009072D0">
        <w:rPr>
          <w:sz w:val="22"/>
        </w:rPr>
        <w:t xml:space="preserve"> </w:t>
      </w:r>
      <w:r w:rsidRPr="009072D0">
        <w:rPr>
          <w:sz w:val="22"/>
        </w:rPr>
        <w:t>(deadline can be earlier upon request).</w:t>
      </w:r>
    </w:p>
    <w:p w:rsidR="00464972" w:rsidRPr="009072D0" w:rsidRDefault="00464972" w:rsidP="00464972">
      <w:pPr>
        <w:pStyle w:val="ListParagraph"/>
        <w:numPr>
          <w:ilvl w:val="2"/>
          <w:numId w:val="1"/>
        </w:numPr>
        <w:rPr>
          <w:sz w:val="22"/>
        </w:rPr>
      </w:pPr>
      <w:r w:rsidRPr="009072D0">
        <w:rPr>
          <w:sz w:val="22"/>
        </w:rPr>
        <w:t>The date of a progress meeting near the end of the first semester of the plan.</w:t>
      </w:r>
    </w:p>
    <w:p w:rsidR="00464972" w:rsidRPr="009072D0" w:rsidRDefault="00464972" w:rsidP="00464972">
      <w:pPr>
        <w:pStyle w:val="ListParagraph"/>
        <w:numPr>
          <w:ilvl w:val="2"/>
          <w:numId w:val="1"/>
        </w:numPr>
        <w:rPr>
          <w:sz w:val="22"/>
        </w:rPr>
      </w:pPr>
      <w:r w:rsidRPr="009072D0">
        <w:rPr>
          <w:sz w:val="22"/>
        </w:rPr>
        <w:t xml:space="preserve">The date of a final meeting at the completion of the plan or within 21 calendar days of the final date of the plan. </w:t>
      </w:r>
    </w:p>
    <w:p w:rsidR="00464972" w:rsidRPr="009072D0" w:rsidRDefault="00464972" w:rsidP="00464972">
      <w:pPr>
        <w:pStyle w:val="ListParagraph"/>
        <w:numPr>
          <w:ilvl w:val="2"/>
          <w:numId w:val="1"/>
        </w:numPr>
        <w:rPr>
          <w:sz w:val="22"/>
        </w:rPr>
      </w:pPr>
      <w:r w:rsidRPr="009072D0">
        <w:rPr>
          <w:sz w:val="22"/>
        </w:rPr>
        <w:t>The specific consequences of not meeting the goals of the plan (workload assignments, other discipline or dismissal for cause).</w:t>
      </w:r>
    </w:p>
    <w:p w:rsidR="00464972" w:rsidRPr="009072D0" w:rsidRDefault="00464972" w:rsidP="00464972">
      <w:pPr>
        <w:pStyle w:val="ListParagraph"/>
        <w:numPr>
          <w:ilvl w:val="1"/>
          <w:numId w:val="1"/>
        </w:numPr>
        <w:rPr>
          <w:sz w:val="22"/>
        </w:rPr>
      </w:pPr>
      <w:r w:rsidRPr="009072D0">
        <w:rPr>
          <w:sz w:val="22"/>
        </w:rPr>
        <w:t>Within 7 calendar days of the meeting, the Post-</w:t>
      </w:r>
      <w:proofErr w:type="gramStart"/>
      <w:r w:rsidRPr="009072D0">
        <w:rPr>
          <w:sz w:val="22"/>
        </w:rPr>
        <w:t>tenure</w:t>
      </w:r>
      <w:proofErr w:type="gramEnd"/>
      <w:r w:rsidRPr="009072D0">
        <w:rPr>
          <w:sz w:val="22"/>
        </w:rPr>
        <w:t xml:space="preserve"> Review Committee Chair provides the finalized remediation plan to the Dean.</w:t>
      </w:r>
      <w:r w:rsidR="00013B13" w:rsidRPr="009072D0">
        <w:rPr>
          <w:sz w:val="22"/>
        </w:rPr>
        <w:t xml:space="preserve"> Letter must include signature/space for signatures of the faculty member, PTR Committee Chair, Department Chair, Dean (s), and Provost.</w:t>
      </w:r>
    </w:p>
    <w:p w:rsidR="00464972" w:rsidRPr="009072D0" w:rsidRDefault="00464972" w:rsidP="00464972">
      <w:pPr>
        <w:pStyle w:val="ListParagraph"/>
        <w:numPr>
          <w:ilvl w:val="1"/>
          <w:numId w:val="1"/>
        </w:numPr>
        <w:rPr>
          <w:sz w:val="22"/>
          <w:highlight w:val="yellow"/>
        </w:rPr>
      </w:pPr>
      <w:r w:rsidRPr="009072D0">
        <w:rPr>
          <w:sz w:val="22"/>
          <w:highlight w:val="yellow"/>
        </w:rPr>
        <w:t xml:space="preserve">Dean forwards finalized plan to the </w:t>
      </w:r>
      <w:r w:rsidR="00013B13" w:rsidRPr="009072D0">
        <w:rPr>
          <w:sz w:val="22"/>
          <w:highlight w:val="yellow"/>
        </w:rPr>
        <w:t>Provost and HR.</w:t>
      </w:r>
    </w:p>
    <w:p w:rsidR="001A5C65" w:rsidRPr="009072D0" w:rsidRDefault="001A5C65" w:rsidP="001A5C65">
      <w:pPr>
        <w:pStyle w:val="ListParagraph"/>
        <w:numPr>
          <w:ilvl w:val="0"/>
          <w:numId w:val="1"/>
        </w:numPr>
        <w:rPr>
          <w:sz w:val="22"/>
        </w:rPr>
      </w:pPr>
      <w:r w:rsidRPr="009072D0">
        <w:rPr>
          <w:sz w:val="22"/>
        </w:rPr>
        <w:t>7 days PRIOR to the FINAL remediation follow-up meeting the committee sends a letter to the Dean indicating whether or not the faculty member met the goals of the remediation plan, with evidence.</w:t>
      </w:r>
    </w:p>
    <w:p w:rsidR="001A5C65" w:rsidRPr="009072D0" w:rsidRDefault="001A5C65" w:rsidP="001A5C65">
      <w:pPr>
        <w:pStyle w:val="ListParagraph"/>
        <w:numPr>
          <w:ilvl w:val="0"/>
          <w:numId w:val="1"/>
        </w:numPr>
        <w:rPr>
          <w:sz w:val="22"/>
        </w:rPr>
      </w:pPr>
      <w:r w:rsidRPr="009072D0">
        <w:rPr>
          <w:sz w:val="22"/>
          <w:highlight w:val="yellow"/>
        </w:rPr>
        <w:t>AFTER the final meeting, the DEAN writes a letter to the faculty member</w:t>
      </w:r>
      <w:r w:rsidRPr="009072D0">
        <w:rPr>
          <w:sz w:val="22"/>
        </w:rPr>
        <w:t xml:space="preserve"> and the Provost (cc to Department Chair and HR) indicating that the faculty member:</w:t>
      </w:r>
    </w:p>
    <w:p w:rsidR="001A5C65" w:rsidRPr="009072D0" w:rsidRDefault="001A5C65" w:rsidP="001A5C65">
      <w:pPr>
        <w:pStyle w:val="ListParagraph"/>
        <w:numPr>
          <w:ilvl w:val="1"/>
          <w:numId w:val="1"/>
        </w:numPr>
        <w:rPr>
          <w:sz w:val="22"/>
        </w:rPr>
      </w:pPr>
      <w:r w:rsidRPr="009072D0">
        <w:rPr>
          <w:sz w:val="22"/>
        </w:rPr>
        <w:t>Met the conditions and a statement regarding when the next formal post-tenure review will occur (can be sooner than the 5 years from the original review).</w:t>
      </w:r>
    </w:p>
    <w:p w:rsidR="001A5C65" w:rsidRPr="009072D0" w:rsidRDefault="001A5C65" w:rsidP="001A5C65">
      <w:pPr>
        <w:pStyle w:val="ListParagraph"/>
        <w:numPr>
          <w:ilvl w:val="1"/>
          <w:numId w:val="1"/>
        </w:numPr>
        <w:rPr>
          <w:sz w:val="22"/>
        </w:rPr>
      </w:pPr>
      <w:r w:rsidRPr="009072D0">
        <w:rPr>
          <w:sz w:val="22"/>
        </w:rPr>
        <w:t>Did NOT meet the conditions. Letter includes information regarding sanctions.</w:t>
      </w:r>
    </w:p>
    <w:sectPr w:rsidR="001A5C65" w:rsidRPr="009072D0" w:rsidSect="00B51E3A">
      <w:footerReference w:type="default" r:id="rId7"/>
      <w:pgSz w:w="12240" w:h="15840"/>
      <w:pgMar w:top="540" w:right="720" w:bottom="72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B50" w:rsidRDefault="00A32B50" w:rsidP="00430C47">
      <w:r>
        <w:separator/>
      </w:r>
    </w:p>
  </w:endnote>
  <w:endnote w:type="continuationSeparator" w:id="0">
    <w:p w:rsidR="00A32B50" w:rsidRDefault="00A32B50" w:rsidP="0043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946" w:rsidRDefault="00115946" w:rsidP="00115946">
    <w:pPr>
      <w:pStyle w:val="Footer"/>
      <w:jc w:val="center"/>
    </w:pPr>
  </w:p>
  <w:p w:rsidR="00430C47" w:rsidRDefault="00430C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B50" w:rsidRDefault="00A32B50" w:rsidP="00430C47">
      <w:r>
        <w:separator/>
      </w:r>
    </w:p>
  </w:footnote>
  <w:footnote w:type="continuationSeparator" w:id="0">
    <w:p w:rsidR="00A32B50" w:rsidRDefault="00A32B50" w:rsidP="0043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D272E"/>
    <w:multiLevelType w:val="hybridMultilevel"/>
    <w:tmpl w:val="6FC41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DB"/>
    <w:rsid w:val="000022B5"/>
    <w:rsid w:val="00013B13"/>
    <w:rsid w:val="00112D27"/>
    <w:rsid w:val="00115946"/>
    <w:rsid w:val="00115D3F"/>
    <w:rsid w:val="001770C2"/>
    <w:rsid w:val="00195032"/>
    <w:rsid w:val="001A5C65"/>
    <w:rsid w:val="002931D6"/>
    <w:rsid w:val="002F4B22"/>
    <w:rsid w:val="003413DD"/>
    <w:rsid w:val="00430C47"/>
    <w:rsid w:val="00464972"/>
    <w:rsid w:val="004D4724"/>
    <w:rsid w:val="00524058"/>
    <w:rsid w:val="005F7564"/>
    <w:rsid w:val="00606C1E"/>
    <w:rsid w:val="00721655"/>
    <w:rsid w:val="007417E6"/>
    <w:rsid w:val="007B2AAA"/>
    <w:rsid w:val="007E2126"/>
    <w:rsid w:val="00823695"/>
    <w:rsid w:val="00853B27"/>
    <w:rsid w:val="00883130"/>
    <w:rsid w:val="008C1241"/>
    <w:rsid w:val="009072D0"/>
    <w:rsid w:val="00A32B50"/>
    <w:rsid w:val="00AD0B27"/>
    <w:rsid w:val="00AE031F"/>
    <w:rsid w:val="00B42501"/>
    <w:rsid w:val="00B51E3A"/>
    <w:rsid w:val="00CB625A"/>
    <w:rsid w:val="00D87513"/>
    <w:rsid w:val="00DC182F"/>
    <w:rsid w:val="00DE5DA0"/>
    <w:rsid w:val="00E33E47"/>
    <w:rsid w:val="00F05597"/>
    <w:rsid w:val="00FC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DB609"/>
  <w15:chartTrackingRefBased/>
  <w15:docId w15:val="{68BBC429-DF2D-42CF-80B6-A029F51D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3DD"/>
    <w:pPr>
      <w:spacing w:after="0" w:line="240" w:lineRule="auto"/>
    </w:pPr>
    <w:rPr>
      <w:rFonts w:ascii="Times New Roman" w:hAnsi="Times New Roman" w:cs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0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47"/>
    <w:rPr>
      <w:rFonts w:ascii="Times New Roman" w:hAnsi="Times New Roman" w:cs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430C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C47"/>
    <w:rPr>
      <w:rFonts w:ascii="Times New Roman" w:hAnsi="Times New Roman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Vogt</dc:creator>
  <cp:keywords/>
  <dc:description/>
  <cp:lastModifiedBy>Benjamin Cornforth</cp:lastModifiedBy>
  <cp:revision>3</cp:revision>
  <dcterms:created xsi:type="dcterms:W3CDTF">2017-12-14T15:07:00Z</dcterms:created>
  <dcterms:modified xsi:type="dcterms:W3CDTF">2017-12-18T20:42:00Z</dcterms:modified>
</cp:coreProperties>
</file>