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3633" w14:textId="77777777" w:rsidR="00820730" w:rsidRPr="000E6316" w:rsidRDefault="00820730" w:rsidP="007B713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6316">
        <w:rPr>
          <w:rFonts w:ascii="Arial" w:hAnsi="Arial" w:cs="Arial"/>
          <w:b/>
          <w:sz w:val="20"/>
          <w:szCs w:val="20"/>
        </w:rPr>
        <w:t>University of Wisconsin-La Crosse</w:t>
      </w:r>
    </w:p>
    <w:p w14:paraId="04923634" w14:textId="77777777" w:rsidR="00820730" w:rsidRPr="000E6316" w:rsidRDefault="00E55175" w:rsidP="00531998">
      <w:pPr>
        <w:jc w:val="center"/>
        <w:rPr>
          <w:rFonts w:ascii="Arial" w:hAnsi="Arial" w:cs="Arial"/>
          <w:b/>
          <w:sz w:val="20"/>
          <w:szCs w:val="20"/>
        </w:rPr>
      </w:pPr>
      <w:r w:rsidRPr="000E6316">
        <w:rPr>
          <w:rFonts w:ascii="Arial" w:hAnsi="Arial" w:cs="Arial"/>
          <w:b/>
          <w:sz w:val="20"/>
          <w:szCs w:val="20"/>
        </w:rPr>
        <w:t>Budget Office</w:t>
      </w:r>
    </w:p>
    <w:p w14:paraId="04923635" w14:textId="77777777" w:rsidR="00820730" w:rsidRPr="000E6316" w:rsidRDefault="004F562F" w:rsidP="005E554A">
      <w:pPr>
        <w:jc w:val="center"/>
        <w:rPr>
          <w:rFonts w:ascii="Arial" w:hAnsi="Arial" w:cs="Arial"/>
          <w:b/>
          <w:sz w:val="20"/>
          <w:szCs w:val="20"/>
        </w:rPr>
      </w:pPr>
      <w:r w:rsidRPr="000E6316">
        <w:rPr>
          <w:rFonts w:ascii="Arial" w:hAnsi="Arial" w:cs="Arial"/>
          <w:b/>
          <w:sz w:val="20"/>
          <w:szCs w:val="20"/>
        </w:rPr>
        <w:t>AIDAC</w:t>
      </w:r>
      <w:r w:rsidR="00820730" w:rsidRPr="000E6316">
        <w:rPr>
          <w:rFonts w:ascii="Arial" w:hAnsi="Arial" w:cs="Arial"/>
          <w:b/>
          <w:sz w:val="20"/>
          <w:szCs w:val="20"/>
        </w:rPr>
        <w:t xml:space="preserve"> Budget Planning Assumptions</w:t>
      </w:r>
    </w:p>
    <w:p w14:paraId="04923636" w14:textId="423DE6DA" w:rsidR="007E137C" w:rsidRPr="000E6316" w:rsidRDefault="00820730" w:rsidP="007E137C">
      <w:pPr>
        <w:jc w:val="center"/>
        <w:rPr>
          <w:rFonts w:ascii="Arial" w:hAnsi="Arial" w:cs="Arial"/>
          <w:b/>
          <w:sz w:val="20"/>
          <w:szCs w:val="20"/>
        </w:rPr>
      </w:pPr>
      <w:r w:rsidRPr="000E6316">
        <w:rPr>
          <w:rFonts w:ascii="Arial" w:hAnsi="Arial" w:cs="Arial"/>
          <w:b/>
          <w:sz w:val="20"/>
          <w:szCs w:val="20"/>
        </w:rPr>
        <w:t xml:space="preserve">Fiscal Year </w:t>
      </w:r>
      <w:r w:rsidR="00ED7EFB">
        <w:rPr>
          <w:rFonts w:ascii="Arial" w:hAnsi="Arial" w:cs="Arial"/>
          <w:b/>
          <w:sz w:val="20"/>
          <w:szCs w:val="20"/>
        </w:rPr>
        <w:t>2018-19</w:t>
      </w:r>
    </w:p>
    <w:p w14:paraId="04923637" w14:textId="77777777" w:rsidR="00820730" w:rsidRPr="000E6316" w:rsidRDefault="00820730" w:rsidP="00531998">
      <w:pPr>
        <w:rPr>
          <w:rFonts w:ascii="Arial" w:hAnsi="Arial" w:cs="Arial"/>
          <w:b/>
          <w:sz w:val="20"/>
          <w:szCs w:val="20"/>
        </w:rPr>
      </w:pPr>
    </w:p>
    <w:p w14:paraId="04923639" w14:textId="11FAAEB1" w:rsidR="004F562F" w:rsidRPr="000E6316" w:rsidRDefault="00820730" w:rsidP="00F925A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E6316">
        <w:rPr>
          <w:rFonts w:ascii="Arial" w:hAnsi="Arial" w:cs="Arial"/>
          <w:b/>
          <w:sz w:val="20"/>
          <w:szCs w:val="20"/>
        </w:rPr>
        <w:t xml:space="preserve">The following budget planning assumptions are to be used to complete the </w:t>
      </w:r>
      <w:r w:rsidR="00ED7EFB">
        <w:rPr>
          <w:rFonts w:ascii="Arial" w:hAnsi="Arial" w:cs="Arial"/>
          <w:b/>
          <w:sz w:val="20"/>
          <w:szCs w:val="20"/>
        </w:rPr>
        <w:t>FY2018-19</w:t>
      </w:r>
      <w:r w:rsidR="007E137C" w:rsidRPr="000E6316">
        <w:rPr>
          <w:rFonts w:ascii="Arial" w:hAnsi="Arial" w:cs="Arial"/>
          <w:b/>
          <w:sz w:val="20"/>
          <w:szCs w:val="20"/>
        </w:rPr>
        <w:t xml:space="preserve"> </w:t>
      </w:r>
      <w:r w:rsidRPr="000E6316">
        <w:rPr>
          <w:rFonts w:ascii="Arial" w:hAnsi="Arial" w:cs="Arial"/>
          <w:b/>
          <w:sz w:val="20"/>
          <w:szCs w:val="20"/>
        </w:rPr>
        <w:t xml:space="preserve">budget.  These assumptions will be updated as more information becomes available from UW System Budget Planning, UW-La Crosse campus cost centers, and the State of Wisconsin. The budget planning assumptions call for UW-La Crosse to hold its overall </w:t>
      </w:r>
      <w:r w:rsidR="004F562F" w:rsidRPr="000E6316">
        <w:rPr>
          <w:rFonts w:ascii="Arial" w:hAnsi="Arial" w:cs="Arial"/>
          <w:b/>
          <w:sz w:val="20"/>
          <w:szCs w:val="20"/>
        </w:rPr>
        <w:t>FY2017-18</w:t>
      </w:r>
      <w:r w:rsidR="00C0486D" w:rsidRPr="000E6316">
        <w:rPr>
          <w:rFonts w:ascii="Arial" w:hAnsi="Arial" w:cs="Arial"/>
          <w:b/>
          <w:sz w:val="20"/>
          <w:szCs w:val="20"/>
        </w:rPr>
        <w:t xml:space="preserve"> </w:t>
      </w:r>
      <w:r w:rsidR="004F562F" w:rsidRPr="000E6316">
        <w:rPr>
          <w:rFonts w:ascii="Arial" w:hAnsi="Arial" w:cs="Arial"/>
          <w:b/>
          <w:sz w:val="20"/>
          <w:szCs w:val="20"/>
        </w:rPr>
        <w:t>Academic Initiatives differential</w:t>
      </w:r>
      <w:r w:rsidR="00C0486D" w:rsidRPr="000E6316">
        <w:rPr>
          <w:rFonts w:ascii="Arial" w:hAnsi="Arial" w:cs="Arial"/>
          <w:b/>
          <w:sz w:val="20"/>
          <w:szCs w:val="20"/>
        </w:rPr>
        <w:t xml:space="preserve"> budget to </w:t>
      </w:r>
      <w:r w:rsidR="004F562F" w:rsidRPr="000E6316">
        <w:rPr>
          <w:rFonts w:ascii="Arial" w:hAnsi="Arial" w:cs="Arial"/>
          <w:b/>
          <w:sz w:val="20"/>
          <w:szCs w:val="20"/>
        </w:rPr>
        <w:t>FY2016-17</w:t>
      </w:r>
      <w:r w:rsidR="007E137C" w:rsidRPr="000E6316">
        <w:rPr>
          <w:rFonts w:ascii="Arial" w:hAnsi="Arial" w:cs="Arial"/>
          <w:b/>
          <w:sz w:val="20"/>
          <w:szCs w:val="20"/>
        </w:rPr>
        <w:t xml:space="preserve"> </w:t>
      </w:r>
      <w:r w:rsidRPr="000E6316">
        <w:rPr>
          <w:rFonts w:ascii="Arial" w:hAnsi="Arial" w:cs="Arial"/>
          <w:b/>
          <w:sz w:val="20"/>
          <w:szCs w:val="20"/>
        </w:rPr>
        <w:t xml:space="preserve">levels </w:t>
      </w:r>
      <w:r w:rsidR="004F562F" w:rsidRPr="000E6316">
        <w:rPr>
          <w:rFonts w:ascii="Arial" w:hAnsi="Arial" w:cs="Arial"/>
          <w:b/>
          <w:sz w:val="20"/>
          <w:szCs w:val="20"/>
        </w:rPr>
        <w:t xml:space="preserve">due to a </w:t>
      </w:r>
      <w:r w:rsidR="0001430A">
        <w:rPr>
          <w:rFonts w:ascii="Arial" w:hAnsi="Arial" w:cs="Arial"/>
          <w:b/>
          <w:sz w:val="20"/>
          <w:szCs w:val="20"/>
        </w:rPr>
        <w:t xml:space="preserve">Board of Regents </w:t>
      </w:r>
      <w:r w:rsidR="004F562F" w:rsidRPr="000E6316">
        <w:rPr>
          <w:rFonts w:ascii="Arial" w:hAnsi="Arial" w:cs="Arial"/>
          <w:b/>
          <w:sz w:val="20"/>
          <w:szCs w:val="20"/>
        </w:rPr>
        <w:t>mandated tuition freeze</w:t>
      </w:r>
      <w:r w:rsidRPr="000E6316">
        <w:rPr>
          <w:rFonts w:ascii="Arial" w:hAnsi="Arial" w:cs="Arial"/>
          <w:b/>
          <w:sz w:val="20"/>
          <w:szCs w:val="20"/>
        </w:rPr>
        <w:t xml:space="preserve">.  </w:t>
      </w:r>
    </w:p>
    <w:p w14:paraId="0492363A" w14:textId="77777777" w:rsidR="00820730" w:rsidRPr="000E6316" w:rsidRDefault="00820730" w:rsidP="007B7131">
      <w:pPr>
        <w:rPr>
          <w:rFonts w:ascii="Arial" w:hAnsi="Arial" w:cs="Arial"/>
          <w:b/>
          <w:sz w:val="20"/>
          <w:szCs w:val="20"/>
        </w:rPr>
      </w:pPr>
    </w:p>
    <w:p w14:paraId="0492363C" w14:textId="0F36CFA7" w:rsidR="00820730" w:rsidRDefault="00820730" w:rsidP="005F0DC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0E6316">
        <w:rPr>
          <w:rFonts w:ascii="Arial" w:hAnsi="Arial" w:cs="Arial"/>
          <w:b/>
          <w:sz w:val="20"/>
          <w:szCs w:val="20"/>
        </w:rPr>
        <w:t xml:space="preserve"> </w:t>
      </w:r>
      <w:r w:rsidR="00ED7EFB">
        <w:rPr>
          <w:rFonts w:ascii="Arial" w:hAnsi="Arial" w:cs="Arial"/>
          <w:b/>
          <w:sz w:val="20"/>
          <w:szCs w:val="20"/>
          <w:u w:val="single"/>
        </w:rPr>
        <w:t>2018-19</w:t>
      </w:r>
      <w:r w:rsidR="004F562F" w:rsidRPr="000E6316">
        <w:rPr>
          <w:rFonts w:ascii="Arial" w:hAnsi="Arial" w:cs="Arial"/>
          <w:b/>
          <w:sz w:val="20"/>
          <w:szCs w:val="20"/>
          <w:u w:val="single"/>
        </w:rPr>
        <w:t xml:space="preserve"> Budget</w:t>
      </w:r>
    </w:p>
    <w:p w14:paraId="5AB5F972" w14:textId="77777777" w:rsidR="005238FD" w:rsidRPr="005238FD" w:rsidRDefault="005238FD" w:rsidP="005238FD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0492363D" w14:textId="7CBC0A4F" w:rsidR="00820730" w:rsidRPr="005238FD" w:rsidRDefault="00ED7EFB" w:rsidP="005238F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FY2018-19</w:t>
      </w:r>
      <w:r w:rsidR="004F562F" w:rsidRPr="005238FD">
        <w:rPr>
          <w:rFonts w:ascii="Arial" w:hAnsi="Arial" w:cs="Arial"/>
          <w:sz w:val="20"/>
          <w:szCs w:val="20"/>
        </w:rPr>
        <w:t xml:space="preserve"> undergraduate resident tuition is anticipated to be held</w:t>
      </w:r>
      <w:r>
        <w:rPr>
          <w:rFonts w:ascii="Arial" w:hAnsi="Arial" w:cs="Arial"/>
          <w:sz w:val="20"/>
          <w:szCs w:val="20"/>
        </w:rPr>
        <w:t xml:space="preserve"> at a 0% increase from FY2017-18. The FY2018-19</w:t>
      </w:r>
      <w:r w:rsidR="004F562F" w:rsidRPr="005238FD">
        <w:rPr>
          <w:rFonts w:ascii="Arial" w:hAnsi="Arial" w:cs="Arial"/>
          <w:sz w:val="20"/>
          <w:szCs w:val="20"/>
        </w:rPr>
        <w:t xml:space="preserve"> budget for Academic Initiatives is </w:t>
      </w:r>
      <w:r w:rsidR="004F562F" w:rsidRPr="005238FD">
        <w:rPr>
          <w:rFonts w:ascii="Arial" w:hAnsi="Arial" w:cs="Arial"/>
          <w:b/>
          <w:sz w:val="20"/>
          <w:szCs w:val="20"/>
        </w:rPr>
        <w:t xml:space="preserve">$1,378,109. </w:t>
      </w:r>
    </w:p>
    <w:p w14:paraId="0492363E" w14:textId="77777777" w:rsidR="00820730" w:rsidRPr="000E6316" w:rsidRDefault="00820730" w:rsidP="00F6027D">
      <w:pPr>
        <w:rPr>
          <w:rFonts w:ascii="Arial" w:hAnsi="Arial" w:cs="Arial"/>
          <w:sz w:val="20"/>
          <w:szCs w:val="20"/>
        </w:rPr>
      </w:pPr>
    </w:p>
    <w:p w14:paraId="04923640" w14:textId="1DA904A5" w:rsidR="00820730" w:rsidRDefault="00820730" w:rsidP="005238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6316">
        <w:rPr>
          <w:rFonts w:ascii="Arial" w:hAnsi="Arial" w:cs="Arial"/>
          <w:b/>
          <w:sz w:val="20"/>
          <w:szCs w:val="20"/>
          <w:u w:val="single"/>
        </w:rPr>
        <w:t>Fringe Benefits</w:t>
      </w:r>
    </w:p>
    <w:p w14:paraId="273454E1" w14:textId="77777777" w:rsidR="005238FD" w:rsidRPr="005238FD" w:rsidRDefault="005238FD" w:rsidP="005238FD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923641" w14:textId="31DD44FE" w:rsidR="00820730" w:rsidRPr="005238FD" w:rsidRDefault="00820730" w:rsidP="005238FD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5238FD">
        <w:rPr>
          <w:rFonts w:ascii="Arial" w:hAnsi="Arial" w:cs="Arial"/>
          <w:sz w:val="20"/>
          <w:szCs w:val="20"/>
        </w:rPr>
        <w:t>For currently filled positions, use a rate that reflects your costs.  For vacant positions, please use</w:t>
      </w:r>
      <w:r w:rsidR="004F562F" w:rsidRPr="005238FD">
        <w:rPr>
          <w:rFonts w:ascii="Arial" w:hAnsi="Arial" w:cs="Arial"/>
          <w:sz w:val="20"/>
          <w:szCs w:val="20"/>
        </w:rPr>
        <w:t>:</w:t>
      </w:r>
    </w:p>
    <w:p w14:paraId="44F4712B" w14:textId="1E1AE1CD" w:rsidR="001D2038" w:rsidRPr="00F925A3" w:rsidRDefault="001D2038" w:rsidP="000E631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5"/>
        <w:gridCol w:w="1160"/>
      </w:tblGrid>
      <w:tr w:rsidR="00217971" w14:paraId="073EF22C" w14:textId="77777777" w:rsidTr="009E0320">
        <w:trPr>
          <w:jc w:val="center"/>
        </w:trPr>
        <w:tc>
          <w:tcPr>
            <w:tcW w:w="5855" w:type="dxa"/>
          </w:tcPr>
          <w:p w14:paraId="682CCF7F" w14:textId="0ADA8565" w:rsidR="00217971" w:rsidRPr="005238FD" w:rsidRDefault="00217971" w:rsidP="0021797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039">
              <w:rPr>
                <w:rFonts w:ascii="Arial" w:hAnsi="Arial" w:cs="Arial"/>
                <w:b/>
                <w:sz w:val="22"/>
                <w:szCs w:val="22"/>
              </w:rPr>
              <w:t>Staff Type</w:t>
            </w:r>
          </w:p>
        </w:tc>
        <w:tc>
          <w:tcPr>
            <w:tcW w:w="1160" w:type="dxa"/>
          </w:tcPr>
          <w:p w14:paraId="1A2136C5" w14:textId="2AD42D00" w:rsidR="00217971" w:rsidRPr="005238FD" w:rsidRDefault="00217971" w:rsidP="00217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039">
              <w:rPr>
                <w:rFonts w:ascii="Arial" w:hAnsi="Arial" w:cs="Arial"/>
                <w:b/>
                <w:sz w:val="22"/>
                <w:szCs w:val="22"/>
              </w:rPr>
              <w:t>Rate</w:t>
            </w:r>
          </w:p>
        </w:tc>
      </w:tr>
      <w:tr w:rsidR="00217971" w14:paraId="4E4A2256" w14:textId="77777777" w:rsidTr="009E0320">
        <w:trPr>
          <w:jc w:val="center"/>
        </w:trPr>
        <w:tc>
          <w:tcPr>
            <w:tcW w:w="5855" w:type="dxa"/>
          </w:tcPr>
          <w:p w14:paraId="5BCA36EC" w14:textId="2F5FB978" w:rsidR="00217971" w:rsidRPr="00ED7EFB" w:rsidRDefault="00217971" w:rsidP="00217971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33EB">
              <w:rPr>
                <w:rFonts w:ascii="Arial" w:hAnsi="Arial" w:cs="Arial"/>
                <w:sz w:val="22"/>
                <w:szCs w:val="22"/>
              </w:rPr>
              <w:t>Academic Staff</w:t>
            </w:r>
          </w:p>
        </w:tc>
        <w:tc>
          <w:tcPr>
            <w:tcW w:w="1160" w:type="dxa"/>
          </w:tcPr>
          <w:p w14:paraId="77A9F5DD" w14:textId="00572E87" w:rsidR="00217971" w:rsidRPr="00ED7EFB" w:rsidRDefault="00654261" w:rsidP="009E032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50.14</w:t>
            </w:r>
            <w:r w:rsidR="00217971" w:rsidRPr="00F733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17971" w14:paraId="2A0BB486" w14:textId="77777777" w:rsidTr="009E0320">
        <w:trPr>
          <w:jc w:val="center"/>
        </w:trPr>
        <w:tc>
          <w:tcPr>
            <w:tcW w:w="5855" w:type="dxa"/>
          </w:tcPr>
          <w:p w14:paraId="1D97C7B6" w14:textId="1F24FA84" w:rsidR="00217971" w:rsidRPr="00ED7EFB" w:rsidRDefault="00217971" w:rsidP="00217971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33EB">
              <w:rPr>
                <w:rFonts w:ascii="Arial" w:hAnsi="Arial" w:cs="Arial"/>
                <w:sz w:val="22"/>
                <w:szCs w:val="22"/>
              </w:rPr>
              <w:t>Graduate Assistants (0% during the academic year)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60" w:type="dxa"/>
          </w:tcPr>
          <w:p w14:paraId="62D5402C" w14:textId="3142FA68" w:rsidR="00217971" w:rsidRPr="00ED7EFB" w:rsidRDefault="00217971" w:rsidP="009E032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33EB">
              <w:rPr>
                <w:rFonts w:ascii="Arial" w:hAnsi="Arial" w:cs="Arial"/>
                <w:sz w:val="22"/>
                <w:szCs w:val="22"/>
              </w:rPr>
              <w:t>7.65%</w:t>
            </w:r>
          </w:p>
        </w:tc>
      </w:tr>
      <w:tr w:rsidR="00217971" w14:paraId="01DAD2A4" w14:textId="77777777" w:rsidTr="009E0320">
        <w:trPr>
          <w:jc w:val="center"/>
        </w:trPr>
        <w:tc>
          <w:tcPr>
            <w:tcW w:w="5855" w:type="dxa"/>
          </w:tcPr>
          <w:p w14:paraId="0D140B3F" w14:textId="500D659C" w:rsidR="00217971" w:rsidRPr="00ED7EFB" w:rsidRDefault="00217971" w:rsidP="00217971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33EB">
              <w:rPr>
                <w:rFonts w:ascii="Arial" w:hAnsi="Arial" w:cs="Arial"/>
                <w:sz w:val="22"/>
                <w:szCs w:val="22"/>
              </w:rPr>
              <w:t xml:space="preserve">University Staff </w:t>
            </w:r>
          </w:p>
        </w:tc>
        <w:tc>
          <w:tcPr>
            <w:tcW w:w="1160" w:type="dxa"/>
          </w:tcPr>
          <w:p w14:paraId="550026BC" w14:textId="79F07D93" w:rsidR="00217971" w:rsidRPr="00ED7EFB" w:rsidRDefault="009E0320" w:rsidP="0065426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65.</w:t>
            </w:r>
            <w:r w:rsidR="00654261">
              <w:rPr>
                <w:rFonts w:ascii="Arial" w:hAnsi="Arial" w:cs="Arial"/>
                <w:sz w:val="22"/>
                <w:szCs w:val="22"/>
              </w:rPr>
              <w:t>47</w:t>
            </w:r>
            <w:r w:rsidR="00217971" w:rsidRPr="00F733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17971" w14:paraId="523111C2" w14:textId="77777777" w:rsidTr="009E0320">
        <w:trPr>
          <w:jc w:val="center"/>
        </w:trPr>
        <w:tc>
          <w:tcPr>
            <w:tcW w:w="5855" w:type="dxa"/>
          </w:tcPr>
          <w:p w14:paraId="2E83E10A" w14:textId="4C560322" w:rsidR="00217971" w:rsidRPr="00ED7EFB" w:rsidRDefault="00217971" w:rsidP="00217971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33EB">
              <w:rPr>
                <w:rFonts w:ascii="Arial" w:hAnsi="Arial" w:cs="Arial"/>
                <w:sz w:val="22"/>
                <w:szCs w:val="22"/>
              </w:rPr>
              <w:t>LTE</w:t>
            </w:r>
          </w:p>
        </w:tc>
        <w:tc>
          <w:tcPr>
            <w:tcW w:w="1160" w:type="dxa"/>
          </w:tcPr>
          <w:p w14:paraId="145D1666" w14:textId="5C729EE4" w:rsidR="00217971" w:rsidRPr="00ED7EFB" w:rsidRDefault="009E0320" w:rsidP="009E032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15.16</w:t>
            </w:r>
            <w:r w:rsidR="00217971" w:rsidRPr="00F733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17971" w14:paraId="17A25AD4" w14:textId="77777777" w:rsidTr="009E0320">
        <w:trPr>
          <w:jc w:val="center"/>
        </w:trPr>
        <w:tc>
          <w:tcPr>
            <w:tcW w:w="5855" w:type="dxa"/>
          </w:tcPr>
          <w:p w14:paraId="0C173931" w14:textId="7259B737" w:rsidR="00217971" w:rsidRPr="00ED7EFB" w:rsidRDefault="00217971" w:rsidP="00217971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33EB">
              <w:rPr>
                <w:rFonts w:ascii="Arial" w:hAnsi="Arial" w:cs="Arial"/>
                <w:sz w:val="22"/>
                <w:szCs w:val="22"/>
              </w:rPr>
              <w:t>Student Help (0% during the academic year)</w:t>
            </w:r>
          </w:p>
        </w:tc>
        <w:tc>
          <w:tcPr>
            <w:tcW w:w="1160" w:type="dxa"/>
          </w:tcPr>
          <w:p w14:paraId="71F9CFB6" w14:textId="5EE1CD15" w:rsidR="00217971" w:rsidRPr="00ED7EFB" w:rsidRDefault="009E0320" w:rsidP="009E032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1.85</w:t>
            </w:r>
            <w:r w:rsidR="00217971" w:rsidRPr="00F733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338DA94B" w14:textId="77777777" w:rsidR="009E0320" w:rsidRPr="009E0320" w:rsidRDefault="009E0320" w:rsidP="009E032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0270492" w14:textId="5CA45F76" w:rsidR="009E0320" w:rsidRPr="009E0320" w:rsidRDefault="00217971" w:rsidP="009E0320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E0320">
        <w:rPr>
          <w:rFonts w:ascii="Arial" w:hAnsi="Arial" w:cs="Arial"/>
          <w:sz w:val="20"/>
          <w:szCs w:val="20"/>
        </w:rPr>
        <w:t>If Graduate Assistants elect health insurance should factor tho</w:t>
      </w:r>
      <w:r w:rsidR="002465E9" w:rsidRPr="009E0320">
        <w:rPr>
          <w:rFonts w:ascii="Arial" w:hAnsi="Arial" w:cs="Arial"/>
          <w:sz w:val="20"/>
          <w:szCs w:val="20"/>
        </w:rPr>
        <w:t>se costs into the fringe budget by looking at history of the account and graduate assistant appoi</w:t>
      </w:r>
      <w:r w:rsidR="005936F5" w:rsidRPr="009E0320">
        <w:rPr>
          <w:rFonts w:ascii="Arial" w:hAnsi="Arial" w:cs="Arial"/>
          <w:sz w:val="20"/>
          <w:szCs w:val="20"/>
        </w:rPr>
        <w:t>ntments for that particular department</w:t>
      </w:r>
      <w:r w:rsidR="002465E9" w:rsidRPr="009E0320">
        <w:rPr>
          <w:rFonts w:ascii="Arial" w:hAnsi="Arial" w:cs="Arial"/>
          <w:sz w:val="20"/>
          <w:szCs w:val="20"/>
        </w:rPr>
        <w:t xml:space="preserve">. </w:t>
      </w:r>
    </w:p>
    <w:p w14:paraId="17857FAA" w14:textId="371AA924" w:rsidR="009E0320" w:rsidRPr="009E0320" w:rsidRDefault="009E0320" w:rsidP="009E0320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E0320">
        <w:rPr>
          <w:rFonts w:ascii="Arial" w:hAnsi="Arial" w:cs="Arial"/>
          <w:sz w:val="20"/>
          <w:szCs w:val="20"/>
        </w:rPr>
        <w:t xml:space="preserve">For Student Help, </w:t>
      </w:r>
      <w:r w:rsidR="00654261">
        <w:rPr>
          <w:rFonts w:ascii="Arial" w:hAnsi="Arial" w:cs="Arial"/>
          <w:sz w:val="20"/>
          <w:szCs w:val="20"/>
        </w:rPr>
        <w:t>review</w:t>
      </w:r>
      <w:r w:rsidRPr="009E0320">
        <w:rPr>
          <w:rFonts w:ascii="Arial" w:hAnsi="Arial" w:cs="Arial"/>
          <w:sz w:val="20"/>
          <w:szCs w:val="20"/>
        </w:rPr>
        <w:t xml:space="preserve"> actual activity within the department to determine appropriate fringe rate. </w:t>
      </w:r>
    </w:p>
    <w:p w14:paraId="1ED6266C" w14:textId="77777777" w:rsidR="00217971" w:rsidRPr="000E6316" w:rsidRDefault="00217971" w:rsidP="0055590C">
      <w:pPr>
        <w:rPr>
          <w:rFonts w:ascii="Arial" w:hAnsi="Arial" w:cs="Arial"/>
          <w:sz w:val="20"/>
          <w:szCs w:val="20"/>
        </w:rPr>
      </w:pPr>
    </w:p>
    <w:p w14:paraId="04923649" w14:textId="77777777" w:rsidR="00820730" w:rsidRPr="000E6316" w:rsidRDefault="00820730" w:rsidP="005238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6316">
        <w:rPr>
          <w:rFonts w:ascii="Arial" w:hAnsi="Arial" w:cs="Arial"/>
          <w:b/>
          <w:sz w:val="20"/>
          <w:szCs w:val="20"/>
          <w:u w:val="single"/>
        </w:rPr>
        <w:t xml:space="preserve">Health Insurance </w:t>
      </w:r>
      <w:r w:rsidR="00FB0DBF" w:rsidRPr="000E6316">
        <w:rPr>
          <w:rFonts w:ascii="Arial" w:hAnsi="Arial" w:cs="Arial"/>
          <w:b/>
          <w:sz w:val="20"/>
          <w:szCs w:val="20"/>
          <w:u w:val="single"/>
        </w:rPr>
        <w:t>and Retirement</w:t>
      </w:r>
    </w:p>
    <w:p w14:paraId="0492364A" w14:textId="77777777" w:rsidR="00820730" w:rsidRPr="000E6316" w:rsidRDefault="00820730" w:rsidP="003478FE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0AFEAEFA" w14:textId="0D9F07F9" w:rsidR="005936F5" w:rsidRPr="005936F5" w:rsidRDefault="005936F5" w:rsidP="005936F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936F5">
        <w:rPr>
          <w:rFonts w:ascii="Arial" w:hAnsi="Arial" w:cs="Arial"/>
          <w:sz w:val="20"/>
          <w:szCs w:val="20"/>
        </w:rPr>
        <w:t xml:space="preserve">Health Insurance premiums for Gundersen will </w:t>
      </w:r>
      <w:r>
        <w:rPr>
          <w:rFonts w:ascii="Arial" w:hAnsi="Arial" w:cs="Arial"/>
          <w:sz w:val="20"/>
          <w:szCs w:val="20"/>
        </w:rPr>
        <w:t>de</w:t>
      </w:r>
      <w:r w:rsidRPr="005936F5">
        <w:rPr>
          <w:rFonts w:ascii="Arial" w:hAnsi="Arial" w:cs="Arial"/>
          <w:sz w:val="20"/>
          <w:szCs w:val="20"/>
        </w:rPr>
        <w:t xml:space="preserve">crease by </w:t>
      </w:r>
      <w:r>
        <w:rPr>
          <w:rFonts w:ascii="Arial" w:hAnsi="Arial" w:cs="Arial"/>
          <w:sz w:val="20"/>
          <w:szCs w:val="20"/>
        </w:rPr>
        <w:t>3.40</w:t>
      </w:r>
      <w:r w:rsidRPr="005936F5">
        <w:rPr>
          <w:rFonts w:ascii="Arial" w:hAnsi="Arial" w:cs="Arial"/>
          <w:sz w:val="20"/>
          <w:szCs w:val="20"/>
        </w:rPr>
        <w:t xml:space="preserve">% and Health Traditions will increase </w:t>
      </w:r>
      <w:r>
        <w:rPr>
          <w:rFonts w:ascii="Arial" w:hAnsi="Arial" w:cs="Arial"/>
          <w:sz w:val="20"/>
          <w:szCs w:val="20"/>
        </w:rPr>
        <w:t>3.30</w:t>
      </w:r>
      <w:r w:rsidRPr="005936F5">
        <w:rPr>
          <w:rFonts w:ascii="Arial" w:hAnsi="Arial" w:cs="Arial"/>
          <w:sz w:val="20"/>
          <w:szCs w:val="20"/>
        </w:rPr>
        <w:t>% eff</w:t>
      </w:r>
      <w:r>
        <w:rPr>
          <w:rFonts w:ascii="Arial" w:hAnsi="Arial" w:cs="Arial"/>
          <w:sz w:val="20"/>
          <w:szCs w:val="20"/>
        </w:rPr>
        <w:t>ective January 1, 2018</w:t>
      </w:r>
      <w:r w:rsidRPr="005936F5">
        <w:rPr>
          <w:rFonts w:ascii="Arial" w:hAnsi="Arial" w:cs="Arial"/>
          <w:sz w:val="20"/>
          <w:szCs w:val="20"/>
        </w:rPr>
        <w:t xml:space="preserve">.  </w:t>
      </w:r>
    </w:p>
    <w:p w14:paraId="0492364B" w14:textId="694A91A8" w:rsidR="00820730" w:rsidRPr="005936F5" w:rsidRDefault="00FB0DBF" w:rsidP="005936F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936F5">
        <w:rPr>
          <w:rFonts w:ascii="Arial" w:hAnsi="Arial" w:cs="Arial"/>
          <w:sz w:val="20"/>
          <w:szCs w:val="20"/>
        </w:rPr>
        <w:t>Employer retiremen</w:t>
      </w:r>
      <w:r w:rsidR="0095259D" w:rsidRPr="005936F5">
        <w:rPr>
          <w:rFonts w:ascii="Arial" w:hAnsi="Arial" w:cs="Arial"/>
          <w:sz w:val="20"/>
          <w:szCs w:val="20"/>
        </w:rPr>
        <w:t xml:space="preserve">t costs will </w:t>
      </w:r>
      <w:r w:rsidR="00217971" w:rsidRPr="005936F5">
        <w:rPr>
          <w:rFonts w:ascii="Arial" w:hAnsi="Arial" w:cs="Arial"/>
          <w:sz w:val="20"/>
          <w:szCs w:val="20"/>
        </w:rPr>
        <w:t>de</w:t>
      </w:r>
      <w:r w:rsidR="00ED7EFB" w:rsidRPr="005936F5">
        <w:rPr>
          <w:rFonts w:ascii="Arial" w:hAnsi="Arial" w:cs="Arial"/>
          <w:sz w:val="20"/>
          <w:szCs w:val="20"/>
        </w:rPr>
        <w:t>crease from 11.2</w:t>
      </w:r>
      <w:r w:rsidR="004F562F" w:rsidRPr="005936F5">
        <w:rPr>
          <w:rFonts w:ascii="Arial" w:hAnsi="Arial" w:cs="Arial"/>
          <w:sz w:val="20"/>
          <w:szCs w:val="20"/>
        </w:rPr>
        <w:t xml:space="preserve">5% to </w:t>
      </w:r>
      <w:r w:rsidR="00217971" w:rsidRPr="005936F5">
        <w:rPr>
          <w:rFonts w:ascii="Arial" w:hAnsi="Arial" w:cs="Arial"/>
          <w:sz w:val="20"/>
          <w:szCs w:val="20"/>
        </w:rPr>
        <w:t>11.1</w:t>
      </w:r>
      <w:r w:rsidR="00ED7EFB" w:rsidRPr="005936F5">
        <w:rPr>
          <w:rFonts w:ascii="Arial" w:hAnsi="Arial" w:cs="Arial"/>
          <w:sz w:val="20"/>
          <w:szCs w:val="20"/>
        </w:rPr>
        <w:t>5% effective January 1, 2018</w:t>
      </w:r>
      <w:r w:rsidRPr="005936F5">
        <w:rPr>
          <w:rFonts w:ascii="Arial" w:hAnsi="Arial" w:cs="Arial"/>
          <w:sz w:val="20"/>
          <w:szCs w:val="20"/>
        </w:rPr>
        <w:t>.</w:t>
      </w:r>
    </w:p>
    <w:p w14:paraId="0492364C" w14:textId="77777777" w:rsidR="00820730" w:rsidRPr="00F925A3" w:rsidRDefault="00820730" w:rsidP="00B5265F">
      <w:pPr>
        <w:jc w:val="both"/>
        <w:rPr>
          <w:rFonts w:ascii="Arial" w:hAnsi="Arial" w:cs="Arial"/>
          <w:sz w:val="20"/>
          <w:szCs w:val="20"/>
        </w:rPr>
      </w:pPr>
    </w:p>
    <w:p w14:paraId="14562ECE" w14:textId="46AC53AA" w:rsidR="005238FD" w:rsidRDefault="004F562F" w:rsidP="005238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6316">
        <w:rPr>
          <w:rFonts w:ascii="Arial" w:hAnsi="Arial" w:cs="Arial"/>
          <w:b/>
          <w:sz w:val="20"/>
          <w:szCs w:val="20"/>
          <w:u w:val="single"/>
        </w:rPr>
        <w:t>Compensation</w:t>
      </w:r>
      <w:r w:rsidR="00E314C0" w:rsidRPr="000E6316">
        <w:rPr>
          <w:rFonts w:ascii="Arial" w:hAnsi="Arial" w:cs="Arial"/>
          <w:b/>
          <w:sz w:val="20"/>
          <w:szCs w:val="20"/>
          <w:u w:val="single"/>
        </w:rPr>
        <w:t xml:space="preserve"> Plan</w:t>
      </w:r>
    </w:p>
    <w:p w14:paraId="3754AE37" w14:textId="77777777" w:rsidR="005238FD" w:rsidRPr="005238FD" w:rsidRDefault="005238FD" w:rsidP="005238FD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99D0C2" w14:textId="06A0EBE4" w:rsidR="00ED7EFB" w:rsidRDefault="00ED7EFB" w:rsidP="005238F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FY18 budget templates a 1% compensation plan plus a 1% state pay plan was built into the budget. The state budge</w:t>
      </w:r>
      <w:r w:rsidR="009E0320">
        <w:rPr>
          <w:rFonts w:ascii="Arial" w:hAnsi="Arial" w:cs="Arial"/>
          <w:sz w:val="20"/>
          <w:szCs w:val="20"/>
        </w:rPr>
        <w:t>t was recently approved that included</w:t>
      </w:r>
      <w:r>
        <w:rPr>
          <w:rFonts w:ascii="Arial" w:hAnsi="Arial" w:cs="Arial"/>
          <w:sz w:val="20"/>
          <w:szCs w:val="20"/>
        </w:rPr>
        <w:t xml:space="preserve"> a 2% state pay plan in the budget for FY18 a</w:t>
      </w:r>
      <w:r w:rsidR="002465E9">
        <w:rPr>
          <w:rFonts w:ascii="Arial" w:hAnsi="Arial" w:cs="Arial"/>
          <w:sz w:val="20"/>
          <w:szCs w:val="20"/>
        </w:rPr>
        <w:t xml:space="preserve">nd FY19 for all state employees to be paid out on July </w:t>
      </w:r>
      <w:r w:rsidR="009E0320">
        <w:rPr>
          <w:rFonts w:ascii="Arial" w:hAnsi="Arial" w:cs="Arial"/>
          <w:sz w:val="20"/>
          <w:szCs w:val="20"/>
        </w:rPr>
        <w:t>1, 2018</w:t>
      </w:r>
      <w:r w:rsidR="002465E9">
        <w:rPr>
          <w:rFonts w:ascii="Arial" w:hAnsi="Arial" w:cs="Arial"/>
          <w:sz w:val="20"/>
          <w:szCs w:val="20"/>
        </w:rPr>
        <w:t xml:space="preserve"> (2%) and January </w:t>
      </w:r>
      <w:r w:rsidR="009E0320">
        <w:rPr>
          <w:rFonts w:ascii="Arial" w:hAnsi="Arial" w:cs="Arial"/>
          <w:sz w:val="20"/>
          <w:szCs w:val="20"/>
        </w:rPr>
        <w:t>1, 2019</w:t>
      </w:r>
      <w:r w:rsidR="002465E9">
        <w:rPr>
          <w:rFonts w:ascii="Arial" w:hAnsi="Arial" w:cs="Arial"/>
          <w:sz w:val="20"/>
          <w:szCs w:val="20"/>
        </w:rPr>
        <w:t xml:space="preserve"> (2%).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2E2DE" w14:textId="77777777" w:rsidR="00ED7EFB" w:rsidRDefault="00ED7EFB" w:rsidP="00ED7EF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5FE025D5" w14:textId="6BED9C10" w:rsidR="00ED7EFB" w:rsidRDefault="00ED7EFB" w:rsidP="005238F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 for FY19 the following compensation adjustments should be built in</w:t>
      </w:r>
      <w:r w:rsidR="002465E9">
        <w:rPr>
          <w:rFonts w:ascii="Arial" w:hAnsi="Arial" w:cs="Arial"/>
          <w:sz w:val="20"/>
          <w:szCs w:val="20"/>
        </w:rPr>
        <w:t xml:space="preserve"> the budgets</w:t>
      </w:r>
      <w:r>
        <w:rPr>
          <w:rFonts w:ascii="Arial" w:hAnsi="Arial" w:cs="Arial"/>
          <w:sz w:val="20"/>
          <w:szCs w:val="20"/>
        </w:rPr>
        <w:t>:</w:t>
      </w:r>
    </w:p>
    <w:p w14:paraId="01EC9A15" w14:textId="77777777" w:rsidR="00ED7EFB" w:rsidRPr="00ED7EFB" w:rsidRDefault="00ED7EFB" w:rsidP="00ED7EFB">
      <w:pPr>
        <w:pStyle w:val="ListParagraph"/>
        <w:rPr>
          <w:rFonts w:ascii="Arial" w:hAnsi="Arial" w:cs="Arial"/>
          <w:sz w:val="20"/>
          <w:szCs w:val="20"/>
        </w:rPr>
      </w:pPr>
    </w:p>
    <w:p w14:paraId="033E9262" w14:textId="2B3A9DCA" w:rsidR="0001430A" w:rsidRDefault="00ED7EFB" w:rsidP="00ED7EFB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1% </w:t>
      </w:r>
      <w:r w:rsidR="00217971">
        <w:rPr>
          <w:rFonts w:ascii="Arial" w:hAnsi="Arial" w:cs="Arial"/>
          <w:sz w:val="20"/>
          <w:szCs w:val="20"/>
        </w:rPr>
        <w:t xml:space="preserve">FY19 </w:t>
      </w:r>
      <w:r>
        <w:rPr>
          <w:rFonts w:ascii="Arial" w:hAnsi="Arial" w:cs="Arial"/>
          <w:sz w:val="20"/>
          <w:szCs w:val="20"/>
        </w:rPr>
        <w:t>Compensation Plan</w:t>
      </w:r>
      <w:r w:rsidR="002465E9">
        <w:rPr>
          <w:rFonts w:ascii="Arial" w:hAnsi="Arial" w:cs="Arial"/>
          <w:sz w:val="20"/>
          <w:szCs w:val="20"/>
        </w:rPr>
        <w:t xml:space="preserve"> only for the following </w:t>
      </w:r>
      <w:r w:rsidR="00654261">
        <w:rPr>
          <w:rFonts w:ascii="Arial" w:hAnsi="Arial" w:cs="Arial"/>
          <w:sz w:val="20"/>
          <w:szCs w:val="20"/>
        </w:rPr>
        <w:t xml:space="preserve">University Staff </w:t>
      </w:r>
      <w:r w:rsidR="002465E9">
        <w:rPr>
          <w:rFonts w:ascii="Arial" w:hAnsi="Arial" w:cs="Arial"/>
          <w:sz w:val="20"/>
          <w:szCs w:val="20"/>
        </w:rPr>
        <w:t>Occupational Groupings noted below.</w:t>
      </w:r>
      <w:r>
        <w:rPr>
          <w:rFonts w:ascii="Arial" w:hAnsi="Arial" w:cs="Arial"/>
          <w:sz w:val="20"/>
          <w:szCs w:val="20"/>
        </w:rPr>
        <w:t xml:space="preserve"> (UWL Self-Funded)</w:t>
      </w:r>
    </w:p>
    <w:p w14:paraId="5AF431B5" w14:textId="7DBFA8B2" w:rsidR="00ED7EFB" w:rsidRDefault="00217971" w:rsidP="00ED7EFB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2% FY18 Pay Plan (</w:t>
      </w:r>
      <w:r w:rsidR="00654261">
        <w:rPr>
          <w:rFonts w:ascii="Arial" w:hAnsi="Arial" w:cs="Arial"/>
          <w:sz w:val="20"/>
          <w:szCs w:val="20"/>
        </w:rPr>
        <w:t>FY18 budgets were built with a 1% pay plan that has not been distributed.</w:t>
      </w:r>
      <w:r w:rsidR="00ED7EFB">
        <w:rPr>
          <w:rFonts w:ascii="Arial" w:hAnsi="Arial" w:cs="Arial"/>
          <w:sz w:val="20"/>
          <w:szCs w:val="20"/>
        </w:rPr>
        <w:t>)</w:t>
      </w:r>
    </w:p>
    <w:p w14:paraId="7DC2F65E" w14:textId="0EFAC90A" w:rsidR="00ED7EFB" w:rsidRPr="005238FD" w:rsidRDefault="002465E9" w:rsidP="00ED7EFB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D7EFB">
        <w:rPr>
          <w:rFonts w:ascii="Arial" w:hAnsi="Arial" w:cs="Arial"/>
          <w:sz w:val="20"/>
          <w:szCs w:val="20"/>
        </w:rPr>
        <w:t>% FY19 Pay Plan</w:t>
      </w:r>
      <w:r>
        <w:rPr>
          <w:rFonts w:ascii="Arial" w:hAnsi="Arial" w:cs="Arial"/>
          <w:sz w:val="20"/>
          <w:szCs w:val="20"/>
        </w:rPr>
        <w:t xml:space="preserve"> (FY19 2% will be paid out January 1</w:t>
      </w:r>
      <w:r w:rsidRPr="002465E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however the budgets will only incur 1% of this expense in FY19.)</w:t>
      </w:r>
      <w:r w:rsidR="009E0320">
        <w:rPr>
          <w:rFonts w:ascii="Arial" w:hAnsi="Arial" w:cs="Arial"/>
          <w:sz w:val="20"/>
          <w:szCs w:val="20"/>
        </w:rPr>
        <w:t xml:space="preserve"> This amount will be built into the budgets as a provision. </w:t>
      </w:r>
    </w:p>
    <w:p w14:paraId="3CCCF9BC" w14:textId="77777777" w:rsidR="0001430A" w:rsidRDefault="0001430A" w:rsidP="00094006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F37F588" w14:textId="1472A17F" w:rsidR="001D2038" w:rsidRPr="005238FD" w:rsidRDefault="000E6316" w:rsidP="005238F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238FD">
        <w:rPr>
          <w:rFonts w:ascii="Arial" w:hAnsi="Arial" w:cs="Arial"/>
          <w:sz w:val="20"/>
          <w:szCs w:val="20"/>
        </w:rPr>
        <w:t>The</w:t>
      </w:r>
      <w:r w:rsidR="00243A35" w:rsidRPr="005238FD">
        <w:rPr>
          <w:rFonts w:ascii="Arial" w:hAnsi="Arial" w:cs="Arial"/>
          <w:sz w:val="20"/>
          <w:szCs w:val="20"/>
        </w:rPr>
        <w:t xml:space="preserve"> planning assumptions</w:t>
      </w:r>
      <w:r w:rsidRPr="005238FD">
        <w:rPr>
          <w:rFonts w:ascii="Arial" w:hAnsi="Arial" w:cs="Arial"/>
          <w:sz w:val="20"/>
          <w:szCs w:val="20"/>
        </w:rPr>
        <w:t xml:space="preserve"> </w:t>
      </w:r>
      <w:r w:rsidR="0001430A" w:rsidRPr="005238FD">
        <w:rPr>
          <w:rFonts w:ascii="Arial" w:hAnsi="Arial" w:cs="Arial"/>
          <w:sz w:val="20"/>
          <w:szCs w:val="20"/>
        </w:rPr>
        <w:t>fo</w:t>
      </w:r>
      <w:r w:rsidR="00B95032">
        <w:rPr>
          <w:rFonts w:ascii="Arial" w:hAnsi="Arial" w:cs="Arial"/>
          <w:sz w:val="20"/>
          <w:szCs w:val="20"/>
        </w:rPr>
        <w:t>r the compensation funded by the state</w:t>
      </w:r>
      <w:r w:rsidR="0001430A" w:rsidRPr="005238FD">
        <w:rPr>
          <w:rFonts w:ascii="Arial" w:hAnsi="Arial" w:cs="Arial"/>
          <w:sz w:val="20"/>
          <w:szCs w:val="20"/>
        </w:rPr>
        <w:t xml:space="preserve"> </w:t>
      </w:r>
      <w:r w:rsidR="00ED7EFB">
        <w:rPr>
          <w:rFonts w:ascii="Arial" w:hAnsi="Arial" w:cs="Arial"/>
          <w:sz w:val="20"/>
          <w:szCs w:val="20"/>
        </w:rPr>
        <w:t>are based on an</w:t>
      </w:r>
      <w:r w:rsidR="004F562F" w:rsidRPr="005238FD">
        <w:rPr>
          <w:rFonts w:ascii="Arial" w:hAnsi="Arial" w:cs="Arial"/>
          <w:sz w:val="20"/>
          <w:szCs w:val="20"/>
        </w:rPr>
        <w:t xml:space="preserve"> </w:t>
      </w:r>
      <w:r w:rsidR="00654261">
        <w:rPr>
          <w:rFonts w:ascii="Arial" w:hAnsi="Arial" w:cs="Arial"/>
          <w:sz w:val="20"/>
          <w:szCs w:val="20"/>
        </w:rPr>
        <w:t>adjustment for all staff, including graduate assistant positions.  T</w:t>
      </w:r>
      <w:r w:rsidR="00B95032">
        <w:rPr>
          <w:rFonts w:ascii="Arial" w:hAnsi="Arial" w:cs="Arial"/>
          <w:sz w:val="20"/>
          <w:szCs w:val="20"/>
        </w:rPr>
        <w:t>he com</w:t>
      </w:r>
      <w:r w:rsidR="00ED7EFB">
        <w:rPr>
          <w:rFonts w:ascii="Arial" w:hAnsi="Arial" w:cs="Arial"/>
          <w:sz w:val="20"/>
          <w:szCs w:val="20"/>
        </w:rPr>
        <w:t>pensation funded by UWL will be applied</w:t>
      </w:r>
      <w:r w:rsidR="00654261">
        <w:rPr>
          <w:rFonts w:ascii="Arial" w:hAnsi="Arial" w:cs="Arial"/>
          <w:sz w:val="20"/>
          <w:szCs w:val="20"/>
        </w:rPr>
        <w:t xml:space="preserve"> </w:t>
      </w:r>
      <w:r w:rsidR="004F562F" w:rsidRPr="005238FD">
        <w:rPr>
          <w:rFonts w:ascii="Arial" w:hAnsi="Arial" w:cs="Arial"/>
          <w:sz w:val="20"/>
          <w:szCs w:val="20"/>
        </w:rPr>
        <w:t xml:space="preserve">for the following </w:t>
      </w:r>
      <w:r w:rsidR="00654261">
        <w:rPr>
          <w:rFonts w:ascii="Arial" w:hAnsi="Arial" w:cs="Arial"/>
          <w:sz w:val="20"/>
          <w:szCs w:val="20"/>
        </w:rPr>
        <w:t xml:space="preserve">University Staff </w:t>
      </w:r>
      <w:r w:rsidR="004F562F" w:rsidRPr="005238FD">
        <w:rPr>
          <w:rFonts w:ascii="Arial" w:hAnsi="Arial" w:cs="Arial"/>
          <w:sz w:val="20"/>
          <w:szCs w:val="20"/>
        </w:rPr>
        <w:t>occupational groupings:</w:t>
      </w:r>
    </w:p>
    <w:p w14:paraId="3EBF2409" w14:textId="706D776B" w:rsidR="005936F5" w:rsidRDefault="005936F5" w:rsidP="009E0320">
      <w:pPr>
        <w:jc w:val="both"/>
        <w:rPr>
          <w:rFonts w:ascii="Arial" w:hAnsi="Arial" w:cs="Arial"/>
          <w:sz w:val="20"/>
          <w:szCs w:val="20"/>
        </w:rPr>
      </w:pPr>
    </w:p>
    <w:p w14:paraId="3F711633" w14:textId="77777777" w:rsidR="009E0320" w:rsidRDefault="009E0320" w:rsidP="009E0320">
      <w:pPr>
        <w:jc w:val="both"/>
        <w:rPr>
          <w:rFonts w:ascii="Arial" w:hAnsi="Arial" w:cs="Arial"/>
          <w:sz w:val="20"/>
          <w:szCs w:val="20"/>
        </w:rPr>
      </w:pPr>
    </w:p>
    <w:p w14:paraId="0BC1A7CC" w14:textId="77777777" w:rsidR="005936F5" w:rsidRPr="000E6316" w:rsidRDefault="005936F5" w:rsidP="00094006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5FEB0E12" w14:textId="77777777" w:rsidR="002465E9" w:rsidRPr="002465E9" w:rsidRDefault="002465E9" w:rsidP="002465E9">
      <w:pPr>
        <w:pStyle w:val="ListParagraph"/>
        <w:numPr>
          <w:ilvl w:val="3"/>
          <w:numId w:val="8"/>
        </w:numPr>
        <w:spacing w:after="200" w:line="276" w:lineRule="auto"/>
        <w:ind w:left="2520"/>
        <w:jc w:val="both"/>
        <w:rPr>
          <w:rFonts w:ascii="Arial" w:hAnsi="Arial" w:cs="Arial"/>
          <w:sz w:val="20"/>
          <w:szCs w:val="20"/>
        </w:rPr>
      </w:pPr>
      <w:r w:rsidRPr="002465E9">
        <w:rPr>
          <w:rFonts w:ascii="Arial" w:hAnsi="Arial" w:cs="Arial"/>
          <w:sz w:val="20"/>
          <w:szCs w:val="20"/>
        </w:rPr>
        <w:lastRenderedPageBreak/>
        <w:t xml:space="preserve">Power Plant: $0.19/hour </w:t>
      </w:r>
    </w:p>
    <w:p w14:paraId="5787A0A7" w14:textId="77777777" w:rsidR="002465E9" w:rsidRPr="002465E9" w:rsidRDefault="002465E9" w:rsidP="002465E9">
      <w:pPr>
        <w:pStyle w:val="ListParagraph"/>
        <w:numPr>
          <w:ilvl w:val="3"/>
          <w:numId w:val="8"/>
        </w:numPr>
        <w:spacing w:after="200" w:line="276" w:lineRule="auto"/>
        <w:ind w:left="2520"/>
        <w:jc w:val="both"/>
        <w:rPr>
          <w:rFonts w:ascii="Arial" w:hAnsi="Arial" w:cs="Arial"/>
          <w:sz w:val="20"/>
          <w:szCs w:val="20"/>
        </w:rPr>
      </w:pPr>
      <w:r w:rsidRPr="002465E9">
        <w:rPr>
          <w:rFonts w:ascii="Arial" w:hAnsi="Arial" w:cs="Arial"/>
          <w:sz w:val="20"/>
          <w:szCs w:val="20"/>
        </w:rPr>
        <w:t>ITS: $0.26/hour</w:t>
      </w:r>
    </w:p>
    <w:p w14:paraId="092B17E3" w14:textId="77777777" w:rsidR="002465E9" w:rsidRPr="002465E9" w:rsidRDefault="002465E9" w:rsidP="002465E9">
      <w:pPr>
        <w:pStyle w:val="ListParagraph"/>
        <w:numPr>
          <w:ilvl w:val="3"/>
          <w:numId w:val="8"/>
        </w:numPr>
        <w:spacing w:after="200" w:line="276" w:lineRule="auto"/>
        <w:ind w:left="2520"/>
        <w:jc w:val="both"/>
        <w:rPr>
          <w:rFonts w:ascii="Arial" w:hAnsi="Arial" w:cs="Arial"/>
          <w:sz w:val="20"/>
          <w:szCs w:val="20"/>
        </w:rPr>
      </w:pPr>
      <w:r w:rsidRPr="002465E9">
        <w:rPr>
          <w:rFonts w:ascii="Arial" w:hAnsi="Arial" w:cs="Arial"/>
          <w:sz w:val="20"/>
          <w:szCs w:val="20"/>
        </w:rPr>
        <w:t>Police: $0.21/hour</w:t>
      </w:r>
    </w:p>
    <w:p w14:paraId="5540248C" w14:textId="77777777" w:rsidR="002465E9" w:rsidRPr="002465E9" w:rsidRDefault="002465E9" w:rsidP="002465E9">
      <w:pPr>
        <w:pStyle w:val="ListParagraph"/>
        <w:numPr>
          <w:ilvl w:val="3"/>
          <w:numId w:val="8"/>
        </w:numPr>
        <w:spacing w:after="200" w:line="276" w:lineRule="auto"/>
        <w:ind w:left="2520"/>
        <w:jc w:val="both"/>
        <w:rPr>
          <w:rFonts w:ascii="Arial" w:hAnsi="Arial" w:cs="Arial"/>
          <w:sz w:val="20"/>
          <w:szCs w:val="20"/>
        </w:rPr>
      </w:pPr>
      <w:r w:rsidRPr="002465E9">
        <w:rPr>
          <w:rFonts w:ascii="Arial" w:hAnsi="Arial" w:cs="Arial"/>
          <w:sz w:val="20"/>
          <w:szCs w:val="20"/>
        </w:rPr>
        <w:t>Financial Services: $0.19/hour</w:t>
      </w:r>
    </w:p>
    <w:p w14:paraId="45913D04" w14:textId="56CA7BF7" w:rsidR="00ED7EFB" w:rsidRDefault="002465E9" w:rsidP="004F562F">
      <w:pPr>
        <w:pStyle w:val="ListParagraph"/>
        <w:numPr>
          <w:ilvl w:val="3"/>
          <w:numId w:val="8"/>
        </w:numPr>
        <w:spacing w:after="200" w:line="276" w:lineRule="auto"/>
        <w:ind w:left="2520"/>
        <w:jc w:val="both"/>
        <w:rPr>
          <w:rFonts w:ascii="Arial" w:hAnsi="Arial" w:cs="Arial"/>
          <w:sz w:val="20"/>
          <w:szCs w:val="20"/>
        </w:rPr>
      </w:pPr>
      <w:r w:rsidRPr="002465E9">
        <w:rPr>
          <w:rFonts w:ascii="Arial" w:hAnsi="Arial" w:cs="Arial"/>
          <w:sz w:val="20"/>
          <w:szCs w:val="20"/>
        </w:rPr>
        <w:t xml:space="preserve">Health Services: </w:t>
      </w:r>
      <w:r>
        <w:rPr>
          <w:rFonts w:ascii="Arial" w:hAnsi="Arial" w:cs="Arial"/>
          <w:sz w:val="20"/>
          <w:szCs w:val="20"/>
        </w:rPr>
        <w:t>$0.25/hour</w:t>
      </w:r>
    </w:p>
    <w:p w14:paraId="4C092316" w14:textId="60B24EFD" w:rsidR="009E0320" w:rsidRPr="00654261" w:rsidRDefault="00654261" w:rsidP="00654261">
      <w:pPr>
        <w:spacing w:after="20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The FY18 and FY19 pay plans will require a 2% base salary adjustment for the FY19 budget plus the compensation plan amounts required for University Staff Occupational Groups.</w:t>
      </w:r>
    </w:p>
    <w:p w14:paraId="04923650" w14:textId="2AE40B8E" w:rsidR="00820730" w:rsidRPr="005238FD" w:rsidRDefault="00820730" w:rsidP="005238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238FD">
        <w:rPr>
          <w:rFonts w:ascii="Arial" w:hAnsi="Arial" w:cs="Arial"/>
          <w:b/>
          <w:sz w:val="20"/>
          <w:szCs w:val="20"/>
          <w:u w:val="single"/>
        </w:rPr>
        <w:t>Student Help</w:t>
      </w:r>
    </w:p>
    <w:p w14:paraId="04923651" w14:textId="77777777" w:rsidR="00820730" w:rsidRPr="000E6316" w:rsidRDefault="00820730" w:rsidP="0001475D">
      <w:pPr>
        <w:ind w:left="288"/>
        <w:jc w:val="both"/>
        <w:rPr>
          <w:rFonts w:ascii="Arial" w:hAnsi="Arial" w:cs="Arial"/>
          <w:sz w:val="20"/>
          <w:szCs w:val="20"/>
        </w:rPr>
      </w:pPr>
    </w:p>
    <w:p w14:paraId="04923652" w14:textId="092228CC" w:rsidR="009A15CB" w:rsidRPr="005238FD" w:rsidRDefault="00820730" w:rsidP="005238FD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238FD">
        <w:rPr>
          <w:rFonts w:ascii="Arial" w:hAnsi="Arial" w:cs="Arial"/>
          <w:sz w:val="20"/>
          <w:szCs w:val="20"/>
        </w:rPr>
        <w:t>The student help minimum rate is $7.25 per hour. The stu</w:t>
      </w:r>
      <w:r w:rsidR="00206D59" w:rsidRPr="005238FD">
        <w:rPr>
          <w:rFonts w:ascii="Arial" w:hAnsi="Arial" w:cs="Arial"/>
          <w:sz w:val="20"/>
          <w:szCs w:val="20"/>
        </w:rPr>
        <w:t>den</w:t>
      </w:r>
      <w:r w:rsidR="00D97705" w:rsidRPr="005238FD">
        <w:rPr>
          <w:rFonts w:ascii="Arial" w:hAnsi="Arial" w:cs="Arial"/>
          <w:sz w:val="20"/>
          <w:szCs w:val="20"/>
        </w:rPr>
        <w:t xml:space="preserve">t payment schedule for </w:t>
      </w:r>
      <w:r w:rsidR="00ED7EFB">
        <w:rPr>
          <w:rFonts w:ascii="Arial" w:hAnsi="Arial" w:cs="Arial"/>
          <w:sz w:val="20"/>
          <w:szCs w:val="20"/>
        </w:rPr>
        <w:t>FY2018-19</w:t>
      </w:r>
      <w:r w:rsidR="00206D59" w:rsidRPr="005238FD">
        <w:rPr>
          <w:rFonts w:ascii="Arial" w:hAnsi="Arial" w:cs="Arial"/>
          <w:sz w:val="20"/>
          <w:szCs w:val="20"/>
        </w:rPr>
        <w:t xml:space="preserve"> </w:t>
      </w:r>
      <w:r w:rsidRPr="005238FD">
        <w:rPr>
          <w:rFonts w:ascii="Arial" w:hAnsi="Arial" w:cs="Arial"/>
          <w:sz w:val="20"/>
          <w:szCs w:val="20"/>
        </w:rPr>
        <w:t xml:space="preserve">should </w:t>
      </w:r>
      <w:r w:rsidR="00ED7EFB">
        <w:rPr>
          <w:rFonts w:ascii="Arial" w:hAnsi="Arial" w:cs="Arial"/>
          <w:sz w:val="20"/>
          <w:szCs w:val="20"/>
        </w:rPr>
        <w:t>remain constant from FY2017-18</w:t>
      </w:r>
      <w:r w:rsidRPr="005238FD">
        <w:rPr>
          <w:rFonts w:ascii="Arial" w:hAnsi="Arial" w:cs="Arial"/>
          <w:sz w:val="20"/>
          <w:szCs w:val="20"/>
        </w:rPr>
        <w:t>.</w:t>
      </w:r>
    </w:p>
    <w:p w14:paraId="7EE0F474" w14:textId="77777777" w:rsidR="0001430A" w:rsidRPr="000E6316" w:rsidRDefault="0001430A" w:rsidP="005238FD">
      <w:pPr>
        <w:jc w:val="both"/>
        <w:rPr>
          <w:rFonts w:ascii="Arial" w:hAnsi="Arial" w:cs="Arial"/>
          <w:sz w:val="20"/>
          <w:szCs w:val="20"/>
        </w:rPr>
      </w:pPr>
    </w:p>
    <w:p w14:paraId="04923654" w14:textId="264E5D02" w:rsidR="00820730" w:rsidRPr="005238FD" w:rsidRDefault="00820730" w:rsidP="005238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5238FD">
        <w:rPr>
          <w:rFonts w:ascii="Arial" w:hAnsi="Arial" w:cs="Arial"/>
          <w:b/>
          <w:sz w:val="20"/>
          <w:szCs w:val="20"/>
          <w:u w:val="single"/>
        </w:rPr>
        <w:t>Graduate Assistants</w:t>
      </w:r>
    </w:p>
    <w:p w14:paraId="04923655" w14:textId="77777777" w:rsidR="00820730" w:rsidRPr="000E6316" w:rsidRDefault="00820730" w:rsidP="00E57C3F">
      <w:pPr>
        <w:ind w:left="288"/>
        <w:jc w:val="both"/>
        <w:rPr>
          <w:rFonts w:ascii="Arial" w:hAnsi="Arial" w:cs="Arial"/>
          <w:sz w:val="20"/>
          <w:szCs w:val="20"/>
        </w:rPr>
      </w:pPr>
    </w:p>
    <w:p w14:paraId="773FB114" w14:textId="77777777" w:rsidR="00AF4180" w:rsidRDefault="00AF4180" w:rsidP="00AF4180">
      <w:pPr>
        <w:ind w:left="720"/>
        <w:jc w:val="both"/>
        <w:rPr>
          <w:rFonts w:ascii="Arial" w:hAnsi="Arial" w:cs="Arial"/>
          <w:sz w:val="22"/>
          <w:szCs w:val="22"/>
        </w:rPr>
      </w:pPr>
      <w:r w:rsidRPr="0076105D">
        <w:rPr>
          <w:rFonts w:ascii="Arial" w:hAnsi="Arial" w:cs="Arial"/>
          <w:sz w:val="22"/>
          <w:szCs w:val="22"/>
        </w:rPr>
        <w:t>Graduate Assistantships (GA</w:t>
      </w:r>
      <w:r>
        <w:rPr>
          <w:rFonts w:ascii="Arial" w:hAnsi="Arial" w:cs="Arial"/>
          <w:sz w:val="22"/>
          <w:szCs w:val="22"/>
        </w:rPr>
        <w:t>’s) may be offered from 33% (14 hours/</w:t>
      </w:r>
      <w:r w:rsidRPr="0076105D">
        <w:rPr>
          <w:rFonts w:ascii="Arial" w:hAnsi="Arial" w:cs="Arial"/>
          <w:sz w:val="22"/>
          <w:szCs w:val="22"/>
        </w:rPr>
        <w:t>week</w:t>
      </w:r>
      <w:r>
        <w:rPr>
          <w:rFonts w:ascii="Arial" w:hAnsi="Arial" w:cs="Arial"/>
          <w:sz w:val="22"/>
          <w:szCs w:val="22"/>
        </w:rPr>
        <w:t>) or up to 50% (</w:t>
      </w:r>
      <w:r w:rsidRPr="0076105D">
        <w:rPr>
          <w:rFonts w:ascii="Arial" w:hAnsi="Arial" w:cs="Arial"/>
          <w:sz w:val="22"/>
          <w:szCs w:val="22"/>
        </w:rPr>
        <w:t>20 hours</w:t>
      </w:r>
      <w:r>
        <w:rPr>
          <w:rFonts w:ascii="Arial" w:hAnsi="Arial" w:cs="Arial"/>
          <w:sz w:val="22"/>
          <w:szCs w:val="22"/>
        </w:rPr>
        <w:t>/week)</w:t>
      </w:r>
      <w:r w:rsidRPr="0076105D">
        <w:rPr>
          <w:rFonts w:ascii="Arial" w:hAnsi="Arial" w:cs="Arial"/>
          <w:sz w:val="22"/>
          <w:szCs w:val="22"/>
        </w:rPr>
        <w:t xml:space="preserve">.  Stipends for Graduate Assistantships are based upon the amounts scheduled for the period during which the assistantship begins and are also slated to receive the 2% Pay Plan for FY18 </w:t>
      </w:r>
      <w:r>
        <w:rPr>
          <w:rFonts w:ascii="Arial" w:hAnsi="Arial" w:cs="Arial"/>
          <w:sz w:val="22"/>
          <w:szCs w:val="22"/>
        </w:rPr>
        <w:t xml:space="preserve">and a secondary 2% adjustment which is UWL funded. </w:t>
      </w:r>
    </w:p>
    <w:p w14:paraId="61795130" w14:textId="77777777" w:rsidR="00AF4180" w:rsidRPr="0076105D" w:rsidRDefault="00AF4180" w:rsidP="00AF4180">
      <w:pPr>
        <w:ind w:left="100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815"/>
        <w:gridCol w:w="1800"/>
      </w:tblGrid>
      <w:tr w:rsidR="00AF4180" w:rsidRPr="0076105D" w14:paraId="7467FDF1" w14:textId="77777777" w:rsidTr="00B039DB">
        <w:trPr>
          <w:trHeight w:val="242"/>
          <w:jc w:val="center"/>
        </w:trPr>
        <w:tc>
          <w:tcPr>
            <w:tcW w:w="5138" w:type="dxa"/>
            <w:gridSpan w:val="3"/>
          </w:tcPr>
          <w:p w14:paraId="062C8146" w14:textId="77777777" w:rsidR="00AF4180" w:rsidRPr="00062EA7" w:rsidRDefault="00AF4180" w:rsidP="00B03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A7">
              <w:rPr>
                <w:rFonts w:ascii="Arial" w:hAnsi="Arial" w:cs="Arial"/>
                <w:b/>
                <w:sz w:val="20"/>
                <w:szCs w:val="20"/>
              </w:rPr>
              <w:t>Estimated GA Rates for FY2019</w:t>
            </w:r>
          </w:p>
        </w:tc>
      </w:tr>
      <w:tr w:rsidR="00AF4180" w:rsidRPr="0076105D" w14:paraId="62533966" w14:textId="77777777" w:rsidTr="00B039DB">
        <w:trPr>
          <w:jc w:val="center"/>
        </w:trPr>
        <w:tc>
          <w:tcPr>
            <w:tcW w:w="1523" w:type="dxa"/>
          </w:tcPr>
          <w:p w14:paraId="54860A80" w14:textId="77777777" w:rsidR="00AF4180" w:rsidRPr="00062EA7" w:rsidRDefault="00AF4180" w:rsidP="00B039D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2EA7">
              <w:rPr>
                <w:rFonts w:ascii="Arial" w:hAnsi="Arial" w:cs="Arial"/>
                <w:sz w:val="20"/>
                <w:szCs w:val="20"/>
                <w:u w:val="single"/>
              </w:rPr>
              <w:t>FTE</w:t>
            </w:r>
          </w:p>
        </w:tc>
        <w:tc>
          <w:tcPr>
            <w:tcW w:w="1815" w:type="dxa"/>
          </w:tcPr>
          <w:p w14:paraId="354DA565" w14:textId="77777777" w:rsidR="00AF4180" w:rsidRPr="00062EA7" w:rsidRDefault="00AF4180" w:rsidP="00B0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  <w:u w:val="single"/>
              </w:rPr>
              <w:t>Academic</w:t>
            </w:r>
          </w:p>
        </w:tc>
        <w:tc>
          <w:tcPr>
            <w:tcW w:w="1800" w:type="dxa"/>
          </w:tcPr>
          <w:p w14:paraId="7ECEE5CF" w14:textId="77777777" w:rsidR="00AF4180" w:rsidRPr="00062EA7" w:rsidRDefault="00AF4180" w:rsidP="00B0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  <w:u w:val="single"/>
              </w:rPr>
              <w:t>One Semester</w:t>
            </w:r>
          </w:p>
        </w:tc>
      </w:tr>
      <w:tr w:rsidR="00AF4180" w:rsidRPr="0076105D" w14:paraId="15F520C1" w14:textId="77777777" w:rsidTr="00B039DB">
        <w:trPr>
          <w:jc w:val="center"/>
        </w:trPr>
        <w:tc>
          <w:tcPr>
            <w:tcW w:w="1523" w:type="dxa"/>
          </w:tcPr>
          <w:p w14:paraId="2DCDD9FE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815" w:type="dxa"/>
          </w:tcPr>
          <w:p w14:paraId="4D30BA3E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</w:rPr>
              <w:t>7,</w:t>
            </w: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800" w:type="dxa"/>
          </w:tcPr>
          <w:p w14:paraId="6165B59D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</w:tr>
      <w:tr w:rsidR="00AF4180" w:rsidRPr="0076105D" w14:paraId="76AF37C7" w14:textId="77777777" w:rsidTr="00B039DB">
        <w:trPr>
          <w:jc w:val="center"/>
        </w:trPr>
        <w:tc>
          <w:tcPr>
            <w:tcW w:w="1523" w:type="dxa"/>
          </w:tcPr>
          <w:p w14:paraId="77F641FC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815" w:type="dxa"/>
          </w:tcPr>
          <w:p w14:paraId="3D4E5164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11,070</w:t>
            </w:r>
          </w:p>
        </w:tc>
        <w:tc>
          <w:tcPr>
            <w:tcW w:w="1800" w:type="dxa"/>
          </w:tcPr>
          <w:p w14:paraId="00953216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AF4180" w:rsidRPr="0076105D" w14:paraId="60A73E32" w14:textId="77777777" w:rsidTr="00B039DB">
        <w:trPr>
          <w:jc w:val="center"/>
        </w:trPr>
        <w:tc>
          <w:tcPr>
            <w:tcW w:w="1523" w:type="dxa"/>
          </w:tcPr>
          <w:p w14:paraId="3AFBB991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EA7">
              <w:rPr>
                <w:rFonts w:ascii="Arial" w:hAnsi="Arial" w:cs="Arial"/>
                <w:sz w:val="20"/>
                <w:szCs w:val="20"/>
              </w:rPr>
              <w:t>100% (FTB)</w:t>
            </w:r>
          </w:p>
        </w:tc>
        <w:tc>
          <w:tcPr>
            <w:tcW w:w="1815" w:type="dxa"/>
          </w:tcPr>
          <w:p w14:paraId="660AC0D2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22,139</w:t>
            </w:r>
          </w:p>
        </w:tc>
        <w:tc>
          <w:tcPr>
            <w:tcW w:w="1800" w:type="dxa"/>
          </w:tcPr>
          <w:p w14:paraId="45942DA0" w14:textId="77777777" w:rsidR="00AF4180" w:rsidRPr="00062EA7" w:rsidRDefault="00AF4180" w:rsidP="00B039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11,070</w:t>
            </w:r>
          </w:p>
        </w:tc>
      </w:tr>
    </w:tbl>
    <w:p w14:paraId="0B09F3A9" w14:textId="77777777" w:rsidR="00AF4180" w:rsidRDefault="00AF4180" w:rsidP="00AF418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7D558AA" w14:textId="77777777" w:rsidR="00AF4180" w:rsidRPr="0076105D" w:rsidRDefault="00AF4180" w:rsidP="00AF4180">
      <w:pPr>
        <w:ind w:left="720"/>
        <w:jc w:val="both"/>
        <w:rPr>
          <w:rFonts w:ascii="Arial" w:hAnsi="Arial" w:cs="Arial"/>
          <w:sz w:val="22"/>
          <w:szCs w:val="22"/>
        </w:rPr>
      </w:pPr>
      <w:r w:rsidRPr="0076105D">
        <w:rPr>
          <w:rFonts w:ascii="Arial" w:hAnsi="Arial" w:cs="Arial"/>
          <w:sz w:val="22"/>
          <w:szCs w:val="22"/>
        </w:rPr>
        <w:t>*The rates include the 2% pay plan (paid out July 1</w:t>
      </w:r>
      <w:r w:rsidRPr="0076105D">
        <w:rPr>
          <w:rFonts w:ascii="Arial" w:hAnsi="Arial" w:cs="Arial"/>
          <w:sz w:val="22"/>
          <w:szCs w:val="22"/>
          <w:vertAlign w:val="superscript"/>
        </w:rPr>
        <w:t>st</w:t>
      </w:r>
      <w:r w:rsidRPr="0076105D">
        <w:rPr>
          <w:rFonts w:ascii="Arial" w:hAnsi="Arial" w:cs="Arial"/>
          <w:sz w:val="22"/>
          <w:szCs w:val="22"/>
        </w:rPr>
        <w:t xml:space="preserve">), and </w:t>
      </w:r>
      <w:r>
        <w:rPr>
          <w:rFonts w:ascii="Arial" w:hAnsi="Arial" w:cs="Arial"/>
          <w:sz w:val="22"/>
          <w:szCs w:val="22"/>
        </w:rPr>
        <w:t>2% UWL-funded adjustment (paid out July 1</w:t>
      </w:r>
      <w:r w:rsidRPr="00416B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).</w:t>
      </w:r>
    </w:p>
    <w:p w14:paraId="6E4575B2" w14:textId="77777777" w:rsidR="009D0DE5" w:rsidRPr="000E6316" w:rsidRDefault="009D0DE5" w:rsidP="005238FD">
      <w:pPr>
        <w:jc w:val="both"/>
        <w:rPr>
          <w:rFonts w:ascii="Arial" w:hAnsi="Arial" w:cs="Arial"/>
          <w:sz w:val="20"/>
          <w:szCs w:val="20"/>
        </w:rPr>
      </w:pPr>
    </w:p>
    <w:p w14:paraId="49105DE7" w14:textId="77777777" w:rsidR="005238FD" w:rsidRPr="005238FD" w:rsidRDefault="00094006" w:rsidP="005238F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5238FD">
        <w:rPr>
          <w:rFonts w:ascii="Arial" w:hAnsi="Arial" w:cs="Arial"/>
          <w:b/>
          <w:sz w:val="20"/>
          <w:szCs w:val="20"/>
          <w:u w:val="single"/>
        </w:rPr>
        <w:t>Supply and Expense Budgets</w:t>
      </w:r>
    </w:p>
    <w:p w14:paraId="5EB36BB4" w14:textId="77777777" w:rsidR="005238FD" w:rsidRPr="005238FD" w:rsidRDefault="005238FD" w:rsidP="005238FD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14:paraId="0492365F" w14:textId="0805D247" w:rsidR="00094006" w:rsidRPr="005238FD" w:rsidRDefault="00094006" w:rsidP="00B05C7A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5238FD">
        <w:rPr>
          <w:rFonts w:ascii="Arial" w:hAnsi="Arial" w:cs="Arial"/>
          <w:sz w:val="20"/>
          <w:szCs w:val="20"/>
        </w:rPr>
        <w:t>Terminal Banked Leave assessment (ALRA) should be bu</w:t>
      </w:r>
      <w:r w:rsidR="00ED7EFB">
        <w:rPr>
          <w:rFonts w:ascii="Arial" w:hAnsi="Arial" w:cs="Arial"/>
          <w:sz w:val="20"/>
          <w:szCs w:val="20"/>
        </w:rPr>
        <w:t>ilt into all budgets f</w:t>
      </w:r>
      <w:r w:rsidR="00AF4180">
        <w:rPr>
          <w:rFonts w:ascii="Arial" w:hAnsi="Arial" w:cs="Arial"/>
          <w:sz w:val="20"/>
          <w:szCs w:val="20"/>
        </w:rPr>
        <w:t>or 2018-19. This equates to 0.33</w:t>
      </w:r>
      <w:r w:rsidRPr="005238FD">
        <w:rPr>
          <w:rFonts w:ascii="Arial" w:hAnsi="Arial" w:cs="Arial"/>
          <w:sz w:val="20"/>
          <w:szCs w:val="20"/>
        </w:rPr>
        <w:t xml:space="preserve">% of the </w:t>
      </w:r>
      <w:r w:rsidR="00AF4180">
        <w:rPr>
          <w:rFonts w:ascii="Arial" w:hAnsi="Arial" w:cs="Arial"/>
          <w:sz w:val="20"/>
          <w:szCs w:val="20"/>
        </w:rPr>
        <w:t>University Staff salary and 0.43</w:t>
      </w:r>
      <w:r w:rsidRPr="005238FD">
        <w:rPr>
          <w:rFonts w:ascii="Arial" w:hAnsi="Arial" w:cs="Arial"/>
          <w:sz w:val="20"/>
          <w:szCs w:val="20"/>
        </w:rPr>
        <w:t xml:space="preserve">% of the Academic Staff salary in a particular account. </w:t>
      </w:r>
    </w:p>
    <w:p w14:paraId="211F3E13" w14:textId="77777777" w:rsidR="000E6316" w:rsidRPr="000E6316" w:rsidRDefault="000E6316" w:rsidP="00B05C7A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04923660" w14:textId="77777777" w:rsidR="00996814" w:rsidRPr="000E6316" w:rsidRDefault="00094006" w:rsidP="00B05C7A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6316">
        <w:rPr>
          <w:rFonts w:ascii="Arial" w:hAnsi="Arial" w:cs="Arial"/>
          <w:sz w:val="20"/>
          <w:szCs w:val="20"/>
        </w:rPr>
        <w:t xml:space="preserve">Supply and expense budgets should be budgeted by the class code detail and explanations provided for any adjustments from the previous year. </w:t>
      </w:r>
      <w:r w:rsidR="00820730" w:rsidRPr="000E6316">
        <w:rPr>
          <w:rFonts w:ascii="Arial" w:hAnsi="Arial" w:cs="Arial"/>
          <w:sz w:val="20"/>
          <w:szCs w:val="20"/>
        </w:rPr>
        <w:tab/>
      </w:r>
    </w:p>
    <w:p w14:paraId="04923661" w14:textId="038351F5" w:rsidR="00455C44" w:rsidRPr="007607AB" w:rsidRDefault="00455C44" w:rsidP="005238FD">
      <w:pPr>
        <w:ind w:firstLine="45"/>
        <w:rPr>
          <w:rFonts w:ascii="Arial" w:hAnsi="Arial" w:cs="Arial"/>
          <w:sz w:val="18"/>
          <w:szCs w:val="18"/>
        </w:rPr>
      </w:pPr>
    </w:p>
    <w:p w14:paraId="04923665" w14:textId="77777777" w:rsidR="006A4980" w:rsidRPr="008E3287" w:rsidRDefault="006A4980" w:rsidP="006A4980">
      <w:pPr>
        <w:rPr>
          <w:rFonts w:ascii="Arial" w:hAnsi="Arial" w:cs="Arial"/>
          <w:sz w:val="20"/>
          <w:szCs w:val="20"/>
        </w:rPr>
      </w:pPr>
    </w:p>
    <w:sectPr w:rsidR="006A4980" w:rsidRPr="008E3287" w:rsidSect="000E6316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23668" w14:textId="77777777" w:rsidR="00B91EE3" w:rsidRDefault="00B91EE3" w:rsidP="00FE5517">
      <w:r>
        <w:separator/>
      </w:r>
    </w:p>
  </w:endnote>
  <w:endnote w:type="continuationSeparator" w:id="0">
    <w:p w14:paraId="04923669" w14:textId="77777777" w:rsidR="00B91EE3" w:rsidRDefault="00B91EE3" w:rsidP="00FE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3666" w14:textId="77777777" w:rsidR="00B91EE3" w:rsidRDefault="00B91EE3" w:rsidP="00FE5517">
      <w:r>
        <w:separator/>
      </w:r>
    </w:p>
  </w:footnote>
  <w:footnote w:type="continuationSeparator" w:id="0">
    <w:p w14:paraId="04923667" w14:textId="77777777" w:rsidR="00B91EE3" w:rsidRDefault="00B91EE3" w:rsidP="00FE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67F3" w14:textId="0F22916B" w:rsidR="00F925A3" w:rsidRDefault="00F925A3" w:rsidP="000E6316">
    <w:pPr>
      <w:pStyle w:val="Header"/>
      <w:jc w:val="center"/>
    </w:pPr>
  </w:p>
  <w:p w14:paraId="4A0C2961" w14:textId="77777777" w:rsidR="00F925A3" w:rsidRDefault="00F925A3" w:rsidP="000E631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73E0" w14:textId="534917C6" w:rsidR="00F925A3" w:rsidRDefault="00F925A3" w:rsidP="000E6316">
    <w:pPr>
      <w:pStyle w:val="Header"/>
      <w:jc w:val="center"/>
    </w:pPr>
    <w:r>
      <w:rPr>
        <w:noProof/>
      </w:rPr>
      <w:drawing>
        <wp:inline distT="114300" distB="114300" distL="114300" distR="114300" wp14:anchorId="0535BFA6" wp14:editId="7A06005E">
          <wp:extent cx="2686050" cy="447675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21EA10" w14:textId="77777777" w:rsidR="00F925A3" w:rsidRDefault="00F925A3" w:rsidP="000E63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2CC"/>
    <w:multiLevelType w:val="hybridMultilevel"/>
    <w:tmpl w:val="20364264"/>
    <w:lvl w:ilvl="0" w:tplc="49B6308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865FD"/>
    <w:multiLevelType w:val="hybridMultilevel"/>
    <w:tmpl w:val="BEF8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1E6B"/>
    <w:multiLevelType w:val="hybridMultilevel"/>
    <w:tmpl w:val="05BC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7CD"/>
    <w:multiLevelType w:val="hybridMultilevel"/>
    <w:tmpl w:val="AE24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2211F"/>
    <w:multiLevelType w:val="hybridMultilevel"/>
    <w:tmpl w:val="7E68E7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E022D"/>
    <w:multiLevelType w:val="hybridMultilevel"/>
    <w:tmpl w:val="5EEE4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91584A"/>
    <w:multiLevelType w:val="hybridMultilevel"/>
    <w:tmpl w:val="6F687D88"/>
    <w:lvl w:ilvl="0" w:tplc="42A2B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D25E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6D0"/>
    <w:multiLevelType w:val="hybridMultilevel"/>
    <w:tmpl w:val="F0DEF40A"/>
    <w:lvl w:ilvl="0" w:tplc="64383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A7F19"/>
    <w:multiLevelType w:val="hybridMultilevel"/>
    <w:tmpl w:val="44A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1"/>
    <w:rsid w:val="000006ED"/>
    <w:rsid w:val="0001430A"/>
    <w:rsid w:val="0001475D"/>
    <w:rsid w:val="000238FC"/>
    <w:rsid w:val="00041F14"/>
    <w:rsid w:val="000430B7"/>
    <w:rsid w:val="00044BFD"/>
    <w:rsid w:val="000450EA"/>
    <w:rsid w:val="000535E8"/>
    <w:rsid w:val="00057D08"/>
    <w:rsid w:val="0006530F"/>
    <w:rsid w:val="00065DB3"/>
    <w:rsid w:val="0008003E"/>
    <w:rsid w:val="00085222"/>
    <w:rsid w:val="00094006"/>
    <w:rsid w:val="00094275"/>
    <w:rsid w:val="000957A9"/>
    <w:rsid w:val="000A73F9"/>
    <w:rsid w:val="000B0286"/>
    <w:rsid w:val="000B7D65"/>
    <w:rsid w:val="000C1B09"/>
    <w:rsid w:val="000D031B"/>
    <w:rsid w:val="000E6316"/>
    <w:rsid w:val="001036F4"/>
    <w:rsid w:val="00115B40"/>
    <w:rsid w:val="00123635"/>
    <w:rsid w:val="00151140"/>
    <w:rsid w:val="00151278"/>
    <w:rsid w:val="00155874"/>
    <w:rsid w:val="00163E35"/>
    <w:rsid w:val="00163FF3"/>
    <w:rsid w:val="0017627E"/>
    <w:rsid w:val="001812B9"/>
    <w:rsid w:val="00191302"/>
    <w:rsid w:val="001923C4"/>
    <w:rsid w:val="001A0FD0"/>
    <w:rsid w:val="001A53F3"/>
    <w:rsid w:val="001A611F"/>
    <w:rsid w:val="001C095A"/>
    <w:rsid w:val="001C3398"/>
    <w:rsid w:val="001C3E7B"/>
    <w:rsid w:val="001C579D"/>
    <w:rsid w:val="001C728F"/>
    <w:rsid w:val="001D2038"/>
    <w:rsid w:val="001D2DB0"/>
    <w:rsid w:val="001E20E9"/>
    <w:rsid w:val="001E6B31"/>
    <w:rsid w:val="001F69D1"/>
    <w:rsid w:val="00206D59"/>
    <w:rsid w:val="00213946"/>
    <w:rsid w:val="00217971"/>
    <w:rsid w:val="00225021"/>
    <w:rsid w:val="002267B1"/>
    <w:rsid w:val="00227090"/>
    <w:rsid w:val="00234B4C"/>
    <w:rsid w:val="00243A35"/>
    <w:rsid w:val="002465E9"/>
    <w:rsid w:val="00254E13"/>
    <w:rsid w:val="00260D00"/>
    <w:rsid w:val="00263747"/>
    <w:rsid w:val="002646F3"/>
    <w:rsid w:val="00270F9D"/>
    <w:rsid w:val="002765A0"/>
    <w:rsid w:val="0027672B"/>
    <w:rsid w:val="00277E93"/>
    <w:rsid w:val="00285652"/>
    <w:rsid w:val="002B141A"/>
    <w:rsid w:val="002B6DC5"/>
    <w:rsid w:val="002D0D3A"/>
    <w:rsid w:val="002D2D66"/>
    <w:rsid w:val="002D5A97"/>
    <w:rsid w:val="002D6135"/>
    <w:rsid w:val="002F3AA1"/>
    <w:rsid w:val="002F76D8"/>
    <w:rsid w:val="0030225E"/>
    <w:rsid w:val="00307BD2"/>
    <w:rsid w:val="00311D06"/>
    <w:rsid w:val="003263D7"/>
    <w:rsid w:val="00337865"/>
    <w:rsid w:val="00337F9B"/>
    <w:rsid w:val="003478FE"/>
    <w:rsid w:val="003520EA"/>
    <w:rsid w:val="00374D4F"/>
    <w:rsid w:val="00383CB7"/>
    <w:rsid w:val="003A1E90"/>
    <w:rsid w:val="003A2654"/>
    <w:rsid w:val="003B565E"/>
    <w:rsid w:val="003C1286"/>
    <w:rsid w:val="003C523F"/>
    <w:rsid w:val="003D1F1E"/>
    <w:rsid w:val="003D625D"/>
    <w:rsid w:val="003F0839"/>
    <w:rsid w:val="003F0EC0"/>
    <w:rsid w:val="003F47EB"/>
    <w:rsid w:val="003F4E70"/>
    <w:rsid w:val="00401DC6"/>
    <w:rsid w:val="00402BB5"/>
    <w:rsid w:val="004055CB"/>
    <w:rsid w:val="0040676D"/>
    <w:rsid w:val="004109BF"/>
    <w:rsid w:val="004111F4"/>
    <w:rsid w:val="0041157F"/>
    <w:rsid w:val="00414BEE"/>
    <w:rsid w:val="00416E40"/>
    <w:rsid w:val="0042573A"/>
    <w:rsid w:val="00430F1A"/>
    <w:rsid w:val="00435167"/>
    <w:rsid w:val="004354D6"/>
    <w:rsid w:val="004530C5"/>
    <w:rsid w:val="004542B4"/>
    <w:rsid w:val="00455C44"/>
    <w:rsid w:val="0046710D"/>
    <w:rsid w:val="00477E0C"/>
    <w:rsid w:val="00483F4A"/>
    <w:rsid w:val="0049519D"/>
    <w:rsid w:val="00496D50"/>
    <w:rsid w:val="00497325"/>
    <w:rsid w:val="004A4BF7"/>
    <w:rsid w:val="004B1E94"/>
    <w:rsid w:val="004B48EE"/>
    <w:rsid w:val="004B52FF"/>
    <w:rsid w:val="004B56D1"/>
    <w:rsid w:val="004C1612"/>
    <w:rsid w:val="004C718E"/>
    <w:rsid w:val="004D674F"/>
    <w:rsid w:val="004E1AB4"/>
    <w:rsid w:val="004E1CC3"/>
    <w:rsid w:val="004F3B21"/>
    <w:rsid w:val="004F562F"/>
    <w:rsid w:val="0050298E"/>
    <w:rsid w:val="00505AD6"/>
    <w:rsid w:val="00512F55"/>
    <w:rsid w:val="005174B5"/>
    <w:rsid w:val="005238FD"/>
    <w:rsid w:val="00525868"/>
    <w:rsid w:val="005271F3"/>
    <w:rsid w:val="00531998"/>
    <w:rsid w:val="00535C07"/>
    <w:rsid w:val="0053796E"/>
    <w:rsid w:val="00537B8D"/>
    <w:rsid w:val="00544323"/>
    <w:rsid w:val="005461E9"/>
    <w:rsid w:val="00546845"/>
    <w:rsid w:val="0055590C"/>
    <w:rsid w:val="00562A01"/>
    <w:rsid w:val="0056618D"/>
    <w:rsid w:val="00570385"/>
    <w:rsid w:val="005749F2"/>
    <w:rsid w:val="00574DF0"/>
    <w:rsid w:val="005859F7"/>
    <w:rsid w:val="005936F5"/>
    <w:rsid w:val="005A36CC"/>
    <w:rsid w:val="005B40B1"/>
    <w:rsid w:val="005B483E"/>
    <w:rsid w:val="005C0B56"/>
    <w:rsid w:val="005C138B"/>
    <w:rsid w:val="005E554A"/>
    <w:rsid w:val="005E7E4B"/>
    <w:rsid w:val="005F0AB8"/>
    <w:rsid w:val="005F0DC5"/>
    <w:rsid w:val="005F1638"/>
    <w:rsid w:val="0060276B"/>
    <w:rsid w:val="00603A25"/>
    <w:rsid w:val="00626149"/>
    <w:rsid w:val="00630CAD"/>
    <w:rsid w:val="0063195E"/>
    <w:rsid w:val="0063683E"/>
    <w:rsid w:val="006448A0"/>
    <w:rsid w:val="00646810"/>
    <w:rsid w:val="00653579"/>
    <w:rsid w:val="00654261"/>
    <w:rsid w:val="00660D7B"/>
    <w:rsid w:val="00663ECB"/>
    <w:rsid w:val="00667788"/>
    <w:rsid w:val="006723B2"/>
    <w:rsid w:val="00677CAB"/>
    <w:rsid w:val="0068697F"/>
    <w:rsid w:val="006A4980"/>
    <w:rsid w:val="006A651E"/>
    <w:rsid w:val="006A71FE"/>
    <w:rsid w:val="006B5C90"/>
    <w:rsid w:val="006C2718"/>
    <w:rsid w:val="006D575C"/>
    <w:rsid w:val="006E5F07"/>
    <w:rsid w:val="006F4125"/>
    <w:rsid w:val="006F4879"/>
    <w:rsid w:val="006F7F84"/>
    <w:rsid w:val="00715FDB"/>
    <w:rsid w:val="007170EA"/>
    <w:rsid w:val="007215E3"/>
    <w:rsid w:val="007376B2"/>
    <w:rsid w:val="00747384"/>
    <w:rsid w:val="00750827"/>
    <w:rsid w:val="007607AB"/>
    <w:rsid w:val="0076095C"/>
    <w:rsid w:val="007628F3"/>
    <w:rsid w:val="00762D66"/>
    <w:rsid w:val="0077206A"/>
    <w:rsid w:val="00773A61"/>
    <w:rsid w:val="00791BD2"/>
    <w:rsid w:val="007964F8"/>
    <w:rsid w:val="007B4997"/>
    <w:rsid w:val="007B5354"/>
    <w:rsid w:val="007B7131"/>
    <w:rsid w:val="007C23BF"/>
    <w:rsid w:val="007C2F20"/>
    <w:rsid w:val="007C3B0C"/>
    <w:rsid w:val="007C6041"/>
    <w:rsid w:val="007D733F"/>
    <w:rsid w:val="007D73AB"/>
    <w:rsid w:val="007E137C"/>
    <w:rsid w:val="008160F8"/>
    <w:rsid w:val="00820730"/>
    <w:rsid w:val="00821ED8"/>
    <w:rsid w:val="008310E4"/>
    <w:rsid w:val="00834690"/>
    <w:rsid w:val="00843368"/>
    <w:rsid w:val="00862B5E"/>
    <w:rsid w:val="00870D3A"/>
    <w:rsid w:val="00873866"/>
    <w:rsid w:val="00875158"/>
    <w:rsid w:val="00877C7F"/>
    <w:rsid w:val="00880000"/>
    <w:rsid w:val="0088098C"/>
    <w:rsid w:val="00892797"/>
    <w:rsid w:val="008964DD"/>
    <w:rsid w:val="008D0C77"/>
    <w:rsid w:val="008D0F5D"/>
    <w:rsid w:val="008D4242"/>
    <w:rsid w:val="008D65FC"/>
    <w:rsid w:val="008E1DBA"/>
    <w:rsid w:val="008E3287"/>
    <w:rsid w:val="00904B30"/>
    <w:rsid w:val="009060A4"/>
    <w:rsid w:val="00911A76"/>
    <w:rsid w:val="00912988"/>
    <w:rsid w:val="00916884"/>
    <w:rsid w:val="00916C13"/>
    <w:rsid w:val="009272AE"/>
    <w:rsid w:val="0093176E"/>
    <w:rsid w:val="00931CAF"/>
    <w:rsid w:val="00934A9C"/>
    <w:rsid w:val="00937EE4"/>
    <w:rsid w:val="0094686A"/>
    <w:rsid w:val="00952043"/>
    <w:rsid w:val="0095259D"/>
    <w:rsid w:val="009527BC"/>
    <w:rsid w:val="00964F22"/>
    <w:rsid w:val="0097110D"/>
    <w:rsid w:val="00975ABE"/>
    <w:rsid w:val="00977051"/>
    <w:rsid w:val="009804A8"/>
    <w:rsid w:val="009831C1"/>
    <w:rsid w:val="00996814"/>
    <w:rsid w:val="009A15CB"/>
    <w:rsid w:val="009A3EF8"/>
    <w:rsid w:val="009B28AA"/>
    <w:rsid w:val="009C6320"/>
    <w:rsid w:val="009D0DE5"/>
    <w:rsid w:val="009E0320"/>
    <w:rsid w:val="009E2930"/>
    <w:rsid w:val="009F17B1"/>
    <w:rsid w:val="009F23BD"/>
    <w:rsid w:val="009F6CC4"/>
    <w:rsid w:val="00A01FF3"/>
    <w:rsid w:val="00A05C2D"/>
    <w:rsid w:val="00A10443"/>
    <w:rsid w:val="00A339D0"/>
    <w:rsid w:val="00A35DF5"/>
    <w:rsid w:val="00A4664D"/>
    <w:rsid w:val="00A47225"/>
    <w:rsid w:val="00A502A2"/>
    <w:rsid w:val="00A51824"/>
    <w:rsid w:val="00A56F78"/>
    <w:rsid w:val="00A7242D"/>
    <w:rsid w:val="00A75E21"/>
    <w:rsid w:val="00A77EC1"/>
    <w:rsid w:val="00A85F27"/>
    <w:rsid w:val="00A96195"/>
    <w:rsid w:val="00A9688C"/>
    <w:rsid w:val="00A97CDC"/>
    <w:rsid w:val="00AC2C31"/>
    <w:rsid w:val="00AD73E8"/>
    <w:rsid w:val="00AD7428"/>
    <w:rsid w:val="00AE17E1"/>
    <w:rsid w:val="00AE5D3A"/>
    <w:rsid w:val="00AF329F"/>
    <w:rsid w:val="00AF4180"/>
    <w:rsid w:val="00AF776B"/>
    <w:rsid w:val="00B01634"/>
    <w:rsid w:val="00B05C7A"/>
    <w:rsid w:val="00B1287D"/>
    <w:rsid w:val="00B14219"/>
    <w:rsid w:val="00B329F9"/>
    <w:rsid w:val="00B3329E"/>
    <w:rsid w:val="00B3697F"/>
    <w:rsid w:val="00B5074E"/>
    <w:rsid w:val="00B5265F"/>
    <w:rsid w:val="00B635EE"/>
    <w:rsid w:val="00B64475"/>
    <w:rsid w:val="00B7054D"/>
    <w:rsid w:val="00B71023"/>
    <w:rsid w:val="00B75013"/>
    <w:rsid w:val="00B75940"/>
    <w:rsid w:val="00B8155F"/>
    <w:rsid w:val="00B81B65"/>
    <w:rsid w:val="00B85D7A"/>
    <w:rsid w:val="00B91EE3"/>
    <w:rsid w:val="00B95032"/>
    <w:rsid w:val="00BA019B"/>
    <w:rsid w:val="00BB5CC1"/>
    <w:rsid w:val="00BC26BD"/>
    <w:rsid w:val="00BC74F9"/>
    <w:rsid w:val="00BD0C9A"/>
    <w:rsid w:val="00BD7DD3"/>
    <w:rsid w:val="00BE3191"/>
    <w:rsid w:val="00BE3CE8"/>
    <w:rsid w:val="00BF3464"/>
    <w:rsid w:val="00BF7266"/>
    <w:rsid w:val="00C0486D"/>
    <w:rsid w:val="00C04A0C"/>
    <w:rsid w:val="00C060EE"/>
    <w:rsid w:val="00C071B5"/>
    <w:rsid w:val="00C10B9C"/>
    <w:rsid w:val="00C133C3"/>
    <w:rsid w:val="00C1659F"/>
    <w:rsid w:val="00C217D9"/>
    <w:rsid w:val="00C31F34"/>
    <w:rsid w:val="00C34DCC"/>
    <w:rsid w:val="00C36045"/>
    <w:rsid w:val="00C4351E"/>
    <w:rsid w:val="00C435F6"/>
    <w:rsid w:val="00C64D29"/>
    <w:rsid w:val="00C663FF"/>
    <w:rsid w:val="00C67A89"/>
    <w:rsid w:val="00C758CA"/>
    <w:rsid w:val="00C7754A"/>
    <w:rsid w:val="00C777F1"/>
    <w:rsid w:val="00C80C4B"/>
    <w:rsid w:val="00C917CE"/>
    <w:rsid w:val="00C926FF"/>
    <w:rsid w:val="00C93D8F"/>
    <w:rsid w:val="00C93DA2"/>
    <w:rsid w:val="00CA0D94"/>
    <w:rsid w:val="00CA2BF0"/>
    <w:rsid w:val="00CA35B0"/>
    <w:rsid w:val="00CA396F"/>
    <w:rsid w:val="00CA704D"/>
    <w:rsid w:val="00CB2388"/>
    <w:rsid w:val="00CB6BBC"/>
    <w:rsid w:val="00CD15F2"/>
    <w:rsid w:val="00CD36BC"/>
    <w:rsid w:val="00CD718A"/>
    <w:rsid w:val="00CF1256"/>
    <w:rsid w:val="00CF3D21"/>
    <w:rsid w:val="00CF7ACE"/>
    <w:rsid w:val="00D0502F"/>
    <w:rsid w:val="00D063E7"/>
    <w:rsid w:val="00D10E96"/>
    <w:rsid w:val="00D13937"/>
    <w:rsid w:val="00D15677"/>
    <w:rsid w:val="00D16D80"/>
    <w:rsid w:val="00D17584"/>
    <w:rsid w:val="00D20027"/>
    <w:rsid w:val="00D20CDE"/>
    <w:rsid w:val="00D324F9"/>
    <w:rsid w:val="00D32FE2"/>
    <w:rsid w:val="00D40124"/>
    <w:rsid w:val="00D40E4C"/>
    <w:rsid w:val="00D51C08"/>
    <w:rsid w:val="00D61E33"/>
    <w:rsid w:val="00D63212"/>
    <w:rsid w:val="00D63BF6"/>
    <w:rsid w:val="00D67921"/>
    <w:rsid w:val="00D73BAD"/>
    <w:rsid w:val="00D75F23"/>
    <w:rsid w:val="00D77702"/>
    <w:rsid w:val="00D91A95"/>
    <w:rsid w:val="00D97106"/>
    <w:rsid w:val="00D97134"/>
    <w:rsid w:val="00D97705"/>
    <w:rsid w:val="00D97B98"/>
    <w:rsid w:val="00DB0660"/>
    <w:rsid w:val="00DB79BC"/>
    <w:rsid w:val="00DD2176"/>
    <w:rsid w:val="00DD7955"/>
    <w:rsid w:val="00DE6A12"/>
    <w:rsid w:val="00E041E3"/>
    <w:rsid w:val="00E042B1"/>
    <w:rsid w:val="00E2760A"/>
    <w:rsid w:val="00E314C0"/>
    <w:rsid w:val="00E32B4A"/>
    <w:rsid w:val="00E337C4"/>
    <w:rsid w:val="00E44126"/>
    <w:rsid w:val="00E46AD0"/>
    <w:rsid w:val="00E55175"/>
    <w:rsid w:val="00E57C3F"/>
    <w:rsid w:val="00E60BDC"/>
    <w:rsid w:val="00E75C10"/>
    <w:rsid w:val="00E77C8B"/>
    <w:rsid w:val="00E87D59"/>
    <w:rsid w:val="00E91F0B"/>
    <w:rsid w:val="00E93831"/>
    <w:rsid w:val="00E943D6"/>
    <w:rsid w:val="00EA34DA"/>
    <w:rsid w:val="00EA6D24"/>
    <w:rsid w:val="00EC1F8E"/>
    <w:rsid w:val="00EC5F3F"/>
    <w:rsid w:val="00ED2950"/>
    <w:rsid w:val="00ED7BC1"/>
    <w:rsid w:val="00ED7EFB"/>
    <w:rsid w:val="00EE1F3E"/>
    <w:rsid w:val="00EE20AD"/>
    <w:rsid w:val="00EE6119"/>
    <w:rsid w:val="00F1628F"/>
    <w:rsid w:val="00F20B2D"/>
    <w:rsid w:val="00F223F9"/>
    <w:rsid w:val="00F25E08"/>
    <w:rsid w:val="00F32D38"/>
    <w:rsid w:val="00F3393A"/>
    <w:rsid w:val="00F40B91"/>
    <w:rsid w:val="00F462D8"/>
    <w:rsid w:val="00F46FF1"/>
    <w:rsid w:val="00F6027D"/>
    <w:rsid w:val="00F6470F"/>
    <w:rsid w:val="00F8154A"/>
    <w:rsid w:val="00F835D4"/>
    <w:rsid w:val="00F90484"/>
    <w:rsid w:val="00F920C4"/>
    <w:rsid w:val="00F925A3"/>
    <w:rsid w:val="00F97037"/>
    <w:rsid w:val="00FA3505"/>
    <w:rsid w:val="00FA6900"/>
    <w:rsid w:val="00FB0DBF"/>
    <w:rsid w:val="00FB41AD"/>
    <w:rsid w:val="00FC7075"/>
    <w:rsid w:val="00FE4486"/>
    <w:rsid w:val="00FE5517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23633"/>
  <w15:docId w15:val="{D63AE737-9D75-4242-B4ED-AAC3C0B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1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FE55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E551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E551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2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6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53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5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5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7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5ea28995-8b9e-4f64-9914-9bc46bbb117a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TaxKeywordTaxHTField xmlns="5ea28995-8b9e-4f64-9914-9bc46bbb117a">
      <Terms xmlns="http://schemas.microsoft.com/office/infopath/2007/PartnerControls"/>
    </TaxKeywordTaxHTField>
    <_dlc_DocId xmlns="5ea28995-8b9e-4f64-9914-9bc46bbb117a">BUDGET-18609323-19510</_dlc_DocId>
    <_dlc_DocIdUrl xmlns="5ea28995-8b9e-4f64-9914-9bc46bbb117a">
      <Url>https://uwlax.sharepoint.com/sites/budget-office/_layouts/15/DocIdRedir.aspx?ID=BUDGET-18609323-19510</Url>
      <Description>BUDGET-18609323-19510</Description>
    </_dlc_DocIdUrl>
    <SharedWithUsers xmlns="5ea28995-8b9e-4f64-9914-9bc46bbb117a">
      <UserInfo>
        <DisplayName>Mark Haakenson</DisplayName>
        <AccountId>13</AccountId>
        <AccountType/>
      </UserInfo>
      <UserInfo>
        <DisplayName>Chandra Hawkins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610E39D96C344A4903BDB47513A1B" ma:contentTypeVersion="20" ma:contentTypeDescription="Create a new document." ma:contentTypeScope="" ma:versionID="fcee9ed548107c3e4e351c1a10aca02b">
  <xsd:schema xmlns:xsd="http://www.w3.org/2001/XMLSchema" xmlns:xs="http://www.w3.org/2001/XMLSchema" xmlns:p="http://schemas.microsoft.com/office/2006/metadata/properties" xmlns:ns1="http://schemas.microsoft.com/sharepoint/v3" xmlns:ns2="5ea28995-8b9e-4f64-9914-9bc46bbb117a" xmlns:ns3="http://schemas.microsoft.com/sharepoint/v4" xmlns:ns4="70223cc4-264a-4955-842e-0e6de6a0d905" targetNamespace="http://schemas.microsoft.com/office/2006/metadata/properties" ma:root="true" ma:fieldsID="4eaa758ece4f611cdd308fc3ff989406" ns1:_="" ns2:_="" ns3:_="" ns4:_="">
    <xsd:import namespace="http://schemas.microsoft.com/sharepoint/v3"/>
    <xsd:import namespace="5ea28995-8b9e-4f64-9914-9bc46bbb117a"/>
    <xsd:import namespace="http://schemas.microsoft.com/sharepoint/v4"/>
    <xsd:import namespace="70223cc4-264a-4955-842e-0e6de6a0d9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8995-8b9e-4f64-9914-9bc46bbb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74f3122-44b1-41ea-91ad-831baa7c83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632ed90c-f00c-4295-88f4-47d234c099f6}" ma:internalName="TaxCatchAll" ma:showField="CatchAllData" ma:web="5ea28995-8b9e-4f64-9914-9bc46bbb1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3cc4-264a-4955-842e-0e6de6a0d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A5D1E-9707-471C-B136-3760A3EA5233}">
  <ds:schemaRefs>
    <ds:schemaRef ds:uri="http://purl.org/dc/elements/1.1/"/>
    <ds:schemaRef ds:uri="5ea28995-8b9e-4f64-9914-9bc46bbb117a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70223cc4-264a-4955-842e-0e6de6a0d905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A15CE0-8E0F-48F3-B551-9E4A706D3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a28995-8b9e-4f64-9914-9bc46bbb117a"/>
    <ds:schemaRef ds:uri="http://schemas.microsoft.com/sharepoint/v4"/>
    <ds:schemaRef ds:uri="70223cc4-264a-4955-842e-0e6de6a0d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A0CD0-4C37-4436-A4E1-3F98213292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08BAB4-5158-42D2-A614-3E2B226C1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Wisconsin-La Crosse</vt:lpstr>
    </vt:vector>
  </TitlesOfParts>
  <Company>UW System Administration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Wisconsin-La Crosse</dc:title>
  <dc:creator>Renee</dc:creator>
  <cp:keywords/>
  <cp:lastModifiedBy>Kristin Stanley</cp:lastModifiedBy>
  <cp:revision>2</cp:revision>
  <cp:lastPrinted>2016-09-13T00:58:00Z</cp:lastPrinted>
  <dcterms:created xsi:type="dcterms:W3CDTF">2018-01-04T16:17:00Z</dcterms:created>
  <dcterms:modified xsi:type="dcterms:W3CDTF">2018-01-04T16:17:00Z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0x0101007FE610E39D96C344A4903BDB47513A1B</vt:lpwstr>
  </property>
  <property fmtid="{D5CDD505-2E9C-101B-9397-08002B2CF9AE}" pid="3" name="_dlc_DocIdItemGuid">
    <vt:lpwstr>a3605c2b-dcb4-46f4-8187-81ddb4cf0332</vt:lpwstr>
  </property>
  <property fmtid="{D5CDD505-2E9C-101B-9397-08002B2CF9AE}" pid="4" name="TaxKeyword">
    <vt:lpwstr/>
  </property>
</Properties>
</file>