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23633" w14:textId="77777777" w:rsidR="00820730" w:rsidRPr="003501A6" w:rsidRDefault="00820730" w:rsidP="007B7131">
      <w:pPr>
        <w:jc w:val="center"/>
        <w:rPr>
          <w:rFonts w:ascii="Arial" w:hAnsi="Arial" w:cs="Arial"/>
          <w:b/>
          <w:sz w:val="22"/>
          <w:szCs w:val="22"/>
        </w:rPr>
      </w:pPr>
      <w:r w:rsidRPr="003501A6">
        <w:rPr>
          <w:rFonts w:ascii="Arial" w:hAnsi="Arial" w:cs="Arial"/>
          <w:b/>
          <w:sz w:val="22"/>
          <w:szCs w:val="22"/>
        </w:rPr>
        <w:t>University of Wisconsin-La Crosse</w:t>
      </w:r>
    </w:p>
    <w:p w14:paraId="04923634" w14:textId="77777777" w:rsidR="00820730" w:rsidRPr="003501A6" w:rsidRDefault="00E55175" w:rsidP="00531998">
      <w:pPr>
        <w:jc w:val="center"/>
        <w:rPr>
          <w:rFonts w:ascii="Arial" w:hAnsi="Arial" w:cs="Arial"/>
          <w:b/>
          <w:sz w:val="22"/>
          <w:szCs w:val="22"/>
        </w:rPr>
      </w:pPr>
      <w:r w:rsidRPr="003501A6">
        <w:rPr>
          <w:rFonts w:ascii="Arial" w:hAnsi="Arial" w:cs="Arial"/>
          <w:b/>
          <w:sz w:val="22"/>
          <w:szCs w:val="22"/>
        </w:rPr>
        <w:t>Budget Office</w:t>
      </w:r>
    </w:p>
    <w:p w14:paraId="04923635" w14:textId="0A8B2094" w:rsidR="00820730" w:rsidRPr="003501A6" w:rsidRDefault="00C91AAC" w:rsidP="005E554A">
      <w:pPr>
        <w:jc w:val="center"/>
        <w:rPr>
          <w:rFonts w:ascii="Arial" w:hAnsi="Arial" w:cs="Arial"/>
          <w:b/>
          <w:sz w:val="22"/>
          <w:szCs w:val="22"/>
        </w:rPr>
      </w:pPr>
      <w:r w:rsidRPr="003501A6">
        <w:rPr>
          <w:rFonts w:ascii="Arial" w:hAnsi="Arial" w:cs="Arial"/>
          <w:b/>
          <w:sz w:val="22"/>
          <w:szCs w:val="22"/>
        </w:rPr>
        <w:t>GPR</w:t>
      </w:r>
      <w:r w:rsidR="00820730" w:rsidRPr="003501A6">
        <w:rPr>
          <w:rFonts w:ascii="Arial" w:hAnsi="Arial" w:cs="Arial"/>
          <w:b/>
          <w:sz w:val="22"/>
          <w:szCs w:val="22"/>
        </w:rPr>
        <w:t xml:space="preserve"> Budget Planning Assumptions</w:t>
      </w:r>
    </w:p>
    <w:p w14:paraId="04923636" w14:textId="5AF5F8F1" w:rsidR="007E137C" w:rsidRPr="003501A6" w:rsidRDefault="00820730" w:rsidP="007E137C">
      <w:pPr>
        <w:jc w:val="center"/>
        <w:rPr>
          <w:rFonts w:ascii="Arial" w:hAnsi="Arial" w:cs="Arial"/>
          <w:b/>
          <w:sz w:val="22"/>
          <w:szCs w:val="22"/>
        </w:rPr>
      </w:pPr>
      <w:r w:rsidRPr="003501A6">
        <w:rPr>
          <w:rFonts w:ascii="Arial" w:hAnsi="Arial" w:cs="Arial"/>
          <w:b/>
          <w:sz w:val="22"/>
          <w:szCs w:val="22"/>
        </w:rPr>
        <w:t xml:space="preserve">Fiscal Year </w:t>
      </w:r>
      <w:r w:rsidR="00C0727E" w:rsidRPr="003501A6">
        <w:rPr>
          <w:rFonts w:ascii="Arial" w:hAnsi="Arial" w:cs="Arial"/>
          <w:b/>
          <w:sz w:val="22"/>
          <w:szCs w:val="22"/>
        </w:rPr>
        <w:t>202</w:t>
      </w:r>
      <w:r w:rsidR="003D1382" w:rsidRPr="003501A6">
        <w:rPr>
          <w:rFonts w:ascii="Arial" w:hAnsi="Arial" w:cs="Arial"/>
          <w:b/>
          <w:sz w:val="22"/>
          <w:szCs w:val="22"/>
        </w:rPr>
        <w:t>4-25</w:t>
      </w:r>
    </w:p>
    <w:p w14:paraId="04923637" w14:textId="77777777" w:rsidR="00820730" w:rsidRPr="003501A6" w:rsidRDefault="00820730" w:rsidP="00531998">
      <w:pPr>
        <w:rPr>
          <w:rFonts w:ascii="Arial" w:hAnsi="Arial" w:cs="Arial"/>
          <w:b/>
          <w:sz w:val="22"/>
          <w:szCs w:val="22"/>
        </w:rPr>
      </w:pPr>
    </w:p>
    <w:p w14:paraId="22D86E05" w14:textId="34746A03" w:rsidR="00FF2039" w:rsidRPr="003501A6" w:rsidRDefault="00820730" w:rsidP="00F925A3">
      <w:pPr>
        <w:ind w:left="360"/>
        <w:jc w:val="both"/>
        <w:rPr>
          <w:rFonts w:ascii="Arial" w:hAnsi="Arial" w:cs="Arial"/>
          <w:b/>
          <w:sz w:val="22"/>
          <w:szCs w:val="22"/>
        </w:rPr>
      </w:pPr>
      <w:r w:rsidRPr="003501A6">
        <w:rPr>
          <w:rFonts w:ascii="Arial" w:hAnsi="Arial" w:cs="Arial"/>
          <w:b/>
          <w:sz w:val="22"/>
          <w:szCs w:val="22"/>
        </w:rPr>
        <w:t xml:space="preserve">The following budget planning assumptions are to be used to complete the </w:t>
      </w:r>
      <w:r w:rsidR="00C0727E" w:rsidRPr="003501A6">
        <w:rPr>
          <w:rFonts w:ascii="Arial" w:hAnsi="Arial" w:cs="Arial"/>
          <w:b/>
          <w:sz w:val="22"/>
          <w:szCs w:val="22"/>
        </w:rPr>
        <w:t>FY202</w:t>
      </w:r>
      <w:r w:rsidR="003D1382" w:rsidRPr="003501A6">
        <w:rPr>
          <w:rFonts w:ascii="Arial" w:hAnsi="Arial" w:cs="Arial"/>
          <w:b/>
          <w:sz w:val="22"/>
          <w:szCs w:val="22"/>
        </w:rPr>
        <w:t>4-25</w:t>
      </w:r>
      <w:r w:rsidR="007E137C" w:rsidRPr="003501A6">
        <w:rPr>
          <w:rFonts w:ascii="Arial" w:hAnsi="Arial" w:cs="Arial"/>
          <w:b/>
          <w:sz w:val="22"/>
          <w:szCs w:val="22"/>
        </w:rPr>
        <w:t xml:space="preserve"> </w:t>
      </w:r>
      <w:r w:rsidRPr="003501A6">
        <w:rPr>
          <w:rFonts w:ascii="Arial" w:hAnsi="Arial" w:cs="Arial"/>
          <w:b/>
          <w:sz w:val="22"/>
          <w:szCs w:val="22"/>
        </w:rPr>
        <w:t xml:space="preserve">budget.  These assumptions will be updated as more information becomes available from UW </w:t>
      </w:r>
      <w:r w:rsidR="00F62F53" w:rsidRPr="003501A6">
        <w:rPr>
          <w:rFonts w:ascii="Arial" w:hAnsi="Arial" w:cs="Arial"/>
          <w:b/>
          <w:sz w:val="22"/>
          <w:szCs w:val="22"/>
        </w:rPr>
        <w:t xml:space="preserve">Office of </w:t>
      </w:r>
      <w:r w:rsidRPr="003501A6">
        <w:rPr>
          <w:rFonts w:ascii="Arial" w:hAnsi="Arial" w:cs="Arial"/>
          <w:b/>
          <w:sz w:val="22"/>
          <w:szCs w:val="22"/>
        </w:rPr>
        <w:t xml:space="preserve">Budget Planning, UW-La Crosse campus cost centers, and the State of Wisconsin. </w:t>
      </w:r>
    </w:p>
    <w:p w14:paraId="28087333" w14:textId="77777777" w:rsidR="00FF2039" w:rsidRPr="003501A6" w:rsidRDefault="00FF2039" w:rsidP="00F925A3">
      <w:pPr>
        <w:ind w:left="360"/>
        <w:jc w:val="both"/>
        <w:rPr>
          <w:rFonts w:ascii="Arial" w:hAnsi="Arial" w:cs="Arial"/>
          <w:b/>
          <w:sz w:val="22"/>
          <w:szCs w:val="22"/>
        </w:rPr>
      </w:pPr>
    </w:p>
    <w:p w14:paraId="343F08C3" w14:textId="0428E771" w:rsidR="006147A7" w:rsidRPr="003501A6" w:rsidRDefault="006147A7" w:rsidP="00A4137A">
      <w:pPr>
        <w:pStyle w:val="ListParagraph"/>
        <w:numPr>
          <w:ilvl w:val="0"/>
          <w:numId w:val="7"/>
        </w:numPr>
        <w:jc w:val="both"/>
        <w:rPr>
          <w:rFonts w:ascii="Arial" w:hAnsi="Arial" w:cs="Arial"/>
          <w:b/>
          <w:sz w:val="22"/>
          <w:szCs w:val="22"/>
        </w:rPr>
      </w:pPr>
      <w:r w:rsidRPr="003501A6">
        <w:rPr>
          <w:rFonts w:ascii="Arial" w:hAnsi="Arial" w:cs="Arial"/>
          <w:b/>
          <w:sz w:val="22"/>
          <w:szCs w:val="22"/>
        </w:rPr>
        <w:t>GPR Budget Deadlines</w:t>
      </w:r>
    </w:p>
    <w:p w14:paraId="4131B1B7" w14:textId="77777777" w:rsidR="006147A7" w:rsidRPr="003501A6" w:rsidRDefault="00FF2039" w:rsidP="00FF2039">
      <w:pPr>
        <w:pStyle w:val="ListParagraph"/>
        <w:numPr>
          <w:ilvl w:val="1"/>
          <w:numId w:val="7"/>
        </w:numPr>
        <w:jc w:val="both"/>
        <w:rPr>
          <w:rFonts w:ascii="Arial" w:hAnsi="Arial" w:cs="Arial"/>
          <w:sz w:val="22"/>
          <w:szCs w:val="22"/>
        </w:rPr>
      </w:pPr>
      <w:r w:rsidRPr="003501A6">
        <w:rPr>
          <w:rFonts w:ascii="Arial" w:hAnsi="Arial" w:cs="Arial"/>
          <w:sz w:val="22"/>
          <w:szCs w:val="22"/>
        </w:rPr>
        <w:t>Colleges Only:</w:t>
      </w:r>
      <w:r w:rsidR="006147A7" w:rsidRPr="003501A6">
        <w:rPr>
          <w:rFonts w:ascii="Arial" w:hAnsi="Arial" w:cs="Arial"/>
          <w:sz w:val="22"/>
          <w:szCs w:val="22"/>
        </w:rPr>
        <w:t xml:space="preserve"> </w:t>
      </w:r>
    </w:p>
    <w:p w14:paraId="3A31EB7D" w14:textId="1DABEC85" w:rsidR="00FF2039" w:rsidRPr="003501A6" w:rsidRDefault="006147A7" w:rsidP="006147A7">
      <w:pPr>
        <w:pStyle w:val="ListParagraph"/>
        <w:numPr>
          <w:ilvl w:val="2"/>
          <w:numId w:val="7"/>
        </w:numPr>
        <w:jc w:val="both"/>
        <w:rPr>
          <w:rFonts w:ascii="Arial" w:hAnsi="Arial" w:cs="Arial"/>
          <w:sz w:val="22"/>
          <w:szCs w:val="22"/>
        </w:rPr>
      </w:pPr>
      <w:r w:rsidRPr="003501A6">
        <w:rPr>
          <w:rFonts w:ascii="Arial" w:hAnsi="Arial" w:cs="Arial"/>
          <w:sz w:val="22"/>
          <w:szCs w:val="22"/>
        </w:rPr>
        <w:t xml:space="preserve">Deans should plan to request the target replacement salary for known vacated (retirement or resignation) positions during the budget development process (prior to </w:t>
      </w:r>
      <w:r w:rsidR="00C768BF" w:rsidRPr="003501A6">
        <w:rPr>
          <w:rFonts w:ascii="Arial" w:hAnsi="Arial" w:cs="Arial"/>
          <w:sz w:val="22"/>
          <w:szCs w:val="22"/>
        </w:rPr>
        <w:t>March</w:t>
      </w:r>
      <w:r w:rsidRPr="003501A6">
        <w:rPr>
          <w:rFonts w:ascii="Arial" w:hAnsi="Arial" w:cs="Arial"/>
          <w:sz w:val="22"/>
          <w:szCs w:val="22"/>
        </w:rPr>
        <w:t xml:space="preserve"> 1</w:t>
      </w:r>
      <w:r w:rsidRPr="003501A6">
        <w:rPr>
          <w:rFonts w:ascii="Arial" w:hAnsi="Arial" w:cs="Arial"/>
          <w:sz w:val="22"/>
          <w:szCs w:val="22"/>
          <w:vertAlign w:val="superscript"/>
        </w:rPr>
        <w:t>st</w:t>
      </w:r>
      <w:r w:rsidRPr="003501A6">
        <w:rPr>
          <w:rFonts w:ascii="Arial" w:hAnsi="Arial" w:cs="Arial"/>
          <w:sz w:val="22"/>
          <w:szCs w:val="22"/>
        </w:rPr>
        <w:t>) so the newly approved sal</w:t>
      </w:r>
      <w:r w:rsidR="005248B3" w:rsidRPr="003501A6">
        <w:rPr>
          <w:rFonts w:ascii="Arial" w:hAnsi="Arial" w:cs="Arial"/>
          <w:sz w:val="22"/>
          <w:szCs w:val="22"/>
        </w:rPr>
        <w:t>ary can be re</w:t>
      </w:r>
      <w:r w:rsidR="00C0727E" w:rsidRPr="003501A6">
        <w:rPr>
          <w:rFonts w:ascii="Arial" w:hAnsi="Arial" w:cs="Arial"/>
          <w:sz w:val="22"/>
          <w:szCs w:val="22"/>
        </w:rPr>
        <w:t>flected in the FY2</w:t>
      </w:r>
      <w:r w:rsidR="003D1382" w:rsidRPr="003501A6">
        <w:rPr>
          <w:rFonts w:ascii="Arial" w:hAnsi="Arial" w:cs="Arial"/>
          <w:sz w:val="22"/>
          <w:szCs w:val="22"/>
        </w:rPr>
        <w:t>5</w:t>
      </w:r>
      <w:r w:rsidRPr="003501A6">
        <w:rPr>
          <w:rFonts w:ascii="Arial" w:hAnsi="Arial" w:cs="Arial"/>
          <w:sz w:val="22"/>
          <w:szCs w:val="22"/>
        </w:rPr>
        <w:t xml:space="preserve"> Redbook. </w:t>
      </w:r>
    </w:p>
    <w:p w14:paraId="127F30E5" w14:textId="6B7007C9" w:rsidR="00FF2039" w:rsidRPr="003501A6" w:rsidRDefault="00FF2039" w:rsidP="00FF2039">
      <w:pPr>
        <w:pStyle w:val="ListParagraph"/>
        <w:numPr>
          <w:ilvl w:val="1"/>
          <w:numId w:val="7"/>
        </w:numPr>
        <w:jc w:val="both"/>
        <w:rPr>
          <w:rFonts w:ascii="Arial" w:hAnsi="Arial" w:cs="Arial"/>
          <w:sz w:val="22"/>
          <w:szCs w:val="22"/>
        </w:rPr>
      </w:pPr>
      <w:r w:rsidRPr="003501A6">
        <w:rPr>
          <w:rFonts w:ascii="Arial" w:hAnsi="Arial" w:cs="Arial"/>
          <w:sz w:val="22"/>
          <w:szCs w:val="22"/>
        </w:rPr>
        <w:t>Non-College GPR Units: All other budget requests for S&amp;E and personnel changes are due to the Budget Office by March 1</w:t>
      </w:r>
      <w:r w:rsidRPr="003501A6">
        <w:rPr>
          <w:rFonts w:ascii="Arial" w:hAnsi="Arial" w:cs="Arial"/>
          <w:sz w:val="22"/>
          <w:szCs w:val="22"/>
          <w:vertAlign w:val="superscript"/>
        </w:rPr>
        <w:t>st</w:t>
      </w:r>
      <w:r w:rsidRPr="003501A6">
        <w:rPr>
          <w:rFonts w:ascii="Arial" w:hAnsi="Arial" w:cs="Arial"/>
          <w:sz w:val="22"/>
          <w:szCs w:val="22"/>
        </w:rPr>
        <w:t xml:space="preserve">, or prior to your scheduled budget hearing, if applicable. </w:t>
      </w:r>
    </w:p>
    <w:p w14:paraId="04923639" w14:textId="37963AC9" w:rsidR="004F562F" w:rsidRPr="003501A6" w:rsidRDefault="009F40C7" w:rsidP="00FF2039">
      <w:pPr>
        <w:pStyle w:val="ListParagraph"/>
        <w:numPr>
          <w:ilvl w:val="1"/>
          <w:numId w:val="7"/>
        </w:numPr>
        <w:jc w:val="both"/>
        <w:rPr>
          <w:rFonts w:ascii="Arial" w:hAnsi="Arial" w:cs="Arial"/>
          <w:sz w:val="22"/>
          <w:szCs w:val="22"/>
        </w:rPr>
      </w:pPr>
      <w:r w:rsidRPr="003501A6">
        <w:rPr>
          <w:rFonts w:ascii="Arial" w:hAnsi="Arial" w:cs="Arial"/>
          <w:sz w:val="22"/>
          <w:szCs w:val="22"/>
        </w:rPr>
        <w:t xml:space="preserve">GPR </w:t>
      </w:r>
      <w:r w:rsidR="000B6B99" w:rsidRPr="003501A6">
        <w:rPr>
          <w:rFonts w:ascii="Arial" w:hAnsi="Arial" w:cs="Arial"/>
          <w:sz w:val="22"/>
          <w:szCs w:val="22"/>
        </w:rPr>
        <w:t>Budget hearings</w:t>
      </w:r>
      <w:r w:rsidRPr="003501A6">
        <w:rPr>
          <w:rFonts w:ascii="Arial" w:hAnsi="Arial" w:cs="Arial"/>
          <w:sz w:val="22"/>
          <w:szCs w:val="22"/>
        </w:rPr>
        <w:t>, for applicable units,</w:t>
      </w:r>
      <w:r w:rsidR="000B6B99" w:rsidRPr="003501A6">
        <w:rPr>
          <w:rFonts w:ascii="Arial" w:hAnsi="Arial" w:cs="Arial"/>
          <w:sz w:val="22"/>
          <w:szCs w:val="22"/>
        </w:rPr>
        <w:t xml:space="preserve"> </w:t>
      </w:r>
      <w:r w:rsidR="006147A7" w:rsidRPr="003501A6">
        <w:rPr>
          <w:rFonts w:ascii="Arial" w:hAnsi="Arial" w:cs="Arial"/>
          <w:sz w:val="22"/>
          <w:szCs w:val="22"/>
        </w:rPr>
        <w:t>will</w:t>
      </w:r>
      <w:r w:rsidR="00FF2039" w:rsidRPr="003501A6">
        <w:rPr>
          <w:rFonts w:ascii="Arial" w:hAnsi="Arial" w:cs="Arial"/>
          <w:sz w:val="22"/>
          <w:szCs w:val="22"/>
        </w:rPr>
        <w:t xml:space="preserve"> be scheduled within the </w:t>
      </w:r>
      <w:r w:rsidR="00BF1CEB" w:rsidRPr="003501A6">
        <w:rPr>
          <w:rFonts w:ascii="Arial" w:hAnsi="Arial" w:cs="Arial"/>
          <w:sz w:val="22"/>
          <w:szCs w:val="22"/>
        </w:rPr>
        <w:t>February-March</w:t>
      </w:r>
      <w:r w:rsidR="000B6B99" w:rsidRPr="003501A6">
        <w:rPr>
          <w:rFonts w:ascii="Arial" w:hAnsi="Arial" w:cs="Arial"/>
          <w:sz w:val="22"/>
          <w:szCs w:val="22"/>
        </w:rPr>
        <w:t xml:space="preserve"> timeframe</w:t>
      </w:r>
      <w:r w:rsidR="00FF2039" w:rsidRPr="003501A6">
        <w:rPr>
          <w:rFonts w:ascii="Arial" w:hAnsi="Arial" w:cs="Arial"/>
          <w:sz w:val="22"/>
          <w:szCs w:val="22"/>
        </w:rPr>
        <w:t>.</w:t>
      </w:r>
    </w:p>
    <w:p w14:paraId="0492363A" w14:textId="77777777" w:rsidR="00820730" w:rsidRPr="003501A6" w:rsidRDefault="00820730" w:rsidP="007B7131">
      <w:pPr>
        <w:rPr>
          <w:rFonts w:ascii="Arial" w:hAnsi="Arial" w:cs="Arial"/>
          <w:b/>
          <w:sz w:val="22"/>
          <w:szCs w:val="22"/>
        </w:rPr>
      </w:pPr>
    </w:p>
    <w:p w14:paraId="5AB5F972" w14:textId="4114C3D5" w:rsidR="005238FD" w:rsidRPr="003501A6" w:rsidRDefault="00820730" w:rsidP="00A4137A">
      <w:pPr>
        <w:pStyle w:val="ListParagraph"/>
        <w:numPr>
          <w:ilvl w:val="0"/>
          <w:numId w:val="7"/>
        </w:numPr>
        <w:rPr>
          <w:rFonts w:ascii="Arial" w:hAnsi="Arial" w:cs="Arial"/>
          <w:b/>
          <w:sz w:val="22"/>
          <w:szCs w:val="22"/>
        </w:rPr>
      </w:pPr>
      <w:r w:rsidRPr="003501A6">
        <w:rPr>
          <w:rFonts w:ascii="Arial" w:hAnsi="Arial" w:cs="Arial"/>
          <w:b/>
          <w:sz w:val="22"/>
          <w:szCs w:val="22"/>
        </w:rPr>
        <w:t xml:space="preserve"> </w:t>
      </w:r>
      <w:r w:rsidR="00C0727E" w:rsidRPr="003501A6">
        <w:rPr>
          <w:rFonts w:ascii="Arial" w:hAnsi="Arial" w:cs="Arial"/>
          <w:b/>
          <w:sz w:val="22"/>
          <w:szCs w:val="22"/>
        </w:rPr>
        <w:t>202</w:t>
      </w:r>
      <w:r w:rsidR="003D1382" w:rsidRPr="003501A6">
        <w:rPr>
          <w:rFonts w:ascii="Arial" w:hAnsi="Arial" w:cs="Arial"/>
          <w:b/>
          <w:sz w:val="22"/>
          <w:szCs w:val="22"/>
        </w:rPr>
        <w:t>4-25</w:t>
      </w:r>
      <w:r w:rsidR="004F562F" w:rsidRPr="003501A6">
        <w:rPr>
          <w:rFonts w:ascii="Arial" w:hAnsi="Arial" w:cs="Arial"/>
          <w:b/>
          <w:sz w:val="22"/>
          <w:szCs w:val="22"/>
        </w:rPr>
        <w:t xml:space="preserve"> </w:t>
      </w:r>
      <w:r w:rsidR="00FF2039" w:rsidRPr="003501A6">
        <w:rPr>
          <w:rFonts w:ascii="Arial" w:hAnsi="Arial" w:cs="Arial"/>
          <w:b/>
          <w:sz w:val="22"/>
          <w:szCs w:val="22"/>
        </w:rPr>
        <w:t>Tuition and Student Fees</w:t>
      </w:r>
    </w:p>
    <w:p w14:paraId="0E4D792B" w14:textId="3A6C3649" w:rsidR="00FF2039" w:rsidRPr="003501A6" w:rsidRDefault="003D1382" w:rsidP="00F733EB">
      <w:pPr>
        <w:ind w:left="720"/>
        <w:jc w:val="both"/>
        <w:rPr>
          <w:rFonts w:ascii="Arial" w:hAnsi="Arial" w:cs="Arial"/>
          <w:sz w:val="22"/>
          <w:szCs w:val="22"/>
        </w:rPr>
      </w:pPr>
      <w:r w:rsidRPr="003501A6">
        <w:rPr>
          <w:rFonts w:ascii="Arial" w:hAnsi="Arial" w:cs="Arial"/>
          <w:sz w:val="22"/>
          <w:szCs w:val="22"/>
        </w:rPr>
        <w:t xml:space="preserve">UW </w:t>
      </w:r>
      <w:r w:rsidR="00FF2039" w:rsidRPr="003501A6">
        <w:rPr>
          <w:rFonts w:ascii="Arial" w:hAnsi="Arial" w:cs="Arial"/>
          <w:sz w:val="22"/>
          <w:szCs w:val="22"/>
        </w:rPr>
        <w:t xml:space="preserve">and the State Legislature continue to remain focused on the cost of attendance for students at the UW campuses. </w:t>
      </w:r>
      <w:r w:rsidR="009F4EEE" w:rsidRPr="003501A6">
        <w:rPr>
          <w:rFonts w:ascii="Arial" w:hAnsi="Arial" w:cs="Arial"/>
          <w:sz w:val="22"/>
          <w:szCs w:val="22"/>
        </w:rPr>
        <w:t>The</w:t>
      </w:r>
      <w:r w:rsidR="00627CB9" w:rsidRPr="003501A6">
        <w:rPr>
          <w:rFonts w:ascii="Arial" w:hAnsi="Arial" w:cs="Arial"/>
          <w:sz w:val="22"/>
          <w:szCs w:val="22"/>
        </w:rPr>
        <w:t xml:space="preserve"> estimated</w:t>
      </w:r>
      <w:r w:rsidR="009F4EEE" w:rsidRPr="003501A6">
        <w:rPr>
          <w:rFonts w:ascii="Arial" w:hAnsi="Arial" w:cs="Arial"/>
          <w:sz w:val="22"/>
          <w:szCs w:val="22"/>
        </w:rPr>
        <w:t xml:space="preserve"> tuition increase will be used to fund the tuition share of pay pla</w:t>
      </w:r>
      <w:r w:rsidR="00B045BD">
        <w:rPr>
          <w:rFonts w:ascii="Arial" w:hAnsi="Arial" w:cs="Arial"/>
          <w:sz w:val="22"/>
          <w:szCs w:val="22"/>
        </w:rPr>
        <w:t>n</w:t>
      </w:r>
      <w:r w:rsidR="009F4EEE" w:rsidRPr="003501A6">
        <w:rPr>
          <w:rFonts w:ascii="Arial" w:hAnsi="Arial" w:cs="Arial"/>
          <w:sz w:val="22"/>
          <w:szCs w:val="22"/>
        </w:rPr>
        <w:t xml:space="preserve">. </w:t>
      </w:r>
      <w:r w:rsidR="009778C3" w:rsidRPr="003501A6">
        <w:rPr>
          <w:rFonts w:ascii="Arial" w:hAnsi="Arial" w:cs="Arial"/>
          <w:sz w:val="22"/>
          <w:szCs w:val="22"/>
        </w:rPr>
        <w:t xml:space="preserve">Student fees, including special course fees cannot be increased to offset any reductions in S&amp;E operating budgets and any fee requests must adhere to all applicable UWL and UW policies. </w:t>
      </w:r>
    </w:p>
    <w:p w14:paraId="18547F2D" w14:textId="77777777" w:rsidR="00FF2039" w:rsidRPr="003501A6" w:rsidRDefault="00FF2039" w:rsidP="00FF2039">
      <w:pPr>
        <w:pStyle w:val="ListParagraph"/>
        <w:ind w:left="1440"/>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5575"/>
        <w:gridCol w:w="1890"/>
      </w:tblGrid>
      <w:tr w:rsidR="00C0727E" w:rsidRPr="003501A6" w14:paraId="4FCEFA98" w14:textId="77777777" w:rsidTr="3E042203">
        <w:trPr>
          <w:trHeight w:val="278"/>
          <w:jc w:val="center"/>
        </w:trPr>
        <w:tc>
          <w:tcPr>
            <w:tcW w:w="5575" w:type="dxa"/>
          </w:tcPr>
          <w:p w14:paraId="774EC83E" w14:textId="333F03D6" w:rsidR="00C0727E" w:rsidRPr="003501A6" w:rsidRDefault="00C0727E" w:rsidP="00C0727E">
            <w:pPr>
              <w:ind w:left="360"/>
              <w:jc w:val="center"/>
              <w:rPr>
                <w:rFonts w:ascii="Arial" w:hAnsi="Arial" w:cs="Arial"/>
                <w:b/>
                <w:bCs/>
                <w:sz w:val="22"/>
                <w:szCs w:val="22"/>
              </w:rPr>
            </w:pPr>
            <w:r w:rsidRPr="003501A6">
              <w:rPr>
                <w:rFonts w:ascii="Arial" w:hAnsi="Arial" w:cs="Arial"/>
                <w:b/>
                <w:bCs/>
                <w:sz w:val="22"/>
                <w:szCs w:val="22"/>
              </w:rPr>
              <w:t>FY2</w:t>
            </w:r>
            <w:r w:rsidR="003D1382" w:rsidRPr="003501A6">
              <w:rPr>
                <w:rFonts w:ascii="Arial" w:hAnsi="Arial" w:cs="Arial"/>
                <w:b/>
                <w:bCs/>
                <w:sz w:val="22"/>
                <w:szCs w:val="22"/>
              </w:rPr>
              <w:t>5</w:t>
            </w:r>
            <w:r w:rsidRPr="003501A6">
              <w:rPr>
                <w:rFonts w:ascii="Arial" w:hAnsi="Arial" w:cs="Arial"/>
                <w:b/>
                <w:bCs/>
                <w:sz w:val="22"/>
                <w:szCs w:val="22"/>
              </w:rPr>
              <w:t xml:space="preserve"> Tuition and Fee Adjustments (estimated)</w:t>
            </w:r>
          </w:p>
        </w:tc>
        <w:tc>
          <w:tcPr>
            <w:tcW w:w="1890" w:type="dxa"/>
          </w:tcPr>
          <w:p w14:paraId="2464F31A" w14:textId="08C046EA" w:rsidR="00C0727E" w:rsidRPr="003501A6" w:rsidRDefault="00C0727E" w:rsidP="00C15994">
            <w:pPr>
              <w:jc w:val="center"/>
              <w:rPr>
                <w:rFonts w:ascii="Arial" w:hAnsi="Arial" w:cs="Arial"/>
                <w:b/>
                <w:bCs/>
                <w:sz w:val="22"/>
                <w:szCs w:val="22"/>
              </w:rPr>
            </w:pPr>
            <w:r w:rsidRPr="003501A6">
              <w:rPr>
                <w:rFonts w:ascii="Arial" w:hAnsi="Arial" w:cs="Arial"/>
                <w:b/>
                <w:bCs/>
                <w:sz w:val="22"/>
                <w:szCs w:val="22"/>
              </w:rPr>
              <w:t>Percentage</w:t>
            </w:r>
          </w:p>
        </w:tc>
      </w:tr>
      <w:tr w:rsidR="00C0727E" w:rsidRPr="003501A6" w14:paraId="39CB8365" w14:textId="77777777" w:rsidTr="3E042203">
        <w:trPr>
          <w:trHeight w:val="144"/>
          <w:jc w:val="center"/>
        </w:trPr>
        <w:tc>
          <w:tcPr>
            <w:tcW w:w="5575" w:type="dxa"/>
          </w:tcPr>
          <w:p w14:paraId="5270845E" w14:textId="2583B3B0" w:rsidR="00C0727E" w:rsidRPr="003501A6" w:rsidRDefault="00C0727E" w:rsidP="00C15994">
            <w:pPr>
              <w:rPr>
                <w:rFonts w:ascii="Arial" w:hAnsi="Arial" w:cs="Arial"/>
                <w:sz w:val="22"/>
                <w:szCs w:val="22"/>
              </w:rPr>
            </w:pPr>
            <w:r w:rsidRPr="003501A6">
              <w:rPr>
                <w:rFonts w:ascii="Arial" w:hAnsi="Arial" w:cs="Arial"/>
                <w:sz w:val="22"/>
                <w:szCs w:val="22"/>
              </w:rPr>
              <w:t>Resident and Non Resident Tuition</w:t>
            </w:r>
          </w:p>
        </w:tc>
        <w:tc>
          <w:tcPr>
            <w:tcW w:w="1890" w:type="dxa"/>
          </w:tcPr>
          <w:p w14:paraId="4192DA3F" w14:textId="24C37BF2" w:rsidR="00C0727E" w:rsidRPr="003501A6" w:rsidRDefault="5EF9B32A" w:rsidP="00C15994">
            <w:pPr>
              <w:jc w:val="right"/>
              <w:rPr>
                <w:rFonts w:ascii="Arial" w:hAnsi="Arial" w:cs="Arial"/>
                <w:sz w:val="22"/>
                <w:szCs w:val="22"/>
              </w:rPr>
            </w:pPr>
            <w:r w:rsidRPr="3E042203">
              <w:rPr>
                <w:rFonts w:ascii="Arial" w:hAnsi="Arial" w:cs="Arial"/>
                <w:sz w:val="22"/>
                <w:szCs w:val="22"/>
              </w:rPr>
              <w:t>4</w:t>
            </w:r>
            <w:r w:rsidR="003D1382" w:rsidRPr="3E042203">
              <w:rPr>
                <w:rFonts w:ascii="Arial" w:hAnsi="Arial" w:cs="Arial"/>
                <w:sz w:val="22"/>
                <w:szCs w:val="22"/>
              </w:rPr>
              <w:t>.50</w:t>
            </w:r>
            <w:r w:rsidR="00C0727E" w:rsidRPr="3E042203">
              <w:rPr>
                <w:rFonts w:ascii="Arial" w:hAnsi="Arial" w:cs="Arial"/>
                <w:sz w:val="22"/>
                <w:szCs w:val="22"/>
              </w:rPr>
              <w:t>%</w:t>
            </w:r>
          </w:p>
        </w:tc>
      </w:tr>
      <w:tr w:rsidR="00C0727E" w:rsidRPr="003501A6" w14:paraId="1B6DDD48" w14:textId="77777777" w:rsidTr="3E042203">
        <w:trPr>
          <w:trHeight w:val="144"/>
          <w:jc w:val="center"/>
        </w:trPr>
        <w:tc>
          <w:tcPr>
            <w:tcW w:w="5575" w:type="dxa"/>
          </w:tcPr>
          <w:p w14:paraId="4F7C91BB" w14:textId="178078D6" w:rsidR="00C0727E" w:rsidRPr="003501A6" w:rsidRDefault="00C0727E" w:rsidP="00C15994">
            <w:pPr>
              <w:rPr>
                <w:rFonts w:ascii="Arial" w:hAnsi="Arial" w:cs="Arial"/>
                <w:sz w:val="22"/>
                <w:szCs w:val="22"/>
              </w:rPr>
            </w:pPr>
            <w:r w:rsidRPr="003501A6">
              <w:rPr>
                <w:rFonts w:ascii="Arial" w:hAnsi="Arial" w:cs="Arial"/>
                <w:sz w:val="22"/>
                <w:szCs w:val="22"/>
              </w:rPr>
              <w:t>Segregated Fees (Non-Allocable Only)</w:t>
            </w:r>
          </w:p>
        </w:tc>
        <w:tc>
          <w:tcPr>
            <w:tcW w:w="1890" w:type="dxa"/>
          </w:tcPr>
          <w:p w14:paraId="78EF9D2E" w14:textId="6454AE09" w:rsidR="00C0727E" w:rsidRPr="003501A6" w:rsidRDefault="00E04343" w:rsidP="00C15994">
            <w:pPr>
              <w:jc w:val="right"/>
              <w:rPr>
                <w:rFonts w:ascii="Arial" w:hAnsi="Arial" w:cs="Arial"/>
                <w:sz w:val="22"/>
                <w:szCs w:val="22"/>
              </w:rPr>
            </w:pPr>
            <w:r w:rsidRPr="003501A6">
              <w:rPr>
                <w:rFonts w:ascii="Arial" w:hAnsi="Arial" w:cs="Arial"/>
                <w:sz w:val="22"/>
                <w:szCs w:val="22"/>
              </w:rPr>
              <w:t>4.00</w:t>
            </w:r>
            <w:r w:rsidR="00C0727E" w:rsidRPr="003501A6">
              <w:rPr>
                <w:rFonts w:ascii="Arial" w:hAnsi="Arial" w:cs="Arial"/>
                <w:sz w:val="22"/>
                <w:szCs w:val="22"/>
              </w:rPr>
              <w:t>%</w:t>
            </w:r>
          </w:p>
        </w:tc>
      </w:tr>
      <w:tr w:rsidR="00C0727E" w:rsidRPr="003501A6" w14:paraId="2C724BDB" w14:textId="77777777" w:rsidTr="3E042203">
        <w:trPr>
          <w:trHeight w:val="144"/>
          <w:jc w:val="center"/>
        </w:trPr>
        <w:tc>
          <w:tcPr>
            <w:tcW w:w="5575" w:type="dxa"/>
          </w:tcPr>
          <w:p w14:paraId="545504D9" w14:textId="46F66BEC" w:rsidR="00C0727E" w:rsidRPr="003501A6" w:rsidRDefault="00C0727E" w:rsidP="00C15994">
            <w:pPr>
              <w:rPr>
                <w:rFonts w:ascii="Arial" w:hAnsi="Arial" w:cs="Arial"/>
                <w:sz w:val="22"/>
                <w:szCs w:val="22"/>
              </w:rPr>
            </w:pPr>
            <w:r w:rsidRPr="003501A6">
              <w:rPr>
                <w:rFonts w:ascii="Arial" w:hAnsi="Arial" w:cs="Arial"/>
                <w:sz w:val="22"/>
                <w:szCs w:val="22"/>
              </w:rPr>
              <w:t>Room Rates</w:t>
            </w:r>
          </w:p>
        </w:tc>
        <w:tc>
          <w:tcPr>
            <w:tcW w:w="1890" w:type="dxa"/>
          </w:tcPr>
          <w:p w14:paraId="5CA7CD0D" w14:textId="53198674" w:rsidR="00C0727E" w:rsidRPr="003501A6" w:rsidRDefault="003D1382" w:rsidP="00C15994">
            <w:pPr>
              <w:jc w:val="right"/>
              <w:rPr>
                <w:rFonts w:ascii="Arial" w:hAnsi="Arial" w:cs="Arial"/>
                <w:sz w:val="22"/>
                <w:szCs w:val="22"/>
              </w:rPr>
            </w:pPr>
            <w:r w:rsidRPr="3E042203">
              <w:rPr>
                <w:rFonts w:ascii="Arial" w:hAnsi="Arial" w:cs="Arial"/>
                <w:sz w:val="22"/>
                <w:szCs w:val="22"/>
              </w:rPr>
              <w:t>3.</w:t>
            </w:r>
            <w:r w:rsidR="6F2288DA" w:rsidRPr="3E042203">
              <w:rPr>
                <w:rFonts w:ascii="Arial" w:hAnsi="Arial" w:cs="Arial"/>
                <w:sz w:val="22"/>
                <w:szCs w:val="22"/>
              </w:rPr>
              <w:t>00</w:t>
            </w:r>
            <w:r w:rsidR="00C0727E" w:rsidRPr="3E042203">
              <w:rPr>
                <w:rFonts w:ascii="Arial" w:hAnsi="Arial" w:cs="Arial"/>
                <w:sz w:val="22"/>
                <w:szCs w:val="22"/>
              </w:rPr>
              <w:t>%</w:t>
            </w:r>
          </w:p>
        </w:tc>
      </w:tr>
      <w:tr w:rsidR="00C0727E" w:rsidRPr="003501A6" w14:paraId="07AA0F76" w14:textId="77777777" w:rsidTr="3E042203">
        <w:trPr>
          <w:trHeight w:val="144"/>
          <w:jc w:val="center"/>
        </w:trPr>
        <w:tc>
          <w:tcPr>
            <w:tcW w:w="5575" w:type="dxa"/>
          </w:tcPr>
          <w:p w14:paraId="257B6872" w14:textId="53C94E10" w:rsidR="00C0727E" w:rsidRPr="003501A6" w:rsidRDefault="00C0727E" w:rsidP="00C15994">
            <w:pPr>
              <w:rPr>
                <w:rFonts w:ascii="Arial" w:hAnsi="Arial" w:cs="Arial"/>
                <w:sz w:val="22"/>
                <w:szCs w:val="22"/>
              </w:rPr>
            </w:pPr>
            <w:r w:rsidRPr="003501A6">
              <w:rPr>
                <w:rFonts w:ascii="Arial" w:hAnsi="Arial" w:cs="Arial"/>
                <w:sz w:val="22"/>
                <w:szCs w:val="22"/>
              </w:rPr>
              <w:t>Board Rates</w:t>
            </w:r>
          </w:p>
        </w:tc>
        <w:tc>
          <w:tcPr>
            <w:tcW w:w="1890" w:type="dxa"/>
          </w:tcPr>
          <w:p w14:paraId="0A62B442" w14:textId="5DC616B8" w:rsidR="00C0727E" w:rsidRPr="003501A6" w:rsidRDefault="003D1382" w:rsidP="00C15994">
            <w:pPr>
              <w:jc w:val="right"/>
              <w:rPr>
                <w:rFonts w:ascii="Arial" w:hAnsi="Arial" w:cs="Arial"/>
                <w:sz w:val="22"/>
                <w:szCs w:val="22"/>
              </w:rPr>
            </w:pPr>
            <w:r w:rsidRPr="003501A6">
              <w:rPr>
                <w:rFonts w:ascii="Arial" w:hAnsi="Arial" w:cs="Arial"/>
                <w:sz w:val="22"/>
                <w:szCs w:val="22"/>
              </w:rPr>
              <w:t>4.50</w:t>
            </w:r>
            <w:r w:rsidR="00C0727E" w:rsidRPr="003501A6">
              <w:rPr>
                <w:rFonts w:ascii="Arial" w:hAnsi="Arial" w:cs="Arial"/>
                <w:sz w:val="22"/>
                <w:szCs w:val="22"/>
              </w:rPr>
              <w:t>%</w:t>
            </w:r>
          </w:p>
        </w:tc>
      </w:tr>
      <w:tr w:rsidR="00C0727E" w:rsidRPr="003501A6" w14:paraId="19BFD5D1" w14:textId="77777777" w:rsidTr="3E042203">
        <w:trPr>
          <w:trHeight w:val="300"/>
          <w:jc w:val="center"/>
        </w:trPr>
        <w:tc>
          <w:tcPr>
            <w:tcW w:w="5575" w:type="dxa"/>
          </w:tcPr>
          <w:p w14:paraId="47511800" w14:textId="5099735A" w:rsidR="00C0727E" w:rsidRPr="003501A6" w:rsidRDefault="00C0727E" w:rsidP="00C15994">
            <w:pPr>
              <w:rPr>
                <w:rFonts w:ascii="Arial" w:hAnsi="Arial" w:cs="Arial"/>
                <w:sz w:val="22"/>
                <w:szCs w:val="22"/>
              </w:rPr>
            </w:pPr>
            <w:r w:rsidRPr="003501A6">
              <w:rPr>
                <w:rFonts w:ascii="Arial" w:hAnsi="Arial" w:cs="Arial"/>
                <w:sz w:val="22"/>
                <w:szCs w:val="22"/>
              </w:rPr>
              <w:t>Parking Rates</w:t>
            </w:r>
          </w:p>
        </w:tc>
        <w:tc>
          <w:tcPr>
            <w:tcW w:w="1890" w:type="dxa"/>
          </w:tcPr>
          <w:p w14:paraId="0D127FDC" w14:textId="2CF058E7" w:rsidR="00C0727E" w:rsidRPr="003501A6" w:rsidRDefault="3A2FD438" w:rsidP="00C15994">
            <w:pPr>
              <w:jc w:val="right"/>
              <w:rPr>
                <w:rFonts w:ascii="Arial" w:hAnsi="Arial" w:cs="Arial"/>
                <w:sz w:val="22"/>
                <w:szCs w:val="22"/>
              </w:rPr>
            </w:pPr>
            <w:r w:rsidRPr="3E042203">
              <w:rPr>
                <w:rFonts w:ascii="Arial" w:hAnsi="Arial" w:cs="Arial"/>
                <w:sz w:val="22"/>
                <w:szCs w:val="22"/>
              </w:rPr>
              <w:t>0</w:t>
            </w:r>
            <w:r w:rsidR="00C0727E" w:rsidRPr="3E042203">
              <w:rPr>
                <w:rFonts w:ascii="Arial" w:hAnsi="Arial" w:cs="Arial"/>
                <w:sz w:val="22"/>
                <w:szCs w:val="22"/>
              </w:rPr>
              <w:t>%</w:t>
            </w:r>
          </w:p>
        </w:tc>
      </w:tr>
      <w:tr w:rsidR="00C0727E" w:rsidRPr="003501A6" w14:paraId="45CC2EE3" w14:textId="77777777" w:rsidTr="3E042203">
        <w:trPr>
          <w:trHeight w:val="144"/>
          <w:jc w:val="center"/>
        </w:trPr>
        <w:tc>
          <w:tcPr>
            <w:tcW w:w="5575" w:type="dxa"/>
          </w:tcPr>
          <w:p w14:paraId="48099A80" w14:textId="6416AF06" w:rsidR="00C0727E" w:rsidRPr="003501A6" w:rsidRDefault="00C0727E" w:rsidP="00C15994">
            <w:pPr>
              <w:rPr>
                <w:rFonts w:ascii="Arial" w:hAnsi="Arial" w:cs="Arial"/>
                <w:sz w:val="22"/>
                <w:szCs w:val="22"/>
              </w:rPr>
            </w:pPr>
            <w:r w:rsidRPr="003501A6">
              <w:rPr>
                <w:rFonts w:ascii="Arial" w:hAnsi="Arial" w:cs="Arial"/>
                <w:sz w:val="22"/>
                <w:szCs w:val="22"/>
              </w:rPr>
              <w:t>Textbook Rental Rates</w:t>
            </w:r>
          </w:p>
        </w:tc>
        <w:tc>
          <w:tcPr>
            <w:tcW w:w="1890" w:type="dxa"/>
          </w:tcPr>
          <w:p w14:paraId="33790BF3" w14:textId="047BDB8F" w:rsidR="00C0727E" w:rsidRPr="003501A6" w:rsidRDefault="00C0727E" w:rsidP="00C15994">
            <w:pPr>
              <w:jc w:val="right"/>
              <w:rPr>
                <w:rFonts w:ascii="Arial" w:hAnsi="Arial" w:cs="Arial"/>
                <w:sz w:val="22"/>
                <w:szCs w:val="22"/>
              </w:rPr>
            </w:pPr>
            <w:r w:rsidRPr="003501A6">
              <w:rPr>
                <w:rFonts w:ascii="Arial" w:hAnsi="Arial" w:cs="Arial"/>
                <w:sz w:val="22"/>
                <w:szCs w:val="22"/>
              </w:rPr>
              <w:t>0%</w:t>
            </w:r>
          </w:p>
        </w:tc>
      </w:tr>
      <w:tr w:rsidR="00C0727E" w:rsidRPr="003501A6" w14:paraId="63288E0C" w14:textId="77777777" w:rsidTr="3E042203">
        <w:trPr>
          <w:trHeight w:val="144"/>
          <w:jc w:val="center"/>
        </w:trPr>
        <w:tc>
          <w:tcPr>
            <w:tcW w:w="5575" w:type="dxa"/>
          </w:tcPr>
          <w:p w14:paraId="60CED877" w14:textId="589F7D51" w:rsidR="00C0727E" w:rsidRPr="003501A6" w:rsidRDefault="00C0727E" w:rsidP="00C15994">
            <w:pPr>
              <w:rPr>
                <w:rFonts w:ascii="Arial" w:hAnsi="Arial" w:cs="Arial"/>
                <w:sz w:val="22"/>
                <w:szCs w:val="22"/>
              </w:rPr>
            </w:pPr>
            <w:r w:rsidRPr="003501A6">
              <w:rPr>
                <w:rFonts w:ascii="Arial" w:hAnsi="Arial" w:cs="Arial"/>
                <w:sz w:val="22"/>
                <w:szCs w:val="22"/>
              </w:rPr>
              <w:t>Special Course Fees</w:t>
            </w:r>
            <w:r w:rsidR="00C01305" w:rsidRPr="003501A6">
              <w:rPr>
                <w:rFonts w:ascii="Arial" w:hAnsi="Arial" w:cs="Arial"/>
                <w:sz w:val="22"/>
                <w:szCs w:val="22"/>
              </w:rPr>
              <w:t>*</w:t>
            </w:r>
          </w:p>
        </w:tc>
        <w:tc>
          <w:tcPr>
            <w:tcW w:w="1890" w:type="dxa"/>
          </w:tcPr>
          <w:p w14:paraId="7A5327BE" w14:textId="7FC1327C" w:rsidR="00C0727E" w:rsidRPr="003501A6" w:rsidRDefault="00C0727E" w:rsidP="00C15994">
            <w:pPr>
              <w:jc w:val="right"/>
              <w:rPr>
                <w:rFonts w:ascii="Arial" w:hAnsi="Arial" w:cs="Arial"/>
                <w:sz w:val="22"/>
                <w:szCs w:val="22"/>
              </w:rPr>
            </w:pPr>
            <w:r w:rsidRPr="003501A6">
              <w:rPr>
                <w:rFonts w:ascii="Arial" w:hAnsi="Arial" w:cs="Arial"/>
                <w:sz w:val="22"/>
                <w:szCs w:val="22"/>
              </w:rPr>
              <w:t>0%</w:t>
            </w:r>
          </w:p>
        </w:tc>
      </w:tr>
    </w:tbl>
    <w:p w14:paraId="10BB7FB6" w14:textId="77777777" w:rsidR="00C0727E" w:rsidRPr="003501A6" w:rsidRDefault="00C0727E" w:rsidP="00C0727E">
      <w:pPr>
        <w:pStyle w:val="ListParagraph"/>
        <w:ind w:left="1440"/>
        <w:jc w:val="both"/>
        <w:rPr>
          <w:rFonts w:ascii="Arial" w:hAnsi="Arial" w:cs="Arial"/>
          <w:sz w:val="22"/>
          <w:szCs w:val="22"/>
        </w:rPr>
      </w:pPr>
    </w:p>
    <w:p w14:paraId="3AD2FEBD" w14:textId="6BA554FF" w:rsidR="005248B3" w:rsidRPr="003501A6" w:rsidRDefault="00FF2039" w:rsidP="00C01305">
      <w:pPr>
        <w:pStyle w:val="ListParagraph"/>
        <w:numPr>
          <w:ilvl w:val="1"/>
          <w:numId w:val="7"/>
        </w:numPr>
        <w:jc w:val="both"/>
        <w:rPr>
          <w:rFonts w:ascii="Arial" w:hAnsi="Arial" w:cs="Arial"/>
          <w:sz w:val="22"/>
          <w:szCs w:val="22"/>
        </w:rPr>
      </w:pPr>
      <w:r w:rsidRPr="003501A6">
        <w:rPr>
          <w:rFonts w:ascii="Arial" w:hAnsi="Arial" w:cs="Arial"/>
          <w:sz w:val="22"/>
          <w:szCs w:val="22"/>
        </w:rPr>
        <w:t>Special Course Fees should</w:t>
      </w:r>
      <w:r w:rsidR="00C768BF" w:rsidRPr="003501A6">
        <w:rPr>
          <w:rFonts w:ascii="Arial" w:hAnsi="Arial" w:cs="Arial"/>
          <w:sz w:val="22"/>
          <w:szCs w:val="22"/>
        </w:rPr>
        <w:t xml:space="preserve"> be held constant from F</w:t>
      </w:r>
      <w:r w:rsidR="00C0727E" w:rsidRPr="003501A6">
        <w:rPr>
          <w:rFonts w:ascii="Arial" w:hAnsi="Arial" w:cs="Arial"/>
          <w:sz w:val="22"/>
          <w:szCs w:val="22"/>
        </w:rPr>
        <w:t>Y20</w:t>
      </w:r>
      <w:r w:rsidR="00BF1CEB" w:rsidRPr="003501A6">
        <w:rPr>
          <w:rFonts w:ascii="Arial" w:hAnsi="Arial" w:cs="Arial"/>
          <w:sz w:val="22"/>
          <w:szCs w:val="22"/>
        </w:rPr>
        <w:t>2</w:t>
      </w:r>
      <w:r w:rsidR="003D1382" w:rsidRPr="003501A6">
        <w:rPr>
          <w:rFonts w:ascii="Arial" w:hAnsi="Arial" w:cs="Arial"/>
          <w:sz w:val="22"/>
          <w:szCs w:val="22"/>
        </w:rPr>
        <w:t>3-24</w:t>
      </w:r>
      <w:r w:rsidRPr="003501A6">
        <w:rPr>
          <w:rFonts w:ascii="Arial" w:hAnsi="Arial" w:cs="Arial"/>
          <w:sz w:val="22"/>
          <w:szCs w:val="22"/>
        </w:rPr>
        <w:t xml:space="preserve"> levels unless detailed justification related to mandated costs is provided for any</w:t>
      </w:r>
      <w:r w:rsidR="00F733EB" w:rsidRPr="003501A6">
        <w:rPr>
          <w:rFonts w:ascii="Arial" w:hAnsi="Arial" w:cs="Arial"/>
          <w:sz w:val="22"/>
          <w:szCs w:val="22"/>
        </w:rPr>
        <w:t xml:space="preserve"> proposed</w:t>
      </w:r>
      <w:r w:rsidRPr="003501A6">
        <w:rPr>
          <w:rFonts w:ascii="Arial" w:hAnsi="Arial" w:cs="Arial"/>
          <w:sz w:val="22"/>
          <w:szCs w:val="22"/>
        </w:rPr>
        <w:t xml:space="preserve"> increases to the fee. </w:t>
      </w:r>
      <w:r w:rsidR="005248B3" w:rsidRPr="003501A6">
        <w:rPr>
          <w:rFonts w:ascii="Arial" w:hAnsi="Arial" w:cs="Arial"/>
          <w:sz w:val="22"/>
          <w:szCs w:val="22"/>
        </w:rPr>
        <w:t>All Special Course Fee requests for modifications for t</w:t>
      </w:r>
      <w:r w:rsidR="00C0727E" w:rsidRPr="003501A6">
        <w:rPr>
          <w:rFonts w:ascii="Arial" w:hAnsi="Arial" w:cs="Arial"/>
          <w:sz w:val="22"/>
          <w:szCs w:val="22"/>
        </w:rPr>
        <w:t>he 202</w:t>
      </w:r>
      <w:r w:rsidR="003D1382" w:rsidRPr="003501A6">
        <w:rPr>
          <w:rFonts w:ascii="Arial" w:hAnsi="Arial" w:cs="Arial"/>
          <w:sz w:val="22"/>
          <w:szCs w:val="22"/>
        </w:rPr>
        <w:t>4-25</w:t>
      </w:r>
      <w:r w:rsidR="005248B3" w:rsidRPr="003501A6">
        <w:rPr>
          <w:rFonts w:ascii="Arial" w:hAnsi="Arial" w:cs="Arial"/>
          <w:sz w:val="22"/>
          <w:szCs w:val="22"/>
        </w:rPr>
        <w:t xml:space="preserve"> Academic Year are due to the Budget Office by February 15</w:t>
      </w:r>
      <w:r w:rsidR="005248B3" w:rsidRPr="003501A6">
        <w:rPr>
          <w:rFonts w:ascii="Arial" w:hAnsi="Arial" w:cs="Arial"/>
          <w:sz w:val="22"/>
          <w:szCs w:val="22"/>
          <w:vertAlign w:val="superscript"/>
        </w:rPr>
        <w:t>th</w:t>
      </w:r>
      <w:r w:rsidR="005248B3" w:rsidRPr="003501A6">
        <w:rPr>
          <w:rFonts w:ascii="Arial" w:hAnsi="Arial" w:cs="Arial"/>
          <w:sz w:val="22"/>
          <w:szCs w:val="22"/>
        </w:rPr>
        <w:t>. (</w:t>
      </w:r>
      <w:hyperlink r:id="rId12" w:history="1">
        <w:r w:rsidR="005248B3" w:rsidRPr="003501A6">
          <w:rPr>
            <w:rStyle w:val="Hyperlink"/>
            <w:rFonts w:ascii="Arial" w:hAnsi="Arial" w:cs="Arial"/>
            <w:sz w:val="22"/>
            <w:szCs w:val="22"/>
          </w:rPr>
          <w:t>Special Course Fee Process</w:t>
        </w:r>
      </w:hyperlink>
      <w:r w:rsidR="005248B3" w:rsidRPr="003501A6">
        <w:rPr>
          <w:rFonts w:ascii="Arial" w:hAnsi="Arial" w:cs="Arial"/>
          <w:sz w:val="22"/>
          <w:szCs w:val="22"/>
        </w:rPr>
        <w:t>)</w:t>
      </w:r>
    </w:p>
    <w:p w14:paraId="204B4C11" w14:textId="77777777" w:rsidR="00355DE3" w:rsidRPr="003501A6" w:rsidRDefault="00355DE3" w:rsidP="00F6027D">
      <w:pPr>
        <w:rPr>
          <w:rFonts w:ascii="Arial" w:hAnsi="Arial" w:cs="Arial"/>
          <w:sz w:val="22"/>
          <w:szCs w:val="22"/>
        </w:rPr>
      </w:pPr>
    </w:p>
    <w:p w14:paraId="273454E1" w14:textId="5DBF0A37" w:rsidR="005238FD" w:rsidRPr="003501A6" w:rsidRDefault="00820730" w:rsidP="009F4EEE">
      <w:pPr>
        <w:pStyle w:val="ListParagraph"/>
        <w:numPr>
          <w:ilvl w:val="0"/>
          <w:numId w:val="7"/>
        </w:numPr>
        <w:jc w:val="both"/>
        <w:rPr>
          <w:rFonts w:ascii="Arial" w:hAnsi="Arial" w:cs="Arial"/>
          <w:b/>
          <w:sz w:val="22"/>
          <w:szCs w:val="22"/>
        </w:rPr>
      </w:pPr>
      <w:r w:rsidRPr="003501A6">
        <w:rPr>
          <w:rFonts w:ascii="Arial" w:hAnsi="Arial" w:cs="Arial"/>
          <w:b/>
          <w:sz w:val="22"/>
          <w:szCs w:val="22"/>
        </w:rPr>
        <w:t>Fringe Benefits</w:t>
      </w:r>
    </w:p>
    <w:p w14:paraId="79BDDE96" w14:textId="3DFEB8DE" w:rsidR="005248B3" w:rsidRPr="003501A6" w:rsidRDefault="005248B3" w:rsidP="005248B3">
      <w:pPr>
        <w:pStyle w:val="ListParagraph"/>
        <w:numPr>
          <w:ilvl w:val="1"/>
          <w:numId w:val="7"/>
        </w:numPr>
        <w:rPr>
          <w:rFonts w:ascii="Arial" w:hAnsi="Arial" w:cs="Arial"/>
          <w:sz w:val="22"/>
          <w:szCs w:val="22"/>
        </w:rPr>
      </w:pPr>
      <w:r w:rsidRPr="003501A6">
        <w:rPr>
          <w:rFonts w:ascii="Arial" w:hAnsi="Arial" w:cs="Arial"/>
          <w:sz w:val="22"/>
          <w:szCs w:val="22"/>
        </w:rPr>
        <w:t>For currently filled positions, use a rate that reflects your costs.  For vacant positions, please use:</w:t>
      </w:r>
    </w:p>
    <w:p w14:paraId="7C193EB7" w14:textId="77777777" w:rsidR="005248B3" w:rsidRPr="003501A6" w:rsidRDefault="005248B3" w:rsidP="005248B3">
      <w:pPr>
        <w:pStyle w:val="ListParagraph"/>
        <w:ind w:left="1440"/>
        <w:rPr>
          <w:rFonts w:ascii="Arial" w:hAnsi="Arial" w:cs="Arial"/>
          <w:sz w:val="22"/>
          <w:szCs w:val="22"/>
        </w:rPr>
      </w:pPr>
    </w:p>
    <w:tbl>
      <w:tblPr>
        <w:tblStyle w:val="TableGrid"/>
        <w:tblW w:w="0" w:type="auto"/>
        <w:jc w:val="center"/>
        <w:tblLook w:val="04A0" w:firstRow="1" w:lastRow="0" w:firstColumn="1" w:lastColumn="0" w:noHBand="0" w:noVBand="1"/>
      </w:tblPr>
      <w:tblGrid>
        <w:gridCol w:w="5985"/>
        <w:gridCol w:w="1564"/>
      </w:tblGrid>
      <w:tr w:rsidR="003D1382" w:rsidRPr="003501A6" w14:paraId="6EBF059E" w14:textId="77777777" w:rsidTr="00F82E38">
        <w:trPr>
          <w:jc w:val="center"/>
        </w:trPr>
        <w:tc>
          <w:tcPr>
            <w:tcW w:w="7549" w:type="dxa"/>
            <w:gridSpan w:val="2"/>
          </w:tcPr>
          <w:p w14:paraId="0F133403" w14:textId="77777777" w:rsidR="003D1382" w:rsidRPr="003501A6" w:rsidRDefault="003D1382" w:rsidP="00F82E38">
            <w:pPr>
              <w:pStyle w:val="ListParagraph"/>
              <w:ind w:left="0"/>
              <w:jc w:val="center"/>
              <w:rPr>
                <w:rFonts w:ascii="Arial" w:hAnsi="Arial" w:cs="Arial"/>
                <w:b/>
                <w:bCs/>
                <w:sz w:val="22"/>
                <w:szCs w:val="22"/>
              </w:rPr>
            </w:pPr>
            <w:r w:rsidRPr="003501A6">
              <w:rPr>
                <w:rFonts w:ascii="Arial" w:hAnsi="Arial" w:cs="Arial"/>
                <w:b/>
                <w:bCs/>
                <w:sz w:val="22"/>
                <w:szCs w:val="22"/>
              </w:rPr>
              <w:t>FY25 Vacant Position Fringe Rates</w:t>
            </w:r>
          </w:p>
        </w:tc>
      </w:tr>
      <w:tr w:rsidR="003D1382" w:rsidRPr="003501A6" w14:paraId="68000B0C" w14:textId="77777777" w:rsidTr="00F82E38">
        <w:trPr>
          <w:jc w:val="center"/>
        </w:trPr>
        <w:tc>
          <w:tcPr>
            <w:tcW w:w="5985" w:type="dxa"/>
          </w:tcPr>
          <w:p w14:paraId="314776E2" w14:textId="77777777" w:rsidR="003D1382" w:rsidRPr="003501A6" w:rsidRDefault="003D1382" w:rsidP="00F82E38">
            <w:pPr>
              <w:pStyle w:val="ListParagraph"/>
              <w:ind w:left="0"/>
              <w:rPr>
                <w:rFonts w:ascii="Arial" w:hAnsi="Arial" w:cs="Arial"/>
                <w:b/>
                <w:bCs/>
                <w:sz w:val="22"/>
                <w:szCs w:val="22"/>
              </w:rPr>
            </w:pPr>
            <w:r w:rsidRPr="003501A6">
              <w:rPr>
                <w:rFonts w:ascii="Arial" w:hAnsi="Arial" w:cs="Arial"/>
                <w:b/>
                <w:bCs/>
                <w:sz w:val="22"/>
                <w:szCs w:val="22"/>
              </w:rPr>
              <w:t>Staff Type</w:t>
            </w:r>
          </w:p>
        </w:tc>
        <w:tc>
          <w:tcPr>
            <w:tcW w:w="1564" w:type="dxa"/>
          </w:tcPr>
          <w:p w14:paraId="1DA898F1" w14:textId="77777777" w:rsidR="003D1382" w:rsidRPr="003501A6" w:rsidRDefault="003D1382" w:rsidP="00F82E38">
            <w:pPr>
              <w:pStyle w:val="ListParagraph"/>
              <w:ind w:left="0"/>
              <w:jc w:val="center"/>
              <w:rPr>
                <w:rFonts w:ascii="Arial" w:hAnsi="Arial" w:cs="Arial"/>
                <w:b/>
                <w:bCs/>
                <w:sz w:val="22"/>
                <w:szCs w:val="22"/>
              </w:rPr>
            </w:pPr>
            <w:r w:rsidRPr="003501A6">
              <w:rPr>
                <w:rFonts w:ascii="Arial" w:hAnsi="Arial" w:cs="Arial"/>
                <w:b/>
                <w:bCs/>
                <w:sz w:val="22"/>
                <w:szCs w:val="22"/>
              </w:rPr>
              <w:t>Rate</w:t>
            </w:r>
          </w:p>
        </w:tc>
      </w:tr>
      <w:tr w:rsidR="003D1382" w:rsidRPr="003501A6" w14:paraId="030C5637" w14:textId="77777777" w:rsidTr="00F82E38">
        <w:trPr>
          <w:jc w:val="center"/>
        </w:trPr>
        <w:tc>
          <w:tcPr>
            <w:tcW w:w="5985" w:type="dxa"/>
          </w:tcPr>
          <w:p w14:paraId="64B4BFB9" w14:textId="77777777" w:rsidR="003D1382" w:rsidRPr="003501A6" w:rsidRDefault="003D1382" w:rsidP="00F82E38">
            <w:pPr>
              <w:pStyle w:val="ListParagraph"/>
              <w:ind w:left="0"/>
              <w:rPr>
                <w:rFonts w:ascii="Arial" w:hAnsi="Arial" w:cs="Arial"/>
                <w:sz w:val="22"/>
                <w:szCs w:val="22"/>
              </w:rPr>
            </w:pPr>
            <w:r w:rsidRPr="003501A6">
              <w:rPr>
                <w:rFonts w:ascii="Arial" w:hAnsi="Arial" w:cs="Arial"/>
                <w:sz w:val="22"/>
                <w:szCs w:val="22"/>
              </w:rPr>
              <w:t>Unclassified Staff</w:t>
            </w:r>
          </w:p>
        </w:tc>
        <w:tc>
          <w:tcPr>
            <w:tcW w:w="1564" w:type="dxa"/>
          </w:tcPr>
          <w:p w14:paraId="052BF96C" w14:textId="77777777" w:rsidR="003D1382" w:rsidRPr="003501A6" w:rsidRDefault="003D1382" w:rsidP="00F82E38">
            <w:pPr>
              <w:pStyle w:val="ListParagraph"/>
              <w:ind w:left="0"/>
              <w:jc w:val="center"/>
              <w:rPr>
                <w:rFonts w:ascii="Arial" w:hAnsi="Arial" w:cs="Arial"/>
                <w:sz w:val="22"/>
                <w:szCs w:val="22"/>
              </w:rPr>
            </w:pPr>
            <w:r w:rsidRPr="003501A6">
              <w:rPr>
                <w:rFonts w:ascii="Arial" w:hAnsi="Arial" w:cs="Arial"/>
                <w:sz w:val="22"/>
                <w:szCs w:val="22"/>
              </w:rPr>
              <w:t>39.31%</w:t>
            </w:r>
          </w:p>
        </w:tc>
      </w:tr>
      <w:tr w:rsidR="003D1382" w:rsidRPr="003501A6" w14:paraId="1AFCF518" w14:textId="77777777" w:rsidTr="00F82E38">
        <w:trPr>
          <w:jc w:val="center"/>
        </w:trPr>
        <w:tc>
          <w:tcPr>
            <w:tcW w:w="5985" w:type="dxa"/>
          </w:tcPr>
          <w:p w14:paraId="0B543561" w14:textId="77777777" w:rsidR="003D1382" w:rsidRPr="003501A6" w:rsidRDefault="003D1382" w:rsidP="00F82E38">
            <w:pPr>
              <w:pStyle w:val="ListParagraph"/>
              <w:ind w:left="0"/>
              <w:rPr>
                <w:rFonts w:ascii="Arial" w:hAnsi="Arial" w:cs="Arial"/>
                <w:sz w:val="22"/>
                <w:szCs w:val="22"/>
              </w:rPr>
            </w:pPr>
            <w:r w:rsidRPr="003501A6">
              <w:rPr>
                <w:rFonts w:ascii="Arial" w:hAnsi="Arial" w:cs="Arial"/>
                <w:sz w:val="22"/>
                <w:szCs w:val="22"/>
              </w:rPr>
              <w:t>University Staff</w:t>
            </w:r>
          </w:p>
        </w:tc>
        <w:tc>
          <w:tcPr>
            <w:tcW w:w="1564" w:type="dxa"/>
          </w:tcPr>
          <w:p w14:paraId="389082F6" w14:textId="77777777" w:rsidR="003D1382" w:rsidRPr="003501A6" w:rsidRDefault="003D1382" w:rsidP="00F82E38">
            <w:pPr>
              <w:pStyle w:val="ListParagraph"/>
              <w:ind w:left="0"/>
              <w:jc w:val="center"/>
              <w:rPr>
                <w:rFonts w:ascii="Arial" w:hAnsi="Arial" w:cs="Arial"/>
                <w:sz w:val="22"/>
                <w:szCs w:val="22"/>
              </w:rPr>
            </w:pPr>
            <w:r w:rsidRPr="003501A6">
              <w:rPr>
                <w:rFonts w:ascii="Arial" w:hAnsi="Arial" w:cs="Arial"/>
                <w:sz w:val="22"/>
                <w:szCs w:val="22"/>
              </w:rPr>
              <w:t>56.56%</w:t>
            </w:r>
          </w:p>
        </w:tc>
      </w:tr>
      <w:tr w:rsidR="003D1382" w:rsidRPr="003501A6" w14:paraId="75FAB284" w14:textId="77777777" w:rsidTr="00F82E38">
        <w:trPr>
          <w:jc w:val="center"/>
        </w:trPr>
        <w:tc>
          <w:tcPr>
            <w:tcW w:w="5985" w:type="dxa"/>
          </w:tcPr>
          <w:p w14:paraId="75536D30" w14:textId="77777777" w:rsidR="003D1382" w:rsidRPr="003501A6" w:rsidRDefault="003D1382" w:rsidP="00F82E38">
            <w:pPr>
              <w:pStyle w:val="ListParagraph"/>
              <w:ind w:left="0"/>
              <w:rPr>
                <w:rFonts w:ascii="Arial" w:hAnsi="Arial" w:cs="Arial"/>
                <w:sz w:val="22"/>
                <w:szCs w:val="22"/>
              </w:rPr>
            </w:pPr>
            <w:r w:rsidRPr="003501A6">
              <w:rPr>
                <w:rFonts w:ascii="Arial" w:hAnsi="Arial" w:cs="Arial"/>
                <w:sz w:val="22"/>
                <w:szCs w:val="22"/>
              </w:rPr>
              <w:t>Graduate Assistants (Outside Academic Year)</w:t>
            </w:r>
          </w:p>
        </w:tc>
        <w:tc>
          <w:tcPr>
            <w:tcW w:w="1564" w:type="dxa"/>
          </w:tcPr>
          <w:p w14:paraId="1C90B19E" w14:textId="77777777" w:rsidR="003D1382" w:rsidRPr="003501A6" w:rsidRDefault="003D1382" w:rsidP="00F82E38">
            <w:pPr>
              <w:pStyle w:val="ListParagraph"/>
              <w:ind w:left="0"/>
              <w:jc w:val="center"/>
              <w:rPr>
                <w:rFonts w:ascii="Arial" w:hAnsi="Arial" w:cs="Arial"/>
                <w:sz w:val="22"/>
                <w:szCs w:val="22"/>
              </w:rPr>
            </w:pPr>
            <w:r w:rsidRPr="003501A6">
              <w:rPr>
                <w:rFonts w:ascii="Arial" w:hAnsi="Arial" w:cs="Arial"/>
                <w:sz w:val="22"/>
                <w:szCs w:val="22"/>
              </w:rPr>
              <w:t>10.92%</w:t>
            </w:r>
          </w:p>
        </w:tc>
      </w:tr>
      <w:tr w:rsidR="003D1382" w:rsidRPr="003501A6" w14:paraId="18050D8D" w14:textId="77777777" w:rsidTr="00F82E38">
        <w:trPr>
          <w:jc w:val="center"/>
        </w:trPr>
        <w:tc>
          <w:tcPr>
            <w:tcW w:w="5985" w:type="dxa"/>
          </w:tcPr>
          <w:p w14:paraId="2D9F7408" w14:textId="77777777" w:rsidR="003D1382" w:rsidRPr="003501A6" w:rsidRDefault="003D1382" w:rsidP="00F82E38">
            <w:pPr>
              <w:pStyle w:val="ListParagraph"/>
              <w:ind w:left="0"/>
              <w:rPr>
                <w:rFonts w:ascii="Arial" w:hAnsi="Arial" w:cs="Arial"/>
                <w:sz w:val="22"/>
                <w:szCs w:val="22"/>
              </w:rPr>
            </w:pPr>
            <w:r w:rsidRPr="003501A6">
              <w:rPr>
                <w:rFonts w:ascii="Arial" w:hAnsi="Arial" w:cs="Arial"/>
                <w:sz w:val="22"/>
                <w:szCs w:val="22"/>
              </w:rPr>
              <w:t>Student Help</w:t>
            </w:r>
          </w:p>
        </w:tc>
        <w:tc>
          <w:tcPr>
            <w:tcW w:w="1564" w:type="dxa"/>
          </w:tcPr>
          <w:p w14:paraId="593316F8" w14:textId="77777777" w:rsidR="003D1382" w:rsidRPr="003501A6" w:rsidRDefault="003D1382" w:rsidP="00F82E38">
            <w:pPr>
              <w:pStyle w:val="ListParagraph"/>
              <w:ind w:left="0"/>
              <w:jc w:val="center"/>
              <w:rPr>
                <w:rFonts w:ascii="Arial" w:hAnsi="Arial" w:cs="Arial"/>
                <w:sz w:val="22"/>
                <w:szCs w:val="22"/>
              </w:rPr>
            </w:pPr>
            <w:r w:rsidRPr="003501A6">
              <w:rPr>
                <w:rFonts w:ascii="Arial" w:hAnsi="Arial" w:cs="Arial"/>
                <w:sz w:val="22"/>
                <w:szCs w:val="22"/>
              </w:rPr>
              <w:t>0.13%</w:t>
            </w:r>
          </w:p>
        </w:tc>
      </w:tr>
      <w:tr w:rsidR="003D1382" w:rsidRPr="003501A6" w14:paraId="02FA8CB3" w14:textId="77777777" w:rsidTr="00F82E38">
        <w:trPr>
          <w:jc w:val="center"/>
        </w:trPr>
        <w:tc>
          <w:tcPr>
            <w:tcW w:w="5985" w:type="dxa"/>
          </w:tcPr>
          <w:p w14:paraId="14E58B74" w14:textId="77777777" w:rsidR="003D1382" w:rsidRPr="003501A6" w:rsidRDefault="003D1382" w:rsidP="00F82E38">
            <w:pPr>
              <w:pStyle w:val="ListParagraph"/>
              <w:ind w:left="0"/>
              <w:rPr>
                <w:rFonts w:ascii="Arial" w:hAnsi="Arial" w:cs="Arial"/>
                <w:sz w:val="22"/>
                <w:szCs w:val="22"/>
              </w:rPr>
            </w:pPr>
            <w:r w:rsidRPr="003501A6">
              <w:rPr>
                <w:rFonts w:ascii="Arial" w:hAnsi="Arial" w:cs="Arial"/>
                <w:sz w:val="22"/>
                <w:szCs w:val="22"/>
              </w:rPr>
              <w:t>LTE</w:t>
            </w:r>
          </w:p>
        </w:tc>
        <w:tc>
          <w:tcPr>
            <w:tcW w:w="1564" w:type="dxa"/>
          </w:tcPr>
          <w:p w14:paraId="4523A194" w14:textId="77777777" w:rsidR="003D1382" w:rsidRPr="003501A6" w:rsidRDefault="003D1382" w:rsidP="00F82E38">
            <w:pPr>
              <w:pStyle w:val="ListParagraph"/>
              <w:ind w:left="0"/>
              <w:jc w:val="center"/>
              <w:rPr>
                <w:rFonts w:ascii="Arial" w:hAnsi="Arial" w:cs="Arial"/>
                <w:sz w:val="22"/>
                <w:szCs w:val="22"/>
              </w:rPr>
            </w:pPr>
            <w:r w:rsidRPr="003501A6">
              <w:rPr>
                <w:rFonts w:ascii="Arial" w:hAnsi="Arial" w:cs="Arial"/>
                <w:sz w:val="22"/>
                <w:szCs w:val="22"/>
              </w:rPr>
              <w:t>7.65%</w:t>
            </w:r>
          </w:p>
        </w:tc>
      </w:tr>
    </w:tbl>
    <w:p w14:paraId="7B97F15B" w14:textId="77777777" w:rsidR="003D1382" w:rsidRPr="003501A6" w:rsidRDefault="003D1382" w:rsidP="005248B3">
      <w:pPr>
        <w:pStyle w:val="ListParagraph"/>
        <w:ind w:left="1440"/>
        <w:rPr>
          <w:rFonts w:ascii="Arial" w:hAnsi="Arial" w:cs="Arial"/>
          <w:sz w:val="22"/>
          <w:szCs w:val="22"/>
        </w:rPr>
      </w:pPr>
    </w:p>
    <w:p w14:paraId="1A4D164B" w14:textId="77777777" w:rsidR="003D1382" w:rsidRPr="003501A6" w:rsidRDefault="003D1382" w:rsidP="005248B3">
      <w:pPr>
        <w:pStyle w:val="ListParagraph"/>
        <w:ind w:left="1440"/>
        <w:rPr>
          <w:rFonts w:ascii="Arial" w:hAnsi="Arial" w:cs="Arial"/>
          <w:sz w:val="22"/>
          <w:szCs w:val="22"/>
        </w:rPr>
      </w:pPr>
    </w:p>
    <w:p w14:paraId="6F87EE1C" w14:textId="6D621298" w:rsidR="005248B3" w:rsidRPr="003501A6" w:rsidRDefault="005248B3" w:rsidP="005248B3">
      <w:pPr>
        <w:pStyle w:val="ListParagraph"/>
        <w:numPr>
          <w:ilvl w:val="1"/>
          <w:numId w:val="7"/>
        </w:numPr>
        <w:rPr>
          <w:rFonts w:ascii="Arial" w:hAnsi="Arial" w:cs="Arial"/>
          <w:sz w:val="22"/>
          <w:szCs w:val="22"/>
        </w:rPr>
      </w:pPr>
      <w:r w:rsidRPr="003501A6">
        <w:rPr>
          <w:rFonts w:ascii="Arial" w:hAnsi="Arial" w:cs="Arial"/>
          <w:sz w:val="22"/>
          <w:szCs w:val="22"/>
        </w:rPr>
        <w:t xml:space="preserve">If Graduate Assistants elect health insurance </w:t>
      </w:r>
      <w:r w:rsidR="00517685" w:rsidRPr="003501A6">
        <w:rPr>
          <w:rFonts w:ascii="Arial" w:hAnsi="Arial" w:cs="Arial"/>
          <w:sz w:val="22"/>
          <w:szCs w:val="22"/>
        </w:rPr>
        <w:t xml:space="preserve">units </w:t>
      </w:r>
      <w:r w:rsidRPr="003501A6">
        <w:rPr>
          <w:rFonts w:ascii="Arial" w:hAnsi="Arial" w:cs="Arial"/>
          <w:sz w:val="22"/>
          <w:szCs w:val="22"/>
        </w:rPr>
        <w:t xml:space="preserve">should factor those costs into the fringe budget by looking at history of the account and graduate assistant appointments for that particular department. </w:t>
      </w:r>
    </w:p>
    <w:p w14:paraId="35C71C5C" w14:textId="37C10358" w:rsidR="009F364C" w:rsidRPr="003501A6" w:rsidRDefault="005248B3" w:rsidP="009F364C">
      <w:pPr>
        <w:pStyle w:val="ListParagraph"/>
        <w:numPr>
          <w:ilvl w:val="1"/>
          <w:numId w:val="7"/>
        </w:numPr>
        <w:rPr>
          <w:rFonts w:ascii="Arial" w:hAnsi="Arial" w:cs="Arial"/>
          <w:sz w:val="22"/>
          <w:szCs w:val="22"/>
        </w:rPr>
      </w:pPr>
      <w:r w:rsidRPr="003501A6">
        <w:rPr>
          <w:rFonts w:ascii="Arial" w:hAnsi="Arial" w:cs="Arial"/>
          <w:sz w:val="22"/>
          <w:szCs w:val="22"/>
        </w:rPr>
        <w:t>For Student Help, review actual activity within the department to det</w:t>
      </w:r>
      <w:r w:rsidR="009F364C" w:rsidRPr="003501A6">
        <w:rPr>
          <w:rFonts w:ascii="Arial" w:hAnsi="Arial" w:cs="Arial"/>
          <w:sz w:val="22"/>
          <w:szCs w:val="22"/>
        </w:rPr>
        <w:t>ermine appropriate fringe rate.</w:t>
      </w:r>
    </w:p>
    <w:p w14:paraId="4C4615D9" w14:textId="2D65229F" w:rsidR="009F364C" w:rsidRPr="003501A6" w:rsidRDefault="009F364C" w:rsidP="004F097F">
      <w:pPr>
        <w:pStyle w:val="ListParagraph"/>
        <w:numPr>
          <w:ilvl w:val="1"/>
          <w:numId w:val="7"/>
        </w:numPr>
        <w:jc w:val="both"/>
        <w:rPr>
          <w:rFonts w:ascii="Arial" w:hAnsi="Arial" w:cs="Arial"/>
          <w:sz w:val="22"/>
          <w:szCs w:val="22"/>
        </w:rPr>
      </w:pPr>
      <w:r w:rsidRPr="003501A6">
        <w:rPr>
          <w:rFonts w:ascii="Arial" w:hAnsi="Arial" w:cs="Arial"/>
          <w:sz w:val="22"/>
          <w:szCs w:val="22"/>
        </w:rPr>
        <w:t>If departments are proposing to transfer S&amp;E budget to Salary budget (Student Help, Unclassified, etc), there is a conversion cost to move the budgets up to salary lines due to the fri</w:t>
      </w:r>
      <w:r w:rsidR="00C768BF" w:rsidRPr="003501A6">
        <w:rPr>
          <w:rFonts w:ascii="Arial" w:hAnsi="Arial" w:cs="Arial"/>
          <w:sz w:val="22"/>
          <w:szCs w:val="22"/>
        </w:rPr>
        <w:t>nge</w:t>
      </w:r>
      <w:r w:rsidR="00C0727E" w:rsidRPr="003501A6">
        <w:rPr>
          <w:rFonts w:ascii="Arial" w:hAnsi="Arial" w:cs="Arial"/>
          <w:sz w:val="22"/>
          <w:szCs w:val="22"/>
        </w:rPr>
        <w:t xml:space="preserve"> benefit assessment. For FY2</w:t>
      </w:r>
      <w:r w:rsidR="00054972" w:rsidRPr="003501A6">
        <w:rPr>
          <w:rFonts w:ascii="Arial" w:hAnsi="Arial" w:cs="Arial"/>
          <w:sz w:val="22"/>
          <w:szCs w:val="22"/>
        </w:rPr>
        <w:t>5</w:t>
      </w:r>
      <w:r w:rsidRPr="003501A6">
        <w:rPr>
          <w:rFonts w:ascii="Arial" w:hAnsi="Arial" w:cs="Arial"/>
          <w:sz w:val="22"/>
          <w:szCs w:val="22"/>
        </w:rPr>
        <w:t xml:space="preserve"> the cost of any SE to salary conversion is </w:t>
      </w:r>
      <w:r w:rsidR="00655A0F" w:rsidRPr="003501A6">
        <w:rPr>
          <w:rFonts w:ascii="Arial" w:hAnsi="Arial" w:cs="Arial"/>
          <w:sz w:val="22"/>
          <w:szCs w:val="22"/>
        </w:rPr>
        <w:t>approximately 38</w:t>
      </w:r>
      <w:r w:rsidRPr="003501A6">
        <w:rPr>
          <w:rFonts w:ascii="Arial" w:hAnsi="Arial" w:cs="Arial"/>
          <w:sz w:val="22"/>
          <w:szCs w:val="22"/>
        </w:rPr>
        <w:t xml:space="preserve">%. If there is an ongoing salary charge to an account that has historically been funded through S&amp;E savings the department will be requested to make a permanent budget change to reflect actual activity in the account within the appropriate expenditure category. </w:t>
      </w:r>
    </w:p>
    <w:p w14:paraId="55D0DBA3" w14:textId="77777777" w:rsidR="006147A7" w:rsidRPr="003501A6" w:rsidRDefault="006147A7" w:rsidP="0055590C">
      <w:pPr>
        <w:rPr>
          <w:rFonts w:ascii="Arial" w:hAnsi="Arial" w:cs="Arial"/>
          <w:sz w:val="22"/>
          <w:szCs w:val="22"/>
        </w:rPr>
      </w:pPr>
    </w:p>
    <w:p w14:paraId="04923649" w14:textId="30C97BAF" w:rsidR="00820730" w:rsidRPr="003501A6" w:rsidRDefault="00820730" w:rsidP="005238FD">
      <w:pPr>
        <w:pStyle w:val="ListParagraph"/>
        <w:numPr>
          <w:ilvl w:val="0"/>
          <w:numId w:val="7"/>
        </w:numPr>
        <w:jc w:val="both"/>
        <w:rPr>
          <w:rFonts w:ascii="Arial" w:hAnsi="Arial" w:cs="Arial"/>
          <w:b/>
          <w:sz w:val="22"/>
          <w:szCs w:val="22"/>
        </w:rPr>
      </w:pPr>
      <w:r w:rsidRPr="003501A6">
        <w:rPr>
          <w:rFonts w:ascii="Arial" w:hAnsi="Arial" w:cs="Arial"/>
          <w:b/>
          <w:sz w:val="22"/>
          <w:szCs w:val="22"/>
        </w:rPr>
        <w:t>Health Insurance</w:t>
      </w:r>
      <w:r w:rsidR="00C91AAC" w:rsidRPr="003501A6">
        <w:rPr>
          <w:rFonts w:ascii="Arial" w:hAnsi="Arial" w:cs="Arial"/>
          <w:b/>
          <w:sz w:val="22"/>
          <w:szCs w:val="22"/>
        </w:rPr>
        <w:t>, ICI,</w:t>
      </w:r>
      <w:r w:rsidRPr="003501A6">
        <w:rPr>
          <w:rFonts w:ascii="Arial" w:hAnsi="Arial" w:cs="Arial"/>
          <w:b/>
          <w:sz w:val="22"/>
          <w:szCs w:val="22"/>
        </w:rPr>
        <w:t xml:space="preserve"> </w:t>
      </w:r>
      <w:r w:rsidR="00FB0DBF" w:rsidRPr="003501A6">
        <w:rPr>
          <w:rFonts w:ascii="Arial" w:hAnsi="Arial" w:cs="Arial"/>
          <w:b/>
          <w:sz w:val="22"/>
          <w:szCs w:val="22"/>
        </w:rPr>
        <w:t>Retirement</w:t>
      </w:r>
      <w:r w:rsidR="00F97391" w:rsidRPr="003501A6">
        <w:rPr>
          <w:rFonts w:ascii="Arial" w:hAnsi="Arial" w:cs="Arial"/>
          <w:b/>
          <w:sz w:val="22"/>
          <w:szCs w:val="22"/>
        </w:rPr>
        <w:t>, Social Security, Medicare</w:t>
      </w:r>
    </w:p>
    <w:p w14:paraId="0492364A" w14:textId="77777777" w:rsidR="00820730" w:rsidRPr="003501A6" w:rsidRDefault="00820730" w:rsidP="003478FE">
      <w:pPr>
        <w:spacing w:line="120" w:lineRule="auto"/>
        <w:jc w:val="both"/>
        <w:rPr>
          <w:rFonts w:ascii="Arial" w:hAnsi="Arial" w:cs="Arial"/>
          <w:sz w:val="22"/>
          <w:szCs w:val="22"/>
        </w:rPr>
      </w:pPr>
    </w:p>
    <w:p w14:paraId="6C4F983E" w14:textId="320497E8" w:rsidR="00C91AAC" w:rsidRPr="003501A6" w:rsidRDefault="00C0727E" w:rsidP="000B6B99">
      <w:pPr>
        <w:ind w:firstLine="720"/>
        <w:jc w:val="both"/>
        <w:rPr>
          <w:rFonts w:ascii="Arial" w:hAnsi="Arial" w:cs="Arial"/>
          <w:sz w:val="22"/>
          <w:szCs w:val="22"/>
        </w:rPr>
      </w:pPr>
      <w:r w:rsidRPr="003501A6">
        <w:rPr>
          <w:rFonts w:ascii="Arial" w:hAnsi="Arial" w:cs="Arial"/>
          <w:sz w:val="22"/>
          <w:szCs w:val="22"/>
        </w:rPr>
        <w:t xml:space="preserve">Effective January </w:t>
      </w:r>
      <w:r w:rsidR="00E04343" w:rsidRPr="003501A6">
        <w:rPr>
          <w:rFonts w:ascii="Arial" w:hAnsi="Arial" w:cs="Arial"/>
          <w:sz w:val="22"/>
          <w:szCs w:val="22"/>
        </w:rPr>
        <w:t>1</w:t>
      </w:r>
      <w:r w:rsidRPr="003501A6">
        <w:rPr>
          <w:rFonts w:ascii="Arial" w:hAnsi="Arial" w:cs="Arial"/>
          <w:sz w:val="22"/>
          <w:szCs w:val="22"/>
        </w:rPr>
        <w:t>, 202</w:t>
      </w:r>
      <w:r w:rsidR="009F4EEE" w:rsidRPr="003501A6">
        <w:rPr>
          <w:rFonts w:ascii="Arial" w:hAnsi="Arial" w:cs="Arial"/>
          <w:sz w:val="22"/>
          <w:szCs w:val="22"/>
        </w:rPr>
        <w:t>4</w:t>
      </w:r>
      <w:r w:rsidR="00C91AAC" w:rsidRPr="003501A6">
        <w:rPr>
          <w:rFonts w:ascii="Arial" w:hAnsi="Arial" w:cs="Arial"/>
          <w:sz w:val="22"/>
          <w:szCs w:val="22"/>
        </w:rPr>
        <w:t>:</w:t>
      </w:r>
    </w:p>
    <w:p w14:paraId="0A48CD93" w14:textId="77777777" w:rsidR="00054972" w:rsidRPr="003501A6" w:rsidRDefault="00054972" w:rsidP="00054972">
      <w:pPr>
        <w:pStyle w:val="ListParagraph"/>
        <w:numPr>
          <w:ilvl w:val="0"/>
          <w:numId w:val="8"/>
        </w:numPr>
        <w:jc w:val="both"/>
        <w:rPr>
          <w:rFonts w:ascii="Arial" w:hAnsi="Arial" w:cs="Arial"/>
          <w:sz w:val="22"/>
          <w:szCs w:val="22"/>
        </w:rPr>
      </w:pPr>
      <w:r w:rsidRPr="003501A6">
        <w:rPr>
          <w:rFonts w:ascii="Arial" w:hAnsi="Arial" w:cs="Arial"/>
          <w:sz w:val="22"/>
          <w:szCs w:val="22"/>
        </w:rPr>
        <w:t xml:space="preserve">Health Insurance premiums for Gundersen (Quartz) will increase by 11.8% and Mayo (Dean Health) will increase by 11.8% effective January 1, 2024. </w:t>
      </w:r>
    </w:p>
    <w:p w14:paraId="4BB0F8E6" w14:textId="41390848" w:rsidR="00ED2C39" w:rsidRPr="003501A6" w:rsidRDefault="009778C3" w:rsidP="00ED2C39">
      <w:pPr>
        <w:pStyle w:val="ListParagraph"/>
        <w:numPr>
          <w:ilvl w:val="0"/>
          <w:numId w:val="8"/>
        </w:numPr>
        <w:jc w:val="both"/>
        <w:rPr>
          <w:rFonts w:ascii="Arial" w:hAnsi="Arial" w:cs="Arial"/>
          <w:sz w:val="22"/>
          <w:szCs w:val="22"/>
        </w:rPr>
      </w:pPr>
      <w:r w:rsidRPr="003501A6">
        <w:rPr>
          <w:rFonts w:ascii="Arial" w:hAnsi="Arial" w:cs="Arial"/>
          <w:sz w:val="22"/>
          <w:szCs w:val="22"/>
        </w:rPr>
        <w:t xml:space="preserve">Employee </w:t>
      </w:r>
      <w:r w:rsidR="006B1A4D" w:rsidRPr="003501A6">
        <w:rPr>
          <w:rFonts w:ascii="Arial" w:hAnsi="Arial" w:cs="Arial"/>
          <w:sz w:val="22"/>
          <w:szCs w:val="22"/>
        </w:rPr>
        <w:t xml:space="preserve">and Employer </w:t>
      </w:r>
      <w:r w:rsidRPr="003501A6">
        <w:rPr>
          <w:rFonts w:ascii="Arial" w:hAnsi="Arial" w:cs="Arial"/>
          <w:sz w:val="22"/>
          <w:szCs w:val="22"/>
        </w:rPr>
        <w:t xml:space="preserve">retirement contribution </w:t>
      </w:r>
      <w:r w:rsidR="006B1A4D" w:rsidRPr="003501A6">
        <w:rPr>
          <w:rFonts w:ascii="Arial" w:hAnsi="Arial" w:cs="Arial"/>
          <w:sz w:val="22"/>
          <w:szCs w:val="22"/>
        </w:rPr>
        <w:t xml:space="preserve">rates will </w:t>
      </w:r>
      <w:r w:rsidR="632ECFB4" w:rsidRPr="003501A6">
        <w:rPr>
          <w:rFonts w:ascii="Arial" w:hAnsi="Arial" w:cs="Arial"/>
          <w:sz w:val="22"/>
          <w:szCs w:val="22"/>
        </w:rPr>
        <w:t xml:space="preserve">be </w:t>
      </w:r>
      <w:r w:rsidR="009B1BAD" w:rsidRPr="003501A6">
        <w:rPr>
          <w:rFonts w:ascii="Arial" w:hAnsi="Arial" w:cs="Arial"/>
          <w:sz w:val="22"/>
          <w:szCs w:val="22"/>
        </w:rPr>
        <w:t>11</w:t>
      </w:r>
      <w:r w:rsidR="00E04343" w:rsidRPr="003501A6">
        <w:rPr>
          <w:rFonts w:ascii="Arial" w:hAnsi="Arial" w:cs="Arial"/>
          <w:sz w:val="22"/>
          <w:szCs w:val="22"/>
        </w:rPr>
        <w:t>.</w:t>
      </w:r>
      <w:r w:rsidR="00054972" w:rsidRPr="003501A6">
        <w:rPr>
          <w:rFonts w:ascii="Arial" w:hAnsi="Arial" w:cs="Arial"/>
          <w:sz w:val="22"/>
          <w:szCs w:val="22"/>
        </w:rPr>
        <w:t>55</w:t>
      </w:r>
      <w:r w:rsidR="009B1BAD" w:rsidRPr="003501A6">
        <w:rPr>
          <w:rFonts w:ascii="Arial" w:hAnsi="Arial" w:cs="Arial"/>
          <w:sz w:val="22"/>
          <w:szCs w:val="22"/>
        </w:rPr>
        <w:t>%.</w:t>
      </w:r>
    </w:p>
    <w:p w14:paraId="0467E765" w14:textId="3F1FF883" w:rsidR="00F97391" w:rsidRPr="003501A6" w:rsidRDefault="00F97391" w:rsidP="00ED2C39">
      <w:pPr>
        <w:pStyle w:val="ListParagraph"/>
        <w:numPr>
          <w:ilvl w:val="0"/>
          <w:numId w:val="8"/>
        </w:numPr>
        <w:jc w:val="both"/>
        <w:rPr>
          <w:rFonts w:ascii="Arial" w:hAnsi="Arial" w:cs="Arial"/>
          <w:sz w:val="22"/>
          <w:szCs w:val="22"/>
        </w:rPr>
      </w:pPr>
      <w:r w:rsidRPr="003501A6">
        <w:rPr>
          <w:rFonts w:ascii="Arial" w:hAnsi="Arial" w:cs="Arial"/>
          <w:sz w:val="22"/>
          <w:szCs w:val="22"/>
        </w:rPr>
        <w:t>Social Security will remain constant at 6.2</w:t>
      </w:r>
      <w:r w:rsidR="00C0727E" w:rsidRPr="003501A6">
        <w:rPr>
          <w:rFonts w:ascii="Arial" w:hAnsi="Arial" w:cs="Arial"/>
          <w:sz w:val="22"/>
          <w:szCs w:val="22"/>
        </w:rPr>
        <w:t>0</w:t>
      </w:r>
      <w:r w:rsidRPr="003501A6">
        <w:rPr>
          <w:rFonts w:ascii="Arial" w:hAnsi="Arial" w:cs="Arial"/>
          <w:sz w:val="22"/>
          <w:szCs w:val="22"/>
        </w:rPr>
        <w:t>%.</w:t>
      </w:r>
    </w:p>
    <w:p w14:paraId="199FEF5C" w14:textId="39671071" w:rsidR="00F97391" w:rsidRPr="003501A6" w:rsidRDefault="00F97391" w:rsidP="00ED2C39">
      <w:pPr>
        <w:pStyle w:val="ListParagraph"/>
        <w:numPr>
          <w:ilvl w:val="0"/>
          <w:numId w:val="8"/>
        </w:numPr>
        <w:jc w:val="both"/>
        <w:rPr>
          <w:rFonts w:ascii="Arial" w:hAnsi="Arial" w:cs="Arial"/>
          <w:sz w:val="22"/>
          <w:szCs w:val="22"/>
        </w:rPr>
      </w:pPr>
      <w:r w:rsidRPr="003501A6">
        <w:rPr>
          <w:rFonts w:ascii="Arial" w:hAnsi="Arial" w:cs="Arial"/>
          <w:sz w:val="22"/>
          <w:szCs w:val="22"/>
        </w:rPr>
        <w:t>Medicare will remain constant at 1.45%.</w:t>
      </w:r>
    </w:p>
    <w:p w14:paraId="41EEA34E" w14:textId="41B4DC74" w:rsidR="00BB353F" w:rsidRPr="003501A6" w:rsidRDefault="00BB353F" w:rsidP="00ED2C39">
      <w:pPr>
        <w:pStyle w:val="ListParagraph"/>
        <w:numPr>
          <w:ilvl w:val="0"/>
          <w:numId w:val="8"/>
        </w:numPr>
        <w:jc w:val="both"/>
        <w:rPr>
          <w:rFonts w:ascii="Arial" w:hAnsi="Arial" w:cs="Arial"/>
          <w:sz w:val="22"/>
          <w:szCs w:val="22"/>
        </w:rPr>
      </w:pPr>
      <w:r w:rsidRPr="003501A6">
        <w:rPr>
          <w:rFonts w:ascii="Arial" w:hAnsi="Arial" w:cs="Arial"/>
          <w:sz w:val="22"/>
          <w:szCs w:val="22"/>
        </w:rPr>
        <w:t xml:space="preserve">Ad-hoc appointments are generally charged Retirement, Social Security, and Medicare. Retirement may not be charged if the employee’s total appointment is less than the percentages mentioned </w:t>
      </w:r>
      <w:hyperlink r:id="rId13" w:history="1">
        <w:r w:rsidR="00627CB9" w:rsidRPr="003501A6">
          <w:rPr>
            <w:rStyle w:val="Hyperlink"/>
            <w:rFonts w:ascii="Arial" w:hAnsi="Arial" w:cs="Arial"/>
            <w:sz w:val="22"/>
            <w:szCs w:val="22"/>
          </w:rPr>
          <w:t>on the WRS website</w:t>
        </w:r>
      </w:hyperlink>
      <w:r w:rsidRPr="003501A6">
        <w:rPr>
          <w:rFonts w:ascii="Arial" w:hAnsi="Arial" w:cs="Arial"/>
          <w:sz w:val="22"/>
          <w:szCs w:val="22"/>
        </w:rPr>
        <w:t>.</w:t>
      </w:r>
    </w:p>
    <w:p w14:paraId="4D51BD67" w14:textId="77777777" w:rsidR="00C0727E" w:rsidRPr="003501A6" w:rsidRDefault="00C0727E" w:rsidP="00C0727E">
      <w:pPr>
        <w:pStyle w:val="ListParagraph"/>
        <w:ind w:left="1800"/>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2520"/>
        <w:gridCol w:w="1525"/>
      </w:tblGrid>
      <w:tr w:rsidR="00C0727E" w:rsidRPr="003501A6" w14:paraId="50884B67" w14:textId="77777777" w:rsidTr="00C15994">
        <w:trPr>
          <w:jc w:val="center"/>
        </w:trPr>
        <w:tc>
          <w:tcPr>
            <w:tcW w:w="4045" w:type="dxa"/>
            <w:gridSpan w:val="2"/>
          </w:tcPr>
          <w:p w14:paraId="74FAB1EA" w14:textId="1A24167E" w:rsidR="00C0727E" w:rsidRPr="003501A6" w:rsidRDefault="00C0727E" w:rsidP="00C15994">
            <w:pPr>
              <w:pStyle w:val="ListParagraph"/>
              <w:ind w:left="0"/>
              <w:jc w:val="center"/>
              <w:rPr>
                <w:rFonts w:ascii="Arial" w:hAnsi="Arial" w:cs="Arial"/>
                <w:b/>
                <w:sz w:val="22"/>
                <w:szCs w:val="22"/>
              </w:rPr>
            </w:pPr>
            <w:r w:rsidRPr="003501A6">
              <w:rPr>
                <w:rFonts w:ascii="Arial" w:hAnsi="Arial" w:cs="Arial"/>
                <w:b/>
                <w:sz w:val="22"/>
                <w:szCs w:val="22"/>
              </w:rPr>
              <w:t>FY2</w:t>
            </w:r>
            <w:r w:rsidR="0078186A" w:rsidRPr="003501A6">
              <w:rPr>
                <w:rFonts w:ascii="Arial" w:hAnsi="Arial" w:cs="Arial"/>
                <w:b/>
                <w:sz w:val="22"/>
                <w:szCs w:val="22"/>
              </w:rPr>
              <w:t>5</w:t>
            </w:r>
            <w:r w:rsidRPr="003501A6">
              <w:rPr>
                <w:rFonts w:ascii="Arial" w:hAnsi="Arial" w:cs="Arial"/>
                <w:b/>
                <w:sz w:val="22"/>
                <w:szCs w:val="22"/>
              </w:rPr>
              <w:t xml:space="preserve"> Fringe Rates</w:t>
            </w:r>
          </w:p>
        </w:tc>
      </w:tr>
      <w:tr w:rsidR="00C0727E" w:rsidRPr="003501A6" w14:paraId="65209FC2" w14:textId="77777777" w:rsidTr="00C15994">
        <w:trPr>
          <w:jc w:val="center"/>
        </w:trPr>
        <w:tc>
          <w:tcPr>
            <w:tcW w:w="2520" w:type="dxa"/>
          </w:tcPr>
          <w:p w14:paraId="17C18FC1" w14:textId="77777777" w:rsidR="00C0727E" w:rsidRPr="003501A6" w:rsidRDefault="00C0727E" w:rsidP="00C15994">
            <w:pPr>
              <w:pStyle w:val="ListParagraph"/>
              <w:ind w:left="0"/>
              <w:jc w:val="center"/>
              <w:rPr>
                <w:rFonts w:ascii="Arial" w:hAnsi="Arial" w:cs="Arial"/>
                <w:sz w:val="22"/>
                <w:szCs w:val="22"/>
                <w:u w:val="single"/>
              </w:rPr>
            </w:pPr>
            <w:r w:rsidRPr="003501A6">
              <w:rPr>
                <w:rFonts w:ascii="Arial" w:hAnsi="Arial" w:cs="Arial"/>
                <w:sz w:val="22"/>
                <w:szCs w:val="22"/>
                <w:u w:val="single"/>
              </w:rPr>
              <w:t>Fringe Type</w:t>
            </w:r>
          </w:p>
        </w:tc>
        <w:tc>
          <w:tcPr>
            <w:tcW w:w="1525" w:type="dxa"/>
          </w:tcPr>
          <w:p w14:paraId="77B490B6" w14:textId="77777777" w:rsidR="00C0727E" w:rsidRPr="003501A6" w:rsidRDefault="00C0727E" w:rsidP="00C15994">
            <w:pPr>
              <w:pStyle w:val="ListParagraph"/>
              <w:ind w:left="0"/>
              <w:jc w:val="center"/>
              <w:rPr>
                <w:rFonts w:ascii="Arial" w:hAnsi="Arial" w:cs="Arial"/>
                <w:sz w:val="22"/>
                <w:szCs w:val="22"/>
                <w:u w:val="single"/>
              </w:rPr>
            </w:pPr>
            <w:r w:rsidRPr="003501A6">
              <w:rPr>
                <w:rFonts w:ascii="Arial" w:hAnsi="Arial" w:cs="Arial"/>
                <w:sz w:val="22"/>
                <w:szCs w:val="22"/>
                <w:u w:val="single"/>
              </w:rPr>
              <w:t>Rate</w:t>
            </w:r>
          </w:p>
        </w:tc>
      </w:tr>
      <w:tr w:rsidR="00C0727E" w:rsidRPr="003501A6" w14:paraId="10AC1EA5" w14:textId="77777777" w:rsidTr="00C15994">
        <w:trPr>
          <w:jc w:val="center"/>
        </w:trPr>
        <w:tc>
          <w:tcPr>
            <w:tcW w:w="2520" w:type="dxa"/>
          </w:tcPr>
          <w:p w14:paraId="2F9DC93E" w14:textId="77777777" w:rsidR="00C0727E" w:rsidRPr="003501A6" w:rsidRDefault="00C0727E" w:rsidP="00C15994">
            <w:pPr>
              <w:pStyle w:val="ListParagraph"/>
              <w:ind w:left="0"/>
              <w:jc w:val="both"/>
              <w:rPr>
                <w:rFonts w:ascii="Arial" w:hAnsi="Arial" w:cs="Arial"/>
                <w:sz w:val="22"/>
                <w:szCs w:val="22"/>
              </w:rPr>
            </w:pPr>
            <w:r w:rsidRPr="003501A6">
              <w:rPr>
                <w:rFonts w:ascii="Arial" w:hAnsi="Arial" w:cs="Arial"/>
                <w:sz w:val="22"/>
                <w:szCs w:val="22"/>
              </w:rPr>
              <w:t>Retirement</w:t>
            </w:r>
          </w:p>
        </w:tc>
        <w:tc>
          <w:tcPr>
            <w:tcW w:w="1525" w:type="dxa"/>
          </w:tcPr>
          <w:p w14:paraId="533E1B5A" w14:textId="26D2DBEF" w:rsidR="00C0727E" w:rsidRPr="003501A6" w:rsidRDefault="00C0727E" w:rsidP="00C15994">
            <w:pPr>
              <w:pStyle w:val="ListParagraph"/>
              <w:ind w:left="0"/>
              <w:jc w:val="right"/>
              <w:rPr>
                <w:rFonts w:ascii="Arial" w:hAnsi="Arial" w:cs="Arial"/>
                <w:sz w:val="22"/>
                <w:szCs w:val="22"/>
              </w:rPr>
            </w:pPr>
            <w:r w:rsidRPr="003501A6">
              <w:rPr>
                <w:rFonts w:ascii="Arial" w:hAnsi="Arial" w:cs="Arial"/>
                <w:sz w:val="22"/>
                <w:szCs w:val="22"/>
              </w:rPr>
              <w:t>1</w:t>
            </w:r>
            <w:r w:rsidR="009B1BAD" w:rsidRPr="003501A6">
              <w:rPr>
                <w:rFonts w:ascii="Arial" w:hAnsi="Arial" w:cs="Arial"/>
                <w:sz w:val="22"/>
                <w:szCs w:val="22"/>
              </w:rPr>
              <w:t>1.</w:t>
            </w:r>
            <w:r w:rsidR="00054972" w:rsidRPr="003501A6">
              <w:rPr>
                <w:rFonts w:ascii="Arial" w:hAnsi="Arial" w:cs="Arial"/>
                <w:sz w:val="22"/>
                <w:szCs w:val="22"/>
              </w:rPr>
              <w:t>55</w:t>
            </w:r>
            <w:r w:rsidRPr="003501A6">
              <w:rPr>
                <w:rFonts w:ascii="Arial" w:hAnsi="Arial" w:cs="Arial"/>
                <w:sz w:val="22"/>
                <w:szCs w:val="22"/>
              </w:rPr>
              <w:t>%</w:t>
            </w:r>
          </w:p>
        </w:tc>
      </w:tr>
      <w:tr w:rsidR="00C0727E" w:rsidRPr="003501A6" w14:paraId="535B2C9F" w14:textId="77777777" w:rsidTr="00C15994">
        <w:trPr>
          <w:jc w:val="center"/>
        </w:trPr>
        <w:tc>
          <w:tcPr>
            <w:tcW w:w="2520" w:type="dxa"/>
          </w:tcPr>
          <w:p w14:paraId="36205657" w14:textId="77777777" w:rsidR="00C0727E" w:rsidRPr="003501A6" w:rsidRDefault="00C0727E" w:rsidP="00C15994">
            <w:pPr>
              <w:pStyle w:val="ListParagraph"/>
              <w:ind w:left="0"/>
              <w:jc w:val="both"/>
              <w:rPr>
                <w:rFonts w:ascii="Arial" w:hAnsi="Arial" w:cs="Arial"/>
                <w:sz w:val="22"/>
                <w:szCs w:val="22"/>
              </w:rPr>
            </w:pPr>
            <w:r w:rsidRPr="003501A6">
              <w:rPr>
                <w:rFonts w:ascii="Arial" w:hAnsi="Arial" w:cs="Arial"/>
                <w:sz w:val="22"/>
                <w:szCs w:val="22"/>
              </w:rPr>
              <w:t>Medicare</w:t>
            </w:r>
          </w:p>
        </w:tc>
        <w:tc>
          <w:tcPr>
            <w:tcW w:w="1525" w:type="dxa"/>
          </w:tcPr>
          <w:p w14:paraId="119D1C81" w14:textId="77777777" w:rsidR="00C0727E" w:rsidRPr="003501A6" w:rsidRDefault="00C0727E" w:rsidP="00C15994">
            <w:pPr>
              <w:pStyle w:val="ListParagraph"/>
              <w:ind w:left="0"/>
              <w:jc w:val="right"/>
              <w:rPr>
                <w:rFonts w:ascii="Arial" w:hAnsi="Arial" w:cs="Arial"/>
                <w:sz w:val="22"/>
                <w:szCs w:val="22"/>
              </w:rPr>
            </w:pPr>
            <w:r w:rsidRPr="003501A6">
              <w:rPr>
                <w:rFonts w:ascii="Arial" w:hAnsi="Arial" w:cs="Arial"/>
                <w:sz w:val="22"/>
                <w:szCs w:val="22"/>
              </w:rPr>
              <w:t>1.45%</w:t>
            </w:r>
          </w:p>
        </w:tc>
      </w:tr>
      <w:tr w:rsidR="00C0727E" w:rsidRPr="003501A6" w14:paraId="1BD9F491" w14:textId="77777777" w:rsidTr="00C15994">
        <w:trPr>
          <w:jc w:val="center"/>
        </w:trPr>
        <w:tc>
          <w:tcPr>
            <w:tcW w:w="2520" w:type="dxa"/>
          </w:tcPr>
          <w:p w14:paraId="6BCBAC98" w14:textId="77777777" w:rsidR="00C0727E" w:rsidRPr="003501A6" w:rsidRDefault="00C0727E" w:rsidP="00C15994">
            <w:pPr>
              <w:pStyle w:val="ListParagraph"/>
              <w:ind w:left="0"/>
              <w:jc w:val="both"/>
              <w:rPr>
                <w:rFonts w:ascii="Arial" w:hAnsi="Arial" w:cs="Arial"/>
                <w:sz w:val="22"/>
                <w:szCs w:val="22"/>
              </w:rPr>
            </w:pPr>
            <w:r w:rsidRPr="003501A6">
              <w:rPr>
                <w:rFonts w:ascii="Arial" w:hAnsi="Arial" w:cs="Arial"/>
                <w:sz w:val="22"/>
                <w:szCs w:val="22"/>
              </w:rPr>
              <w:t>Social Security</w:t>
            </w:r>
          </w:p>
        </w:tc>
        <w:tc>
          <w:tcPr>
            <w:tcW w:w="1525" w:type="dxa"/>
          </w:tcPr>
          <w:p w14:paraId="7FA94571" w14:textId="77777777" w:rsidR="00C0727E" w:rsidRPr="003501A6" w:rsidRDefault="00C0727E" w:rsidP="00C15994">
            <w:pPr>
              <w:pStyle w:val="ListParagraph"/>
              <w:ind w:left="0"/>
              <w:jc w:val="right"/>
              <w:rPr>
                <w:rFonts w:ascii="Arial" w:hAnsi="Arial" w:cs="Arial"/>
                <w:sz w:val="22"/>
                <w:szCs w:val="22"/>
              </w:rPr>
            </w:pPr>
            <w:r w:rsidRPr="003501A6">
              <w:rPr>
                <w:rFonts w:ascii="Arial" w:hAnsi="Arial" w:cs="Arial"/>
                <w:sz w:val="22"/>
                <w:szCs w:val="22"/>
              </w:rPr>
              <w:t>6.20%</w:t>
            </w:r>
          </w:p>
        </w:tc>
      </w:tr>
    </w:tbl>
    <w:p w14:paraId="0492364C" w14:textId="77777777" w:rsidR="00820730" w:rsidRPr="003501A6" w:rsidRDefault="00820730" w:rsidP="00C91AAC">
      <w:pPr>
        <w:ind w:left="720"/>
        <w:jc w:val="both"/>
        <w:rPr>
          <w:rFonts w:ascii="Arial" w:hAnsi="Arial" w:cs="Arial"/>
          <w:sz w:val="22"/>
          <w:szCs w:val="22"/>
        </w:rPr>
      </w:pPr>
    </w:p>
    <w:p w14:paraId="14562ECE" w14:textId="26986F3A" w:rsidR="005238FD" w:rsidRPr="003501A6" w:rsidRDefault="009E63E8" w:rsidP="005238FD">
      <w:pPr>
        <w:pStyle w:val="ListParagraph"/>
        <w:numPr>
          <w:ilvl w:val="0"/>
          <w:numId w:val="7"/>
        </w:numPr>
        <w:jc w:val="both"/>
        <w:rPr>
          <w:rFonts w:ascii="Arial" w:hAnsi="Arial" w:cs="Arial"/>
          <w:b/>
          <w:sz w:val="22"/>
          <w:szCs w:val="22"/>
        </w:rPr>
      </w:pPr>
      <w:r w:rsidRPr="003501A6">
        <w:rPr>
          <w:rFonts w:ascii="Arial" w:hAnsi="Arial" w:cs="Arial"/>
          <w:b/>
          <w:sz w:val="22"/>
          <w:szCs w:val="22"/>
        </w:rPr>
        <w:t xml:space="preserve">UWL </w:t>
      </w:r>
      <w:r w:rsidR="004F562F" w:rsidRPr="003501A6">
        <w:rPr>
          <w:rFonts w:ascii="Arial" w:hAnsi="Arial" w:cs="Arial"/>
          <w:b/>
          <w:sz w:val="22"/>
          <w:szCs w:val="22"/>
        </w:rPr>
        <w:t>Compensation</w:t>
      </w:r>
      <w:r w:rsidR="00E314C0" w:rsidRPr="003501A6">
        <w:rPr>
          <w:rFonts w:ascii="Arial" w:hAnsi="Arial" w:cs="Arial"/>
          <w:b/>
          <w:sz w:val="22"/>
          <w:szCs w:val="22"/>
        </w:rPr>
        <w:t xml:space="preserve"> </w:t>
      </w:r>
      <w:r w:rsidRPr="003501A6">
        <w:rPr>
          <w:rFonts w:ascii="Arial" w:hAnsi="Arial" w:cs="Arial"/>
          <w:b/>
          <w:sz w:val="22"/>
          <w:szCs w:val="22"/>
        </w:rPr>
        <w:t xml:space="preserve">and State Pay </w:t>
      </w:r>
      <w:r w:rsidR="00E314C0" w:rsidRPr="003501A6">
        <w:rPr>
          <w:rFonts w:ascii="Arial" w:hAnsi="Arial" w:cs="Arial"/>
          <w:b/>
          <w:sz w:val="22"/>
          <w:szCs w:val="22"/>
        </w:rPr>
        <w:t>Plan</w:t>
      </w:r>
    </w:p>
    <w:p w14:paraId="3211A6F0" w14:textId="77777777" w:rsidR="009E63E8" w:rsidRPr="003501A6" w:rsidRDefault="009E63E8" w:rsidP="009E63E8">
      <w:pPr>
        <w:jc w:val="both"/>
        <w:rPr>
          <w:rFonts w:ascii="Arial" w:hAnsi="Arial" w:cs="Arial"/>
          <w:b/>
          <w:sz w:val="22"/>
          <w:szCs w:val="22"/>
          <w:u w:val="single"/>
        </w:rPr>
      </w:pPr>
    </w:p>
    <w:p w14:paraId="43408E75" w14:textId="6C46B795" w:rsidR="00054972" w:rsidRPr="003501A6" w:rsidRDefault="00054972" w:rsidP="00054972">
      <w:pPr>
        <w:pStyle w:val="ListParagraph"/>
        <w:numPr>
          <w:ilvl w:val="1"/>
          <w:numId w:val="7"/>
        </w:numPr>
        <w:spacing w:line="259" w:lineRule="auto"/>
        <w:jc w:val="both"/>
        <w:rPr>
          <w:rFonts w:ascii="Arial" w:hAnsi="Arial" w:cs="Arial"/>
          <w:sz w:val="22"/>
          <w:szCs w:val="22"/>
        </w:rPr>
      </w:pPr>
      <w:r w:rsidRPr="003501A6">
        <w:rPr>
          <w:rFonts w:ascii="Arial" w:hAnsi="Arial" w:cs="Arial"/>
          <w:sz w:val="22"/>
          <w:szCs w:val="22"/>
        </w:rPr>
        <w:t xml:space="preserve">The approved 2023-25 Biennial Budget includes a 4% pay plan implemented on July 1, 2023, and an additional 2% pay plan implemented on July 1, 2024. </w:t>
      </w:r>
      <w:r w:rsidR="00A47DB5" w:rsidRPr="003501A6">
        <w:rPr>
          <w:rFonts w:ascii="Arial" w:hAnsi="Arial" w:cs="Arial"/>
          <w:sz w:val="22"/>
          <w:szCs w:val="22"/>
        </w:rPr>
        <w:t xml:space="preserve">Eligibility will also be based on those dates. </w:t>
      </w:r>
    </w:p>
    <w:p w14:paraId="1EA603BC" w14:textId="77777777" w:rsidR="00054972" w:rsidRPr="003501A6" w:rsidRDefault="00054972" w:rsidP="00054972">
      <w:pPr>
        <w:pStyle w:val="ListParagraph"/>
        <w:spacing w:line="259" w:lineRule="auto"/>
        <w:ind w:left="1440"/>
        <w:jc w:val="both"/>
        <w:rPr>
          <w:rFonts w:ascii="Arial" w:hAnsi="Arial" w:cs="Arial"/>
          <w:sz w:val="22"/>
          <w:szCs w:val="22"/>
        </w:rPr>
      </w:pPr>
      <w:r w:rsidRPr="003501A6">
        <w:rPr>
          <w:rFonts w:ascii="Arial" w:hAnsi="Arial" w:cs="Arial"/>
          <w:sz w:val="22"/>
          <w:szCs w:val="22"/>
        </w:rPr>
        <w:t xml:space="preserve">  </w:t>
      </w:r>
    </w:p>
    <w:p w14:paraId="61EA05FB" w14:textId="77777777" w:rsidR="00054972" w:rsidRPr="003501A6" w:rsidRDefault="00054972" w:rsidP="00054972">
      <w:pPr>
        <w:pStyle w:val="ListParagraph"/>
        <w:numPr>
          <w:ilvl w:val="1"/>
          <w:numId w:val="7"/>
        </w:numPr>
        <w:spacing w:line="259" w:lineRule="auto"/>
        <w:jc w:val="both"/>
        <w:rPr>
          <w:rFonts w:ascii="Arial" w:hAnsi="Arial" w:cs="Arial"/>
          <w:sz w:val="22"/>
          <w:szCs w:val="22"/>
        </w:rPr>
      </w:pPr>
      <w:r w:rsidRPr="003501A6">
        <w:rPr>
          <w:rFonts w:ascii="Arial" w:hAnsi="Arial" w:cs="Arial"/>
          <w:sz w:val="22"/>
          <w:szCs w:val="22"/>
        </w:rPr>
        <w:t>Half of the FY24 pay plan (4% on July 1, 2023) was built in the non-GPR budgets for FY24.​ The remaining 2% will be built in the FY25 budgets.​</w:t>
      </w:r>
    </w:p>
    <w:p w14:paraId="69F46159" w14:textId="77777777" w:rsidR="00054972" w:rsidRPr="003501A6" w:rsidRDefault="00054972" w:rsidP="00054972">
      <w:pPr>
        <w:pStyle w:val="ListParagraph"/>
        <w:rPr>
          <w:rFonts w:ascii="Arial" w:hAnsi="Arial" w:cs="Arial"/>
          <w:sz w:val="22"/>
          <w:szCs w:val="22"/>
        </w:rPr>
      </w:pPr>
    </w:p>
    <w:p w14:paraId="5F477423" w14:textId="3A1A40C5" w:rsidR="00054972" w:rsidRPr="003501A6" w:rsidRDefault="00054972" w:rsidP="00054972">
      <w:pPr>
        <w:pStyle w:val="ListParagraph"/>
        <w:numPr>
          <w:ilvl w:val="1"/>
          <w:numId w:val="7"/>
        </w:numPr>
        <w:spacing w:line="259" w:lineRule="auto"/>
        <w:jc w:val="both"/>
        <w:rPr>
          <w:rFonts w:ascii="Arial" w:hAnsi="Arial" w:cs="Arial"/>
          <w:sz w:val="22"/>
          <w:szCs w:val="22"/>
        </w:rPr>
      </w:pPr>
      <w:r w:rsidRPr="003501A6">
        <w:rPr>
          <w:rFonts w:ascii="Arial" w:hAnsi="Arial" w:cs="Arial"/>
          <w:sz w:val="22"/>
          <w:szCs w:val="22"/>
        </w:rPr>
        <w:t>FY25 pay plan (2% on July 1, 2024) will be built into all FY25 budgets.</w:t>
      </w:r>
    </w:p>
    <w:p w14:paraId="533F56A1" w14:textId="77777777" w:rsidR="00054972" w:rsidRPr="003501A6" w:rsidRDefault="00054972" w:rsidP="00054972">
      <w:pPr>
        <w:spacing w:line="259" w:lineRule="auto"/>
        <w:ind w:left="720"/>
        <w:jc w:val="both"/>
        <w:rPr>
          <w:rFonts w:ascii="Arial" w:hAnsi="Arial" w:cs="Arial"/>
          <w:sz w:val="22"/>
          <w:szCs w:val="22"/>
        </w:rPr>
      </w:pPr>
    </w:p>
    <w:p w14:paraId="3FEB3841" w14:textId="1E5286D9" w:rsidR="00054972" w:rsidRPr="003501A6" w:rsidRDefault="00054972" w:rsidP="00054972">
      <w:pPr>
        <w:pStyle w:val="ListParagraph"/>
        <w:numPr>
          <w:ilvl w:val="1"/>
          <w:numId w:val="7"/>
        </w:numPr>
        <w:spacing w:line="259" w:lineRule="auto"/>
        <w:jc w:val="both"/>
        <w:rPr>
          <w:rFonts w:ascii="Arial" w:hAnsi="Arial" w:cs="Arial"/>
          <w:sz w:val="22"/>
          <w:szCs w:val="22"/>
        </w:rPr>
      </w:pPr>
      <w:r w:rsidRPr="003501A6">
        <w:rPr>
          <w:rFonts w:ascii="Arial" w:hAnsi="Arial" w:cs="Arial"/>
          <w:sz w:val="22"/>
          <w:szCs w:val="22"/>
        </w:rPr>
        <w:t>The FY24</w:t>
      </w:r>
      <w:r w:rsidR="00A47DB5" w:rsidRPr="003501A6">
        <w:rPr>
          <w:rFonts w:ascii="Arial" w:hAnsi="Arial" w:cs="Arial"/>
          <w:sz w:val="22"/>
          <w:szCs w:val="22"/>
        </w:rPr>
        <w:t xml:space="preserve"> and FY25</w:t>
      </w:r>
      <w:r w:rsidRPr="003501A6">
        <w:rPr>
          <w:rFonts w:ascii="Arial" w:hAnsi="Arial" w:cs="Arial"/>
          <w:sz w:val="22"/>
          <w:szCs w:val="22"/>
        </w:rPr>
        <w:t xml:space="preserve"> pay plan</w:t>
      </w:r>
      <w:r w:rsidR="00A47DB5" w:rsidRPr="003501A6">
        <w:rPr>
          <w:rFonts w:ascii="Arial" w:hAnsi="Arial" w:cs="Arial"/>
          <w:sz w:val="22"/>
          <w:szCs w:val="22"/>
        </w:rPr>
        <w:t>s</w:t>
      </w:r>
      <w:r w:rsidRPr="003501A6">
        <w:rPr>
          <w:rFonts w:ascii="Arial" w:hAnsi="Arial" w:cs="Arial"/>
          <w:sz w:val="22"/>
          <w:szCs w:val="22"/>
        </w:rPr>
        <w:t>, effective for Faculty and staff on July 1, 2023</w:t>
      </w:r>
      <w:r w:rsidR="00A47DB5" w:rsidRPr="003501A6">
        <w:rPr>
          <w:rFonts w:ascii="Arial" w:hAnsi="Arial" w:cs="Arial"/>
          <w:sz w:val="22"/>
          <w:szCs w:val="22"/>
        </w:rPr>
        <w:t xml:space="preserve"> and July 1, 2024</w:t>
      </w:r>
      <w:r w:rsidRPr="003501A6">
        <w:rPr>
          <w:rFonts w:ascii="Arial" w:hAnsi="Arial" w:cs="Arial"/>
          <w:sz w:val="22"/>
          <w:szCs w:val="22"/>
        </w:rPr>
        <w:t>, w</w:t>
      </w:r>
      <w:r w:rsidR="00A47DB5" w:rsidRPr="003501A6">
        <w:rPr>
          <w:rFonts w:ascii="Arial" w:hAnsi="Arial" w:cs="Arial"/>
          <w:sz w:val="22"/>
          <w:szCs w:val="22"/>
        </w:rPr>
        <w:t>ill</w:t>
      </w:r>
      <w:r w:rsidRPr="003501A6">
        <w:rPr>
          <w:rFonts w:ascii="Arial" w:hAnsi="Arial" w:cs="Arial"/>
          <w:sz w:val="22"/>
          <w:szCs w:val="22"/>
        </w:rPr>
        <w:t xml:space="preserve"> be applied to the Graduate Assistant base effective 7/1/2024 (see below GA Rates Table).</w:t>
      </w:r>
    </w:p>
    <w:p w14:paraId="04D00CC3" w14:textId="77777777" w:rsidR="00F66A90" w:rsidRPr="003501A6" w:rsidRDefault="00F66A90" w:rsidP="00F66A90">
      <w:pPr>
        <w:pStyle w:val="ListParagraph"/>
        <w:rPr>
          <w:rStyle w:val="eop"/>
          <w:rFonts w:ascii="Arial" w:hAnsi="Arial" w:cs="Arial"/>
          <w:b/>
          <w:bCs/>
          <w:sz w:val="22"/>
          <w:szCs w:val="22"/>
        </w:rPr>
      </w:pPr>
    </w:p>
    <w:p w14:paraId="7F192B0E" w14:textId="4582321A" w:rsidR="00F66A90" w:rsidRPr="003501A6" w:rsidRDefault="00F66A90" w:rsidP="00054972">
      <w:pPr>
        <w:pStyle w:val="ListParagraph"/>
        <w:numPr>
          <w:ilvl w:val="1"/>
          <w:numId w:val="7"/>
        </w:numPr>
        <w:jc w:val="both"/>
        <w:rPr>
          <w:rStyle w:val="normaltextrun"/>
          <w:rFonts w:ascii="Arial" w:hAnsi="Arial" w:cs="Arial"/>
          <w:b/>
          <w:bCs/>
          <w:sz w:val="22"/>
          <w:szCs w:val="22"/>
          <w:u w:val="single"/>
        </w:rPr>
      </w:pPr>
      <w:r w:rsidRPr="003501A6">
        <w:rPr>
          <w:rStyle w:val="normaltextrun"/>
          <w:rFonts w:ascii="Arial" w:hAnsi="Arial" w:cs="Arial"/>
          <w:sz w:val="22"/>
          <w:szCs w:val="22"/>
        </w:rPr>
        <w:t>Colleges are permitted to self-fund</w:t>
      </w:r>
      <w:r w:rsidR="00054972" w:rsidRPr="003501A6">
        <w:rPr>
          <w:rStyle w:val="normaltextrun"/>
          <w:rFonts w:ascii="Arial" w:hAnsi="Arial" w:cs="Arial"/>
          <w:sz w:val="22"/>
          <w:szCs w:val="22"/>
        </w:rPr>
        <w:t xml:space="preserve"> pay plan equivalent</w:t>
      </w:r>
      <w:r w:rsidRPr="003501A6">
        <w:rPr>
          <w:rStyle w:val="normaltextrun"/>
          <w:rFonts w:ascii="Arial" w:hAnsi="Arial" w:cs="Arial"/>
          <w:sz w:val="22"/>
          <w:szCs w:val="22"/>
        </w:rPr>
        <w:t xml:space="preserve"> adjustment</w:t>
      </w:r>
      <w:r w:rsidR="00054972" w:rsidRPr="003501A6">
        <w:rPr>
          <w:rStyle w:val="normaltextrun"/>
          <w:rFonts w:ascii="Arial" w:hAnsi="Arial" w:cs="Arial"/>
          <w:sz w:val="22"/>
          <w:szCs w:val="22"/>
        </w:rPr>
        <w:t>s</w:t>
      </w:r>
      <w:r w:rsidRPr="003501A6">
        <w:rPr>
          <w:rStyle w:val="normaltextrun"/>
          <w:rFonts w:ascii="Arial" w:hAnsi="Arial" w:cs="Arial"/>
          <w:sz w:val="22"/>
          <w:szCs w:val="22"/>
        </w:rPr>
        <w:t xml:space="preserve"> for non-redbook instructors that </w:t>
      </w:r>
      <w:r w:rsidR="00054972" w:rsidRPr="003501A6">
        <w:rPr>
          <w:rStyle w:val="normaltextrun"/>
          <w:rFonts w:ascii="Arial" w:hAnsi="Arial" w:cs="Arial"/>
          <w:sz w:val="22"/>
          <w:szCs w:val="22"/>
        </w:rPr>
        <w:t>h</w:t>
      </w:r>
      <w:r w:rsidRPr="003501A6">
        <w:rPr>
          <w:rStyle w:val="normaltextrun"/>
          <w:rFonts w:ascii="Arial" w:hAnsi="Arial" w:cs="Arial"/>
          <w:sz w:val="22"/>
          <w:szCs w:val="22"/>
        </w:rPr>
        <w:t>ave had an appointment of &gt;56% at UWL for the last 4 consecutive semesters.</w:t>
      </w:r>
    </w:p>
    <w:p w14:paraId="6ECC8E9E" w14:textId="77777777" w:rsidR="00054972" w:rsidRPr="003501A6" w:rsidRDefault="00054972" w:rsidP="00054972">
      <w:pPr>
        <w:jc w:val="both"/>
        <w:rPr>
          <w:rStyle w:val="normaltextrun"/>
          <w:rFonts w:ascii="Arial" w:hAnsi="Arial" w:cs="Arial"/>
          <w:b/>
          <w:bCs/>
          <w:sz w:val="22"/>
          <w:szCs w:val="22"/>
          <w:u w:val="single"/>
        </w:rPr>
      </w:pPr>
    </w:p>
    <w:p w14:paraId="1EC3A38D" w14:textId="4FBFE6E0" w:rsidR="00F66A90" w:rsidRPr="003501A6" w:rsidRDefault="00F66A90" w:rsidP="00F66A90">
      <w:pPr>
        <w:pStyle w:val="ListParagraph"/>
        <w:numPr>
          <w:ilvl w:val="2"/>
          <w:numId w:val="7"/>
        </w:numPr>
        <w:jc w:val="both"/>
        <w:rPr>
          <w:rStyle w:val="normaltextrun"/>
          <w:rFonts w:ascii="Arial" w:hAnsi="Arial" w:cs="Arial"/>
          <w:sz w:val="22"/>
          <w:szCs w:val="22"/>
        </w:rPr>
      </w:pPr>
      <w:r w:rsidRPr="003501A6">
        <w:rPr>
          <w:rStyle w:val="normaltextrun"/>
          <w:rFonts w:ascii="Arial" w:hAnsi="Arial" w:cs="Arial"/>
          <w:sz w:val="22"/>
          <w:szCs w:val="22"/>
        </w:rPr>
        <w:t>Approved lists of individuals that will receive adjustments should be provided to the Budget Office. EAF’s should also be routed to increase the instructor’s FTB</w:t>
      </w:r>
      <w:r w:rsidR="00054972" w:rsidRPr="003501A6">
        <w:rPr>
          <w:rStyle w:val="normaltextrun"/>
          <w:rFonts w:ascii="Arial" w:hAnsi="Arial" w:cs="Arial"/>
          <w:sz w:val="22"/>
          <w:szCs w:val="22"/>
        </w:rPr>
        <w:t>.</w:t>
      </w:r>
    </w:p>
    <w:p w14:paraId="49816A19" w14:textId="3F175E92" w:rsidR="00F66A90" w:rsidRPr="003501A6" w:rsidRDefault="00F66A90" w:rsidP="00F66A90">
      <w:pPr>
        <w:pStyle w:val="ListParagraph"/>
        <w:numPr>
          <w:ilvl w:val="2"/>
          <w:numId w:val="7"/>
        </w:numPr>
        <w:jc w:val="both"/>
        <w:rPr>
          <w:rStyle w:val="eop"/>
          <w:rFonts w:ascii="Arial" w:hAnsi="Arial" w:cs="Arial"/>
          <w:sz w:val="22"/>
          <w:szCs w:val="22"/>
        </w:rPr>
      </w:pPr>
      <w:r w:rsidRPr="003501A6">
        <w:rPr>
          <w:rStyle w:val="normaltextrun"/>
          <w:rFonts w:ascii="Arial" w:hAnsi="Arial" w:cs="Arial"/>
          <w:sz w:val="22"/>
          <w:szCs w:val="22"/>
        </w:rPr>
        <w:t>The College will fund the non-redbook adjustments from other salary lines within their respective budgets.</w:t>
      </w:r>
    </w:p>
    <w:p w14:paraId="48716396" w14:textId="77777777" w:rsidR="00C0727E" w:rsidRPr="003501A6" w:rsidRDefault="00C0727E" w:rsidP="00C0727E">
      <w:pPr>
        <w:pStyle w:val="ListParagraph"/>
        <w:ind w:left="1440"/>
        <w:jc w:val="both"/>
        <w:rPr>
          <w:rStyle w:val="eop"/>
          <w:rFonts w:ascii="Arial" w:hAnsi="Arial" w:cs="Arial"/>
          <w:b/>
          <w:bCs/>
          <w:sz w:val="22"/>
          <w:szCs w:val="22"/>
        </w:rPr>
      </w:pPr>
    </w:p>
    <w:p w14:paraId="140C1C20" w14:textId="77777777" w:rsidR="009B1BAD" w:rsidRPr="003501A6" w:rsidRDefault="009B1BAD" w:rsidP="009B1BAD">
      <w:pPr>
        <w:jc w:val="both"/>
        <w:rPr>
          <w:rFonts w:ascii="Arial" w:hAnsi="Arial" w:cs="Arial"/>
          <w:b/>
          <w:bCs/>
          <w:sz w:val="22"/>
          <w:szCs w:val="22"/>
          <w:u w:val="single"/>
        </w:rPr>
      </w:pPr>
    </w:p>
    <w:p w14:paraId="37572B46" w14:textId="2E49F2D1" w:rsidR="004453D0" w:rsidRPr="003501A6" w:rsidRDefault="00820730" w:rsidP="005238FD">
      <w:pPr>
        <w:pStyle w:val="ListParagraph"/>
        <w:numPr>
          <w:ilvl w:val="0"/>
          <w:numId w:val="7"/>
        </w:numPr>
        <w:jc w:val="both"/>
        <w:rPr>
          <w:rFonts w:ascii="Arial" w:hAnsi="Arial" w:cs="Arial"/>
          <w:sz w:val="22"/>
          <w:szCs w:val="22"/>
        </w:rPr>
      </w:pPr>
      <w:r w:rsidRPr="003501A6">
        <w:rPr>
          <w:rFonts w:ascii="Arial" w:hAnsi="Arial" w:cs="Arial"/>
          <w:b/>
          <w:sz w:val="22"/>
          <w:szCs w:val="22"/>
        </w:rPr>
        <w:t>Student Help</w:t>
      </w:r>
    </w:p>
    <w:p w14:paraId="66EFD7BD" w14:textId="03D0500C" w:rsidR="00F66A90" w:rsidRPr="003501A6" w:rsidRDefault="00054972" w:rsidP="00F66A90">
      <w:pPr>
        <w:pStyle w:val="ListParagraph"/>
        <w:numPr>
          <w:ilvl w:val="1"/>
          <w:numId w:val="13"/>
        </w:numPr>
        <w:jc w:val="both"/>
        <w:rPr>
          <w:rFonts w:ascii="Arial" w:eastAsia="Arial" w:hAnsi="Arial" w:cs="Arial"/>
          <w:sz w:val="22"/>
          <w:szCs w:val="22"/>
        </w:rPr>
      </w:pPr>
      <w:r w:rsidRPr="003501A6">
        <w:rPr>
          <w:rFonts w:ascii="Arial" w:hAnsi="Arial" w:cs="Arial"/>
          <w:sz w:val="22"/>
          <w:szCs w:val="22"/>
        </w:rPr>
        <w:t>The student help pay rates will be as follows for FY25</w:t>
      </w:r>
      <w:r w:rsidR="00F66A90" w:rsidRPr="003501A6">
        <w:rPr>
          <w:rFonts w:ascii="Arial" w:eastAsia="Arial" w:hAnsi="Arial" w:cs="Arial"/>
          <w:sz w:val="22"/>
          <w:szCs w:val="22"/>
        </w:rPr>
        <w:t xml:space="preserve">. More information on the student wage policy is available on the </w:t>
      </w:r>
      <w:hyperlink r:id="rId14">
        <w:r w:rsidR="00F66A90" w:rsidRPr="003501A6">
          <w:rPr>
            <w:rStyle w:val="Hyperlink"/>
            <w:rFonts w:ascii="Arial" w:eastAsia="Arial" w:hAnsi="Arial" w:cs="Arial"/>
            <w:sz w:val="22"/>
            <w:szCs w:val="22"/>
          </w:rPr>
          <w:t>Human Resources website</w:t>
        </w:r>
      </w:hyperlink>
      <w:r w:rsidR="00F66A90" w:rsidRPr="003501A6">
        <w:rPr>
          <w:rFonts w:ascii="Arial" w:eastAsia="Arial" w:hAnsi="Arial" w:cs="Arial"/>
          <w:sz w:val="22"/>
          <w:szCs w:val="22"/>
        </w:rPr>
        <w:t>.</w:t>
      </w:r>
    </w:p>
    <w:p w14:paraId="1A3467F2" w14:textId="77777777" w:rsidR="00F66A90" w:rsidRPr="003501A6" w:rsidRDefault="00F66A90" w:rsidP="00F66A90">
      <w:pPr>
        <w:ind w:left="1080"/>
        <w:jc w:val="both"/>
      </w:pPr>
    </w:p>
    <w:tbl>
      <w:tblPr>
        <w:tblStyle w:val="TableGrid"/>
        <w:tblW w:w="0" w:type="auto"/>
        <w:tblInd w:w="2875" w:type="dxa"/>
        <w:tblLook w:val="04A0" w:firstRow="1" w:lastRow="0" w:firstColumn="1" w:lastColumn="0" w:noHBand="0" w:noVBand="1"/>
      </w:tblPr>
      <w:tblGrid>
        <w:gridCol w:w="2340"/>
        <w:gridCol w:w="2430"/>
      </w:tblGrid>
      <w:tr w:rsidR="00054972" w:rsidRPr="003501A6" w14:paraId="73D374F8" w14:textId="77777777" w:rsidTr="00054972">
        <w:tc>
          <w:tcPr>
            <w:tcW w:w="2340" w:type="dxa"/>
          </w:tcPr>
          <w:p w14:paraId="6784732C" w14:textId="77777777" w:rsidR="00054972" w:rsidRPr="003501A6" w:rsidRDefault="00054972" w:rsidP="00C15994">
            <w:pPr>
              <w:jc w:val="center"/>
              <w:rPr>
                <w:rFonts w:ascii="Arial" w:hAnsi="Arial" w:cs="Arial"/>
                <w:b/>
                <w:sz w:val="20"/>
                <w:szCs w:val="20"/>
              </w:rPr>
            </w:pPr>
            <w:r w:rsidRPr="003501A6">
              <w:rPr>
                <w:rFonts w:ascii="Arial" w:hAnsi="Arial" w:cs="Arial"/>
                <w:b/>
                <w:sz w:val="20"/>
                <w:szCs w:val="20"/>
              </w:rPr>
              <w:t>Classification Level</w:t>
            </w:r>
          </w:p>
        </w:tc>
        <w:tc>
          <w:tcPr>
            <w:tcW w:w="2430" w:type="dxa"/>
          </w:tcPr>
          <w:p w14:paraId="33A248E6" w14:textId="0F403E0C" w:rsidR="00054972" w:rsidRPr="003501A6" w:rsidRDefault="00054972" w:rsidP="00C15994">
            <w:pPr>
              <w:jc w:val="center"/>
              <w:rPr>
                <w:rFonts w:ascii="Arial" w:hAnsi="Arial" w:cs="Arial"/>
                <w:b/>
                <w:sz w:val="20"/>
                <w:szCs w:val="20"/>
              </w:rPr>
            </w:pPr>
            <w:r w:rsidRPr="003501A6">
              <w:rPr>
                <w:rFonts w:ascii="Arial" w:hAnsi="Arial" w:cs="Arial"/>
                <w:b/>
                <w:sz w:val="20"/>
                <w:szCs w:val="20"/>
              </w:rPr>
              <w:t>FY25 Pay Rates</w:t>
            </w:r>
          </w:p>
        </w:tc>
      </w:tr>
      <w:tr w:rsidR="00054972" w:rsidRPr="003501A6" w14:paraId="0426D447" w14:textId="77777777" w:rsidTr="00054972">
        <w:tc>
          <w:tcPr>
            <w:tcW w:w="2340" w:type="dxa"/>
          </w:tcPr>
          <w:p w14:paraId="123B50FF" w14:textId="77777777" w:rsidR="00054972" w:rsidRPr="003501A6" w:rsidRDefault="00054972" w:rsidP="00C15994">
            <w:pPr>
              <w:rPr>
                <w:rFonts w:ascii="Arial" w:hAnsi="Arial" w:cs="Arial"/>
                <w:sz w:val="20"/>
                <w:szCs w:val="20"/>
              </w:rPr>
            </w:pPr>
            <w:r w:rsidRPr="003501A6">
              <w:rPr>
                <w:rFonts w:ascii="Arial" w:hAnsi="Arial" w:cs="Arial"/>
                <w:sz w:val="20"/>
                <w:szCs w:val="20"/>
              </w:rPr>
              <w:t>Entry</w:t>
            </w:r>
          </w:p>
        </w:tc>
        <w:tc>
          <w:tcPr>
            <w:tcW w:w="2430" w:type="dxa"/>
          </w:tcPr>
          <w:p w14:paraId="57D0E67B" w14:textId="77777777" w:rsidR="00054972" w:rsidRPr="003501A6" w:rsidRDefault="00054972" w:rsidP="00C15994">
            <w:pPr>
              <w:jc w:val="right"/>
              <w:rPr>
                <w:rFonts w:ascii="Arial" w:hAnsi="Arial" w:cs="Arial"/>
                <w:sz w:val="20"/>
                <w:szCs w:val="20"/>
              </w:rPr>
            </w:pPr>
            <w:r w:rsidRPr="003501A6">
              <w:rPr>
                <w:rFonts w:ascii="Arial" w:hAnsi="Arial" w:cs="Arial"/>
                <w:sz w:val="20"/>
                <w:szCs w:val="20"/>
              </w:rPr>
              <w:t>$9.00 - $11.00</w:t>
            </w:r>
          </w:p>
        </w:tc>
      </w:tr>
      <w:tr w:rsidR="00054972" w:rsidRPr="003501A6" w14:paraId="01401F08" w14:textId="77777777" w:rsidTr="00054972">
        <w:tc>
          <w:tcPr>
            <w:tcW w:w="2340" w:type="dxa"/>
          </w:tcPr>
          <w:p w14:paraId="60AA683B" w14:textId="77777777" w:rsidR="00054972" w:rsidRPr="003501A6" w:rsidRDefault="00054972" w:rsidP="00C15994">
            <w:pPr>
              <w:rPr>
                <w:rFonts w:ascii="Arial" w:hAnsi="Arial" w:cs="Arial"/>
                <w:sz w:val="20"/>
                <w:szCs w:val="20"/>
              </w:rPr>
            </w:pPr>
            <w:r w:rsidRPr="003501A6">
              <w:rPr>
                <w:rFonts w:ascii="Arial" w:hAnsi="Arial" w:cs="Arial"/>
                <w:sz w:val="20"/>
                <w:szCs w:val="20"/>
              </w:rPr>
              <w:t>Intermediate</w:t>
            </w:r>
          </w:p>
        </w:tc>
        <w:tc>
          <w:tcPr>
            <w:tcW w:w="2430" w:type="dxa"/>
          </w:tcPr>
          <w:p w14:paraId="7808B622" w14:textId="77777777" w:rsidR="00054972" w:rsidRPr="003501A6" w:rsidRDefault="00054972" w:rsidP="00C15994">
            <w:pPr>
              <w:jc w:val="right"/>
              <w:rPr>
                <w:rFonts w:ascii="Arial" w:hAnsi="Arial" w:cs="Arial"/>
                <w:sz w:val="20"/>
                <w:szCs w:val="20"/>
              </w:rPr>
            </w:pPr>
            <w:r w:rsidRPr="003501A6">
              <w:rPr>
                <w:rFonts w:ascii="Arial" w:hAnsi="Arial" w:cs="Arial"/>
                <w:sz w:val="20"/>
                <w:szCs w:val="20"/>
              </w:rPr>
              <w:t>$11.00 - $13.00</w:t>
            </w:r>
          </w:p>
        </w:tc>
      </w:tr>
      <w:tr w:rsidR="00054972" w:rsidRPr="003501A6" w14:paraId="48315D3A" w14:textId="77777777" w:rsidTr="00054972">
        <w:tc>
          <w:tcPr>
            <w:tcW w:w="2340" w:type="dxa"/>
          </w:tcPr>
          <w:p w14:paraId="13F31FF2" w14:textId="77777777" w:rsidR="00054972" w:rsidRPr="003501A6" w:rsidRDefault="00054972" w:rsidP="00C15994">
            <w:pPr>
              <w:rPr>
                <w:rFonts w:ascii="Arial" w:hAnsi="Arial" w:cs="Arial"/>
                <w:sz w:val="20"/>
                <w:szCs w:val="20"/>
              </w:rPr>
            </w:pPr>
            <w:r w:rsidRPr="003501A6">
              <w:rPr>
                <w:rFonts w:ascii="Arial" w:hAnsi="Arial" w:cs="Arial"/>
                <w:sz w:val="20"/>
                <w:szCs w:val="20"/>
              </w:rPr>
              <w:t>Advanced</w:t>
            </w:r>
          </w:p>
        </w:tc>
        <w:tc>
          <w:tcPr>
            <w:tcW w:w="2430" w:type="dxa"/>
          </w:tcPr>
          <w:p w14:paraId="08C3521A" w14:textId="77777777" w:rsidR="00054972" w:rsidRPr="003501A6" w:rsidRDefault="00054972" w:rsidP="00C15994">
            <w:pPr>
              <w:jc w:val="right"/>
              <w:rPr>
                <w:rFonts w:ascii="Arial" w:hAnsi="Arial" w:cs="Arial"/>
                <w:sz w:val="20"/>
                <w:szCs w:val="20"/>
              </w:rPr>
            </w:pPr>
            <w:r w:rsidRPr="003501A6">
              <w:rPr>
                <w:rFonts w:ascii="Arial" w:hAnsi="Arial" w:cs="Arial"/>
                <w:sz w:val="20"/>
                <w:szCs w:val="20"/>
              </w:rPr>
              <w:t>$13.00 - $16.00</w:t>
            </w:r>
          </w:p>
        </w:tc>
      </w:tr>
    </w:tbl>
    <w:p w14:paraId="415EA514" w14:textId="77777777" w:rsidR="00F66A90" w:rsidRPr="003501A6" w:rsidRDefault="00F66A90" w:rsidP="005238FD">
      <w:pPr>
        <w:jc w:val="both"/>
        <w:rPr>
          <w:rFonts w:ascii="Arial" w:hAnsi="Arial" w:cs="Arial"/>
          <w:sz w:val="22"/>
          <w:szCs w:val="22"/>
        </w:rPr>
      </w:pPr>
    </w:p>
    <w:p w14:paraId="13E04BC7" w14:textId="77777777" w:rsidR="00F66A90" w:rsidRPr="003501A6" w:rsidRDefault="00820730" w:rsidP="3AF34FEE">
      <w:pPr>
        <w:pStyle w:val="ListParagraph"/>
        <w:numPr>
          <w:ilvl w:val="0"/>
          <w:numId w:val="7"/>
        </w:numPr>
        <w:jc w:val="both"/>
        <w:rPr>
          <w:rFonts w:ascii="Arial" w:hAnsi="Arial" w:cs="Arial"/>
          <w:b/>
          <w:bCs/>
          <w:sz w:val="22"/>
          <w:szCs w:val="22"/>
        </w:rPr>
      </w:pPr>
      <w:bookmarkStart w:id="0" w:name="_Hlk87363000"/>
      <w:r w:rsidRPr="003501A6">
        <w:rPr>
          <w:rFonts w:ascii="Arial" w:hAnsi="Arial" w:cs="Arial"/>
          <w:b/>
          <w:bCs/>
          <w:sz w:val="22"/>
          <w:szCs w:val="22"/>
        </w:rPr>
        <w:t>Graduate Assistants</w:t>
      </w:r>
    </w:p>
    <w:p w14:paraId="3D88017A" w14:textId="6F535F7E" w:rsidR="009F4EEE" w:rsidRPr="003501A6" w:rsidRDefault="009F4EEE" w:rsidP="009F4EEE">
      <w:pPr>
        <w:pStyle w:val="ListParagraph"/>
        <w:jc w:val="both"/>
        <w:rPr>
          <w:rFonts w:ascii="Arial" w:hAnsi="Arial" w:cs="Arial"/>
          <w:sz w:val="22"/>
          <w:szCs w:val="22"/>
        </w:rPr>
      </w:pPr>
      <w:r w:rsidRPr="003501A6">
        <w:rPr>
          <w:rFonts w:ascii="Arial" w:hAnsi="Arial" w:cs="Arial"/>
          <w:sz w:val="22"/>
          <w:szCs w:val="22"/>
        </w:rPr>
        <w:t>Graduate Assistantships (GA’s) may be offered from 33% (14 hours/week) or up to 50% (20 hours/week).  Stipends for Graduate Assistantships are based upon the amounts scheduled for the period during which the assistantship begins. The GA base for FY25 will increase 4% based on the FY24 pay plan</w:t>
      </w:r>
      <w:r w:rsidR="0078186A" w:rsidRPr="003501A6">
        <w:rPr>
          <w:rFonts w:ascii="Arial" w:hAnsi="Arial" w:cs="Arial"/>
          <w:sz w:val="22"/>
          <w:szCs w:val="22"/>
        </w:rPr>
        <w:t xml:space="preserve"> and 2% based on the </w:t>
      </w:r>
      <w:r w:rsidR="0056081A" w:rsidRPr="003501A6">
        <w:rPr>
          <w:rFonts w:ascii="Arial" w:hAnsi="Arial" w:cs="Arial"/>
          <w:sz w:val="22"/>
          <w:szCs w:val="22"/>
        </w:rPr>
        <w:t>FY25 pay plan</w:t>
      </w:r>
      <w:r w:rsidRPr="003501A6">
        <w:rPr>
          <w:rFonts w:ascii="Arial" w:hAnsi="Arial" w:cs="Arial"/>
          <w:sz w:val="22"/>
          <w:szCs w:val="22"/>
        </w:rPr>
        <w:t xml:space="preserve">. </w:t>
      </w:r>
    </w:p>
    <w:p w14:paraId="6C0034AA" w14:textId="77777777" w:rsidR="00F66A90" w:rsidRPr="003501A6" w:rsidRDefault="00F66A90" w:rsidP="00F66A90">
      <w:pPr>
        <w:pStyle w:val="ListParagraph"/>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1523"/>
        <w:gridCol w:w="1815"/>
        <w:gridCol w:w="1800"/>
      </w:tblGrid>
      <w:tr w:rsidR="009F4EEE" w:rsidRPr="003501A6" w14:paraId="6F93DF75" w14:textId="77777777" w:rsidTr="3AF34FEE">
        <w:trPr>
          <w:trHeight w:val="242"/>
          <w:jc w:val="center"/>
        </w:trPr>
        <w:tc>
          <w:tcPr>
            <w:tcW w:w="5138" w:type="dxa"/>
            <w:gridSpan w:val="3"/>
            <w:shd w:val="clear" w:color="auto" w:fill="auto"/>
          </w:tcPr>
          <w:bookmarkEnd w:id="0"/>
          <w:p w14:paraId="7C7D5787" w14:textId="77777777" w:rsidR="009F4EEE" w:rsidRPr="003501A6" w:rsidRDefault="009F4EEE" w:rsidP="00F82E38">
            <w:pPr>
              <w:jc w:val="center"/>
              <w:rPr>
                <w:rFonts w:ascii="Arial" w:hAnsi="Arial" w:cs="Arial"/>
                <w:b/>
                <w:bCs/>
                <w:sz w:val="22"/>
                <w:szCs w:val="22"/>
              </w:rPr>
            </w:pPr>
            <w:r w:rsidRPr="003501A6">
              <w:rPr>
                <w:rFonts w:ascii="Arial" w:hAnsi="Arial" w:cs="Arial"/>
                <w:b/>
                <w:bCs/>
                <w:sz w:val="22"/>
                <w:szCs w:val="22"/>
              </w:rPr>
              <w:t>Estimated GA Rates for FY2025</w:t>
            </w:r>
          </w:p>
        </w:tc>
      </w:tr>
      <w:tr w:rsidR="009F4EEE" w:rsidRPr="003501A6" w14:paraId="26C015D1" w14:textId="77777777" w:rsidTr="3AF34FEE">
        <w:trPr>
          <w:jc w:val="center"/>
        </w:trPr>
        <w:tc>
          <w:tcPr>
            <w:tcW w:w="1523" w:type="dxa"/>
            <w:shd w:val="clear" w:color="auto" w:fill="auto"/>
          </w:tcPr>
          <w:p w14:paraId="16F090CE" w14:textId="77777777" w:rsidR="009F4EEE" w:rsidRPr="003501A6" w:rsidRDefault="009F4EEE" w:rsidP="00F82E38">
            <w:pPr>
              <w:jc w:val="center"/>
              <w:rPr>
                <w:rFonts w:ascii="Arial" w:hAnsi="Arial" w:cs="Arial"/>
                <w:sz w:val="22"/>
                <w:szCs w:val="22"/>
                <w:u w:val="single"/>
              </w:rPr>
            </w:pPr>
            <w:r w:rsidRPr="003501A6">
              <w:rPr>
                <w:rFonts w:ascii="Arial" w:hAnsi="Arial" w:cs="Arial"/>
                <w:sz w:val="22"/>
                <w:szCs w:val="22"/>
                <w:u w:val="single"/>
              </w:rPr>
              <w:t>FTE</w:t>
            </w:r>
          </w:p>
        </w:tc>
        <w:tc>
          <w:tcPr>
            <w:tcW w:w="1815" w:type="dxa"/>
            <w:shd w:val="clear" w:color="auto" w:fill="auto"/>
          </w:tcPr>
          <w:p w14:paraId="25EFE7B5" w14:textId="77777777" w:rsidR="009F4EEE" w:rsidRPr="003501A6" w:rsidRDefault="009F4EEE" w:rsidP="00F82E38">
            <w:pPr>
              <w:jc w:val="center"/>
              <w:rPr>
                <w:rFonts w:ascii="Arial" w:hAnsi="Arial" w:cs="Arial"/>
                <w:sz w:val="22"/>
                <w:szCs w:val="22"/>
              </w:rPr>
            </w:pPr>
            <w:r w:rsidRPr="003501A6">
              <w:rPr>
                <w:rFonts w:ascii="Arial" w:hAnsi="Arial" w:cs="Arial"/>
                <w:sz w:val="22"/>
                <w:szCs w:val="22"/>
                <w:u w:val="single"/>
              </w:rPr>
              <w:t>Academic</w:t>
            </w:r>
          </w:p>
        </w:tc>
        <w:tc>
          <w:tcPr>
            <w:tcW w:w="1800" w:type="dxa"/>
            <w:shd w:val="clear" w:color="auto" w:fill="auto"/>
          </w:tcPr>
          <w:p w14:paraId="7F98DF6B" w14:textId="77777777" w:rsidR="009F4EEE" w:rsidRPr="003501A6" w:rsidRDefault="009F4EEE" w:rsidP="00F82E38">
            <w:pPr>
              <w:jc w:val="center"/>
              <w:rPr>
                <w:rFonts w:ascii="Arial" w:hAnsi="Arial" w:cs="Arial"/>
                <w:sz w:val="22"/>
                <w:szCs w:val="22"/>
              </w:rPr>
            </w:pPr>
            <w:r w:rsidRPr="003501A6">
              <w:rPr>
                <w:rFonts w:ascii="Arial" w:hAnsi="Arial" w:cs="Arial"/>
                <w:sz w:val="22"/>
                <w:szCs w:val="22"/>
                <w:u w:val="single"/>
              </w:rPr>
              <w:t>One Semester</w:t>
            </w:r>
          </w:p>
        </w:tc>
      </w:tr>
      <w:tr w:rsidR="009F4EEE" w:rsidRPr="003501A6" w14:paraId="3CD37D75" w14:textId="77777777" w:rsidTr="3AF34FEE">
        <w:trPr>
          <w:jc w:val="center"/>
        </w:trPr>
        <w:tc>
          <w:tcPr>
            <w:tcW w:w="1523" w:type="dxa"/>
            <w:shd w:val="clear" w:color="auto" w:fill="auto"/>
          </w:tcPr>
          <w:p w14:paraId="3211B5D7" w14:textId="77777777" w:rsidR="009F4EEE" w:rsidRPr="003501A6" w:rsidRDefault="009F4EEE" w:rsidP="00F82E38">
            <w:pPr>
              <w:jc w:val="center"/>
              <w:rPr>
                <w:rFonts w:ascii="Arial" w:hAnsi="Arial" w:cs="Arial"/>
                <w:sz w:val="22"/>
                <w:szCs w:val="22"/>
              </w:rPr>
            </w:pPr>
            <w:r w:rsidRPr="003501A6">
              <w:rPr>
                <w:rFonts w:ascii="Arial" w:hAnsi="Arial" w:cs="Arial"/>
                <w:sz w:val="22"/>
                <w:szCs w:val="22"/>
              </w:rPr>
              <w:t>33%</w:t>
            </w:r>
          </w:p>
        </w:tc>
        <w:tc>
          <w:tcPr>
            <w:tcW w:w="1815" w:type="dxa"/>
            <w:shd w:val="clear" w:color="auto" w:fill="auto"/>
          </w:tcPr>
          <w:p w14:paraId="6C79B472" w14:textId="427D08AB" w:rsidR="009F4EEE" w:rsidRPr="003501A6" w:rsidRDefault="009F4EEE" w:rsidP="00F82E38">
            <w:pPr>
              <w:jc w:val="right"/>
              <w:rPr>
                <w:rFonts w:ascii="Arial" w:hAnsi="Arial" w:cs="Arial"/>
                <w:sz w:val="22"/>
                <w:szCs w:val="22"/>
              </w:rPr>
            </w:pPr>
            <w:r w:rsidRPr="003501A6">
              <w:rPr>
                <w:rFonts w:ascii="Arial" w:hAnsi="Arial" w:cs="Arial"/>
                <w:sz w:val="22"/>
                <w:szCs w:val="22"/>
              </w:rPr>
              <w:t>$10,</w:t>
            </w:r>
            <w:r w:rsidR="54760D14" w:rsidRPr="003501A6">
              <w:rPr>
                <w:rFonts w:ascii="Arial" w:hAnsi="Arial" w:cs="Arial"/>
                <w:sz w:val="22"/>
                <w:szCs w:val="22"/>
              </w:rPr>
              <w:t>502</w:t>
            </w:r>
          </w:p>
        </w:tc>
        <w:tc>
          <w:tcPr>
            <w:tcW w:w="1800" w:type="dxa"/>
            <w:shd w:val="clear" w:color="auto" w:fill="auto"/>
          </w:tcPr>
          <w:p w14:paraId="140C7439" w14:textId="1EF34AFB" w:rsidR="009F4EEE" w:rsidRPr="003501A6" w:rsidRDefault="009F4EEE" w:rsidP="00F82E38">
            <w:pPr>
              <w:jc w:val="right"/>
              <w:rPr>
                <w:rFonts w:ascii="Arial" w:hAnsi="Arial" w:cs="Arial"/>
                <w:sz w:val="22"/>
                <w:szCs w:val="22"/>
              </w:rPr>
            </w:pPr>
            <w:r w:rsidRPr="003501A6">
              <w:rPr>
                <w:rFonts w:ascii="Arial" w:hAnsi="Arial" w:cs="Arial"/>
                <w:sz w:val="22"/>
                <w:szCs w:val="22"/>
              </w:rPr>
              <w:t>$5,</w:t>
            </w:r>
            <w:r w:rsidR="0FCD766F" w:rsidRPr="003501A6">
              <w:rPr>
                <w:rFonts w:ascii="Arial" w:hAnsi="Arial" w:cs="Arial"/>
                <w:sz w:val="22"/>
                <w:szCs w:val="22"/>
              </w:rPr>
              <w:t>251</w:t>
            </w:r>
          </w:p>
        </w:tc>
      </w:tr>
      <w:tr w:rsidR="009F4EEE" w:rsidRPr="003501A6" w14:paraId="077A9A63" w14:textId="77777777" w:rsidTr="3AF34FEE">
        <w:trPr>
          <w:jc w:val="center"/>
        </w:trPr>
        <w:tc>
          <w:tcPr>
            <w:tcW w:w="1523" w:type="dxa"/>
            <w:shd w:val="clear" w:color="auto" w:fill="auto"/>
          </w:tcPr>
          <w:p w14:paraId="1880C7AD" w14:textId="77777777" w:rsidR="009F4EEE" w:rsidRPr="003501A6" w:rsidRDefault="009F4EEE" w:rsidP="00F82E38">
            <w:pPr>
              <w:jc w:val="center"/>
              <w:rPr>
                <w:rFonts w:ascii="Arial" w:hAnsi="Arial" w:cs="Arial"/>
                <w:sz w:val="22"/>
                <w:szCs w:val="22"/>
              </w:rPr>
            </w:pPr>
            <w:r w:rsidRPr="003501A6">
              <w:rPr>
                <w:rFonts w:ascii="Arial" w:hAnsi="Arial" w:cs="Arial"/>
                <w:sz w:val="22"/>
                <w:szCs w:val="22"/>
              </w:rPr>
              <w:t>50%</w:t>
            </w:r>
          </w:p>
        </w:tc>
        <w:tc>
          <w:tcPr>
            <w:tcW w:w="1815" w:type="dxa"/>
            <w:shd w:val="clear" w:color="auto" w:fill="auto"/>
          </w:tcPr>
          <w:p w14:paraId="1F78E6FB" w14:textId="65A36B21" w:rsidR="009F4EEE" w:rsidRPr="003501A6" w:rsidRDefault="009F4EEE" w:rsidP="00F82E38">
            <w:pPr>
              <w:jc w:val="right"/>
              <w:rPr>
                <w:rFonts w:ascii="Arial" w:hAnsi="Arial" w:cs="Arial"/>
                <w:sz w:val="22"/>
                <w:szCs w:val="22"/>
              </w:rPr>
            </w:pPr>
            <w:r w:rsidRPr="003501A6">
              <w:rPr>
                <w:rFonts w:ascii="Arial" w:hAnsi="Arial" w:cs="Arial"/>
                <w:sz w:val="22"/>
                <w:szCs w:val="22"/>
              </w:rPr>
              <w:t>$15.</w:t>
            </w:r>
            <w:r w:rsidR="6C5A2CA5" w:rsidRPr="003501A6">
              <w:rPr>
                <w:rFonts w:ascii="Arial" w:hAnsi="Arial" w:cs="Arial"/>
                <w:sz w:val="22"/>
                <w:szCs w:val="22"/>
              </w:rPr>
              <w:t>912</w:t>
            </w:r>
          </w:p>
        </w:tc>
        <w:tc>
          <w:tcPr>
            <w:tcW w:w="1800" w:type="dxa"/>
            <w:shd w:val="clear" w:color="auto" w:fill="auto"/>
          </w:tcPr>
          <w:p w14:paraId="7C41E852" w14:textId="7A7D5D4C" w:rsidR="009F4EEE" w:rsidRPr="003501A6" w:rsidRDefault="009F4EEE" w:rsidP="00F82E38">
            <w:pPr>
              <w:jc w:val="right"/>
              <w:rPr>
                <w:rFonts w:ascii="Arial" w:hAnsi="Arial" w:cs="Arial"/>
                <w:sz w:val="22"/>
                <w:szCs w:val="22"/>
              </w:rPr>
            </w:pPr>
            <w:r w:rsidRPr="003501A6">
              <w:rPr>
                <w:rFonts w:ascii="Arial" w:hAnsi="Arial" w:cs="Arial"/>
                <w:sz w:val="22"/>
                <w:szCs w:val="22"/>
              </w:rPr>
              <w:t>$7,</w:t>
            </w:r>
            <w:r w:rsidR="0D03FB4B" w:rsidRPr="003501A6">
              <w:rPr>
                <w:rFonts w:ascii="Arial" w:hAnsi="Arial" w:cs="Arial"/>
                <w:sz w:val="22"/>
                <w:szCs w:val="22"/>
              </w:rPr>
              <w:t>956</w:t>
            </w:r>
          </w:p>
        </w:tc>
      </w:tr>
      <w:tr w:rsidR="009F4EEE" w:rsidRPr="003501A6" w14:paraId="048D3A99" w14:textId="77777777" w:rsidTr="3AF34FEE">
        <w:trPr>
          <w:jc w:val="center"/>
        </w:trPr>
        <w:tc>
          <w:tcPr>
            <w:tcW w:w="1523" w:type="dxa"/>
            <w:shd w:val="clear" w:color="auto" w:fill="auto"/>
          </w:tcPr>
          <w:p w14:paraId="0581808A" w14:textId="77777777" w:rsidR="009F4EEE" w:rsidRPr="003501A6" w:rsidRDefault="009F4EEE" w:rsidP="00F82E38">
            <w:pPr>
              <w:jc w:val="center"/>
              <w:rPr>
                <w:rFonts w:ascii="Arial" w:hAnsi="Arial" w:cs="Arial"/>
                <w:sz w:val="22"/>
                <w:szCs w:val="22"/>
              </w:rPr>
            </w:pPr>
            <w:r w:rsidRPr="003501A6">
              <w:rPr>
                <w:rFonts w:ascii="Arial" w:hAnsi="Arial" w:cs="Arial"/>
                <w:sz w:val="22"/>
                <w:szCs w:val="22"/>
              </w:rPr>
              <w:t>100% (FTB)</w:t>
            </w:r>
          </w:p>
        </w:tc>
        <w:tc>
          <w:tcPr>
            <w:tcW w:w="1815" w:type="dxa"/>
            <w:shd w:val="clear" w:color="auto" w:fill="auto"/>
          </w:tcPr>
          <w:p w14:paraId="542CE6ED" w14:textId="496A0EDD" w:rsidR="009F4EEE" w:rsidRPr="003501A6" w:rsidRDefault="009F4EEE" w:rsidP="00F82E38">
            <w:pPr>
              <w:jc w:val="right"/>
              <w:rPr>
                <w:rFonts w:ascii="Arial" w:hAnsi="Arial" w:cs="Arial"/>
                <w:sz w:val="22"/>
                <w:szCs w:val="22"/>
              </w:rPr>
            </w:pPr>
            <w:r w:rsidRPr="003501A6">
              <w:rPr>
                <w:rFonts w:ascii="Arial" w:hAnsi="Arial" w:cs="Arial"/>
                <w:sz w:val="22"/>
                <w:szCs w:val="22"/>
              </w:rPr>
              <w:t>$31,</w:t>
            </w:r>
            <w:r w:rsidR="31EAEC96" w:rsidRPr="003501A6">
              <w:rPr>
                <w:rFonts w:ascii="Arial" w:hAnsi="Arial" w:cs="Arial"/>
                <w:sz w:val="22"/>
                <w:szCs w:val="22"/>
              </w:rPr>
              <w:t>824</w:t>
            </w:r>
          </w:p>
        </w:tc>
        <w:tc>
          <w:tcPr>
            <w:tcW w:w="1800" w:type="dxa"/>
            <w:shd w:val="clear" w:color="auto" w:fill="auto"/>
          </w:tcPr>
          <w:p w14:paraId="59A40629" w14:textId="151FC3BF" w:rsidR="009F4EEE" w:rsidRPr="003501A6" w:rsidRDefault="009F4EEE" w:rsidP="00F82E38">
            <w:pPr>
              <w:jc w:val="right"/>
              <w:rPr>
                <w:rFonts w:ascii="Arial" w:hAnsi="Arial" w:cs="Arial"/>
                <w:sz w:val="22"/>
                <w:szCs w:val="22"/>
              </w:rPr>
            </w:pPr>
            <w:r w:rsidRPr="003501A6">
              <w:rPr>
                <w:rFonts w:ascii="Arial" w:hAnsi="Arial" w:cs="Arial"/>
                <w:sz w:val="22"/>
                <w:szCs w:val="22"/>
              </w:rPr>
              <w:t>$15,</w:t>
            </w:r>
            <w:r w:rsidR="7F273AEA" w:rsidRPr="003501A6">
              <w:rPr>
                <w:rFonts w:ascii="Arial" w:hAnsi="Arial" w:cs="Arial"/>
                <w:sz w:val="22"/>
                <w:szCs w:val="22"/>
              </w:rPr>
              <w:t>912</w:t>
            </w:r>
          </w:p>
        </w:tc>
      </w:tr>
    </w:tbl>
    <w:p w14:paraId="7BCAA65D" w14:textId="4DC83417" w:rsidR="00A4137A" w:rsidRPr="003501A6" w:rsidRDefault="00A4137A" w:rsidP="00BF1CEB">
      <w:pPr>
        <w:jc w:val="both"/>
        <w:rPr>
          <w:rFonts w:ascii="Arial" w:hAnsi="Arial" w:cs="Arial"/>
          <w:sz w:val="22"/>
          <w:szCs w:val="22"/>
        </w:rPr>
      </w:pPr>
    </w:p>
    <w:p w14:paraId="21487786" w14:textId="5C09388B" w:rsidR="007A29CA" w:rsidRPr="003501A6" w:rsidRDefault="007A29CA" w:rsidP="007A29CA">
      <w:pPr>
        <w:pStyle w:val="ListParagraph"/>
        <w:numPr>
          <w:ilvl w:val="0"/>
          <w:numId w:val="7"/>
        </w:numPr>
        <w:jc w:val="both"/>
        <w:rPr>
          <w:rFonts w:ascii="Arial" w:hAnsi="Arial" w:cs="Arial"/>
          <w:b/>
          <w:sz w:val="22"/>
          <w:szCs w:val="22"/>
        </w:rPr>
      </w:pPr>
      <w:r w:rsidRPr="003501A6">
        <w:rPr>
          <w:rFonts w:ascii="Arial" w:hAnsi="Arial" w:cs="Arial"/>
          <w:b/>
          <w:sz w:val="22"/>
          <w:szCs w:val="22"/>
        </w:rPr>
        <w:t>Teaching Assistants</w:t>
      </w:r>
    </w:p>
    <w:p w14:paraId="741E1057" w14:textId="2FEF0CA5" w:rsidR="007A29CA" w:rsidRPr="003501A6" w:rsidRDefault="007A29CA" w:rsidP="007A29CA">
      <w:pPr>
        <w:ind w:left="720"/>
        <w:jc w:val="both"/>
        <w:rPr>
          <w:rFonts w:ascii="Arial" w:hAnsi="Arial" w:cs="Arial"/>
          <w:sz w:val="22"/>
          <w:szCs w:val="22"/>
        </w:rPr>
      </w:pPr>
      <w:r w:rsidRPr="003501A6">
        <w:rPr>
          <w:rFonts w:ascii="Arial" w:hAnsi="Arial" w:cs="Arial"/>
          <w:sz w:val="22"/>
          <w:szCs w:val="22"/>
        </w:rPr>
        <w:t xml:space="preserve">Teaching Assistants (TA’s) </w:t>
      </w:r>
      <w:r w:rsidR="0027634E" w:rsidRPr="003501A6">
        <w:rPr>
          <w:rFonts w:ascii="Arial" w:hAnsi="Arial" w:cs="Arial"/>
          <w:sz w:val="22"/>
          <w:szCs w:val="22"/>
        </w:rPr>
        <w:t xml:space="preserve">have previously </w:t>
      </w:r>
      <w:r w:rsidR="00257643" w:rsidRPr="003501A6">
        <w:rPr>
          <w:rFonts w:ascii="Arial" w:hAnsi="Arial" w:cs="Arial"/>
          <w:sz w:val="22"/>
          <w:szCs w:val="22"/>
        </w:rPr>
        <w:t>receive</w:t>
      </w:r>
      <w:r w:rsidR="0027634E" w:rsidRPr="003501A6">
        <w:rPr>
          <w:rFonts w:ascii="Arial" w:hAnsi="Arial" w:cs="Arial"/>
          <w:sz w:val="22"/>
          <w:szCs w:val="22"/>
        </w:rPr>
        <w:t>d</w:t>
      </w:r>
      <w:r w:rsidR="00257643" w:rsidRPr="003501A6">
        <w:rPr>
          <w:rFonts w:ascii="Arial" w:hAnsi="Arial" w:cs="Arial"/>
          <w:sz w:val="22"/>
          <w:szCs w:val="22"/>
        </w:rPr>
        <w:t xml:space="preserve"> a stipend based on the level of </w:t>
      </w:r>
      <w:hyperlink r:id="rId15" w:history="1">
        <w:r w:rsidR="00257643" w:rsidRPr="003501A6">
          <w:rPr>
            <w:rStyle w:val="Hyperlink"/>
            <w:rFonts w:ascii="Arial" w:hAnsi="Arial" w:cs="Arial"/>
            <w:sz w:val="22"/>
            <w:szCs w:val="22"/>
          </w:rPr>
          <w:t>TA stipends at UW Milwaukee</w:t>
        </w:r>
      </w:hyperlink>
      <w:r w:rsidR="009F4EEE" w:rsidRPr="003501A6">
        <w:rPr>
          <w:rFonts w:ascii="Arial" w:hAnsi="Arial" w:cs="Arial"/>
          <w:sz w:val="22"/>
          <w:szCs w:val="22"/>
        </w:rPr>
        <w:t xml:space="preserve">. </w:t>
      </w:r>
      <w:r w:rsidR="00257643" w:rsidRPr="003501A6">
        <w:rPr>
          <w:rFonts w:ascii="Arial" w:hAnsi="Arial" w:cs="Arial"/>
          <w:sz w:val="22"/>
          <w:szCs w:val="22"/>
        </w:rPr>
        <w:t xml:space="preserve">TA’s also receive </w:t>
      </w:r>
      <w:r w:rsidR="00DC1D3F" w:rsidRPr="003501A6">
        <w:rPr>
          <w:rFonts w:ascii="Arial" w:hAnsi="Arial" w:cs="Arial"/>
          <w:sz w:val="22"/>
          <w:szCs w:val="22"/>
        </w:rPr>
        <w:t xml:space="preserve">100% resident graduate </w:t>
      </w:r>
      <w:r w:rsidR="00257643" w:rsidRPr="003501A6">
        <w:rPr>
          <w:rFonts w:ascii="Arial" w:hAnsi="Arial" w:cs="Arial"/>
          <w:sz w:val="22"/>
          <w:szCs w:val="22"/>
        </w:rPr>
        <w:t xml:space="preserve">tuition remission based on the level of credits that the student is taking in a particular semester. </w:t>
      </w:r>
      <w:r w:rsidR="009F4EEE" w:rsidRPr="003501A6">
        <w:rPr>
          <w:rFonts w:ascii="Arial" w:hAnsi="Arial" w:cs="Arial"/>
          <w:sz w:val="22"/>
          <w:szCs w:val="22"/>
        </w:rPr>
        <w:t>In FY</w:t>
      </w:r>
      <w:r w:rsidR="0056081A" w:rsidRPr="003501A6">
        <w:rPr>
          <w:rFonts w:ascii="Arial" w:hAnsi="Arial" w:cs="Arial"/>
          <w:sz w:val="22"/>
          <w:szCs w:val="22"/>
        </w:rPr>
        <w:t xml:space="preserve">24, the TA stipend was increased to match the GA stipend. </w:t>
      </w:r>
    </w:p>
    <w:p w14:paraId="4065D071" w14:textId="77777777" w:rsidR="007A29CA" w:rsidRPr="003501A6" w:rsidRDefault="007A29CA" w:rsidP="007A29CA">
      <w:pPr>
        <w:ind w:left="1008"/>
        <w:jc w:val="both"/>
        <w:rPr>
          <w:rFonts w:ascii="Arial" w:hAnsi="Arial" w:cs="Arial"/>
          <w:sz w:val="22"/>
          <w:szCs w:val="22"/>
        </w:rPr>
      </w:pPr>
    </w:p>
    <w:tbl>
      <w:tblPr>
        <w:tblW w:w="4585" w:type="dxa"/>
        <w:jc w:val="center"/>
        <w:tblCellMar>
          <w:top w:w="15" w:type="dxa"/>
          <w:bottom w:w="15" w:type="dxa"/>
        </w:tblCellMar>
        <w:tblLook w:val="04A0" w:firstRow="1" w:lastRow="0" w:firstColumn="1" w:lastColumn="0" w:noHBand="0" w:noVBand="1"/>
      </w:tblPr>
      <w:tblGrid>
        <w:gridCol w:w="2700"/>
        <w:gridCol w:w="1885"/>
      </w:tblGrid>
      <w:tr w:rsidR="00064EF1" w:rsidRPr="003501A6" w14:paraId="47552775" w14:textId="77777777" w:rsidTr="0056081A">
        <w:trPr>
          <w:trHeight w:val="209"/>
          <w:jc w:val="center"/>
        </w:trPr>
        <w:tc>
          <w:tcPr>
            <w:tcW w:w="2700" w:type="dxa"/>
            <w:tcBorders>
              <w:top w:val="single" w:sz="4" w:space="0" w:color="auto"/>
              <w:left w:val="single" w:sz="4" w:space="0" w:color="auto"/>
              <w:bottom w:val="single" w:sz="4" w:space="0" w:color="auto"/>
              <w:right w:val="single" w:sz="4" w:space="0" w:color="auto"/>
            </w:tcBorders>
            <w:noWrap/>
            <w:vAlign w:val="bottom"/>
            <w:hideMark/>
          </w:tcPr>
          <w:p w14:paraId="225E145D" w14:textId="77777777" w:rsidR="00064EF1" w:rsidRPr="003501A6" w:rsidRDefault="00064EF1" w:rsidP="00064EF1">
            <w:pPr>
              <w:jc w:val="both"/>
              <w:rPr>
                <w:rFonts w:ascii="Arial" w:hAnsi="Arial" w:cs="Arial"/>
                <w:b/>
                <w:bCs/>
                <w:sz w:val="22"/>
                <w:szCs w:val="22"/>
              </w:rPr>
            </w:pPr>
            <w:r w:rsidRPr="003501A6">
              <w:rPr>
                <w:rFonts w:ascii="Arial" w:hAnsi="Arial" w:cs="Arial"/>
                <w:b/>
                <w:bCs/>
                <w:sz w:val="22"/>
                <w:szCs w:val="22"/>
              </w:rPr>
              <w:t>Teaching Assistants</w:t>
            </w:r>
          </w:p>
        </w:tc>
        <w:tc>
          <w:tcPr>
            <w:tcW w:w="1885" w:type="dxa"/>
            <w:tcBorders>
              <w:top w:val="single" w:sz="4" w:space="0" w:color="auto"/>
              <w:left w:val="single" w:sz="4" w:space="0" w:color="auto"/>
              <w:bottom w:val="single" w:sz="4" w:space="0" w:color="auto"/>
              <w:right w:val="single" w:sz="4" w:space="0" w:color="auto"/>
            </w:tcBorders>
            <w:noWrap/>
            <w:vAlign w:val="bottom"/>
            <w:hideMark/>
          </w:tcPr>
          <w:p w14:paraId="0E3FF98C" w14:textId="7B4C3235" w:rsidR="00064EF1" w:rsidRPr="003501A6" w:rsidRDefault="00064EF1" w:rsidP="00064EF1">
            <w:pPr>
              <w:jc w:val="center"/>
              <w:rPr>
                <w:rFonts w:ascii="Arial" w:hAnsi="Arial" w:cs="Arial"/>
                <w:b/>
                <w:bCs/>
                <w:sz w:val="22"/>
                <w:szCs w:val="22"/>
              </w:rPr>
            </w:pPr>
            <w:r w:rsidRPr="003501A6">
              <w:rPr>
                <w:rFonts w:ascii="Arial" w:hAnsi="Arial" w:cs="Arial"/>
                <w:b/>
                <w:bCs/>
                <w:sz w:val="22"/>
                <w:szCs w:val="22"/>
              </w:rPr>
              <w:t>FY2</w:t>
            </w:r>
            <w:r w:rsidR="009F4EEE" w:rsidRPr="003501A6">
              <w:rPr>
                <w:rFonts w:ascii="Arial" w:hAnsi="Arial" w:cs="Arial"/>
                <w:b/>
                <w:bCs/>
                <w:sz w:val="22"/>
                <w:szCs w:val="22"/>
              </w:rPr>
              <w:t>5</w:t>
            </w:r>
            <w:r w:rsidR="0027634E" w:rsidRPr="003501A6">
              <w:rPr>
                <w:rFonts w:ascii="Arial" w:hAnsi="Arial" w:cs="Arial"/>
                <w:b/>
                <w:bCs/>
                <w:sz w:val="22"/>
                <w:szCs w:val="22"/>
              </w:rPr>
              <w:t xml:space="preserve"> </w:t>
            </w:r>
          </w:p>
        </w:tc>
      </w:tr>
      <w:tr w:rsidR="00064EF1" w:rsidRPr="003501A6" w14:paraId="1BB9576F" w14:textId="77777777" w:rsidTr="0056081A">
        <w:trPr>
          <w:trHeight w:val="245"/>
          <w:jc w:val="center"/>
        </w:trPr>
        <w:tc>
          <w:tcPr>
            <w:tcW w:w="2700" w:type="dxa"/>
            <w:tcBorders>
              <w:top w:val="single" w:sz="4" w:space="0" w:color="auto"/>
              <w:left w:val="single" w:sz="4" w:space="0" w:color="auto"/>
              <w:bottom w:val="single" w:sz="4" w:space="0" w:color="auto"/>
              <w:right w:val="single" w:sz="4" w:space="0" w:color="auto"/>
            </w:tcBorders>
            <w:noWrap/>
            <w:vAlign w:val="bottom"/>
            <w:hideMark/>
          </w:tcPr>
          <w:p w14:paraId="28D784CE" w14:textId="77777777" w:rsidR="00064EF1" w:rsidRPr="003501A6" w:rsidRDefault="00064EF1" w:rsidP="00064EF1">
            <w:pPr>
              <w:jc w:val="both"/>
              <w:rPr>
                <w:rFonts w:ascii="Arial" w:hAnsi="Arial" w:cs="Arial"/>
                <w:sz w:val="22"/>
                <w:szCs w:val="22"/>
              </w:rPr>
            </w:pPr>
            <w:r w:rsidRPr="003501A6">
              <w:rPr>
                <w:rFonts w:ascii="Arial" w:hAnsi="Arial" w:cs="Arial"/>
                <w:sz w:val="22"/>
                <w:szCs w:val="22"/>
              </w:rPr>
              <w:t>Salary</w:t>
            </w:r>
          </w:p>
        </w:tc>
        <w:tc>
          <w:tcPr>
            <w:tcW w:w="1885" w:type="dxa"/>
            <w:tcBorders>
              <w:top w:val="single" w:sz="4" w:space="0" w:color="auto"/>
              <w:left w:val="single" w:sz="4" w:space="0" w:color="auto"/>
              <w:bottom w:val="single" w:sz="4" w:space="0" w:color="auto"/>
              <w:right w:val="single" w:sz="4" w:space="0" w:color="auto"/>
            </w:tcBorders>
            <w:noWrap/>
            <w:vAlign w:val="bottom"/>
            <w:hideMark/>
          </w:tcPr>
          <w:p w14:paraId="6F0E8962" w14:textId="3E2BF326" w:rsidR="00064EF1" w:rsidRPr="003501A6" w:rsidRDefault="00F66A90" w:rsidP="00064EF1">
            <w:pPr>
              <w:jc w:val="center"/>
              <w:rPr>
                <w:rFonts w:ascii="Arial" w:hAnsi="Arial" w:cs="Arial"/>
                <w:sz w:val="22"/>
                <w:szCs w:val="22"/>
              </w:rPr>
            </w:pPr>
            <w:r w:rsidRPr="003501A6">
              <w:rPr>
                <w:rFonts w:ascii="Arial" w:hAnsi="Arial" w:cs="Arial"/>
                <w:sz w:val="22"/>
                <w:szCs w:val="22"/>
              </w:rPr>
              <w:t>15,</w:t>
            </w:r>
            <w:r w:rsidR="00A47DB5" w:rsidRPr="003501A6">
              <w:rPr>
                <w:rFonts w:ascii="Arial" w:hAnsi="Arial" w:cs="Arial"/>
                <w:sz w:val="22"/>
                <w:szCs w:val="22"/>
              </w:rPr>
              <w:t>912.00</w:t>
            </w:r>
          </w:p>
        </w:tc>
      </w:tr>
      <w:tr w:rsidR="00064EF1" w:rsidRPr="003501A6" w14:paraId="13430E08" w14:textId="77777777" w:rsidTr="0056081A">
        <w:trPr>
          <w:trHeight w:val="191"/>
          <w:jc w:val="center"/>
        </w:trPr>
        <w:tc>
          <w:tcPr>
            <w:tcW w:w="2700" w:type="dxa"/>
            <w:tcBorders>
              <w:top w:val="single" w:sz="4" w:space="0" w:color="auto"/>
              <w:left w:val="single" w:sz="4" w:space="0" w:color="auto"/>
              <w:bottom w:val="single" w:sz="4" w:space="0" w:color="auto"/>
              <w:right w:val="single" w:sz="4" w:space="0" w:color="auto"/>
            </w:tcBorders>
            <w:noWrap/>
            <w:vAlign w:val="bottom"/>
            <w:hideMark/>
          </w:tcPr>
          <w:p w14:paraId="305C0748" w14:textId="1F2F3747" w:rsidR="00064EF1" w:rsidRPr="003501A6" w:rsidRDefault="00064EF1" w:rsidP="00064EF1">
            <w:pPr>
              <w:jc w:val="both"/>
              <w:rPr>
                <w:rFonts w:ascii="Arial" w:hAnsi="Arial" w:cs="Arial"/>
                <w:sz w:val="22"/>
                <w:szCs w:val="22"/>
              </w:rPr>
            </w:pPr>
            <w:r w:rsidRPr="003501A6">
              <w:rPr>
                <w:rFonts w:ascii="Arial" w:hAnsi="Arial" w:cs="Arial"/>
                <w:sz w:val="22"/>
                <w:szCs w:val="22"/>
              </w:rPr>
              <w:t>Tuition Waiver</w:t>
            </w:r>
            <w:r w:rsidR="00A47DB5" w:rsidRPr="003501A6">
              <w:rPr>
                <w:rFonts w:ascii="Arial" w:hAnsi="Arial" w:cs="Arial"/>
                <w:sz w:val="22"/>
                <w:szCs w:val="22"/>
              </w:rPr>
              <w:t xml:space="preserve"> (estimate)</w:t>
            </w:r>
          </w:p>
        </w:tc>
        <w:tc>
          <w:tcPr>
            <w:tcW w:w="1885" w:type="dxa"/>
            <w:tcBorders>
              <w:top w:val="single" w:sz="4" w:space="0" w:color="auto"/>
              <w:left w:val="single" w:sz="4" w:space="0" w:color="auto"/>
              <w:bottom w:val="single" w:sz="4" w:space="0" w:color="auto"/>
              <w:right w:val="single" w:sz="4" w:space="0" w:color="auto"/>
            </w:tcBorders>
            <w:noWrap/>
            <w:vAlign w:val="bottom"/>
            <w:hideMark/>
          </w:tcPr>
          <w:p w14:paraId="55901359" w14:textId="59C72661" w:rsidR="00064EF1" w:rsidRPr="003501A6" w:rsidRDefault="00B045BD" w:rsidP="00064EF1">
            <w:pPr>
              <w:jc w:val="center"/>
              <w:rPr>
                <w:rFonts w:ascii="Arial" w:hAnsi="Arial" w:cs="Arial"/>
                <w:sz w:val="22"/>
                <w:szCs w:val="22"/>
              </w:rPr>
            </w:pPr>
            <w:r>
              <w:rPr>
                <w:rFonts w:ascii="Arial" w:hAnsi="Arial" w:cs="Arial"/>
                <w:sz w:val="22"/>
                <w:szCs w:val="22"/>
              </w:rPr>
              <w:t>9,269.28</w:t>
            </w:r>
          </w:p>
        </w:tc>
      </w:tr>
      <w:tr w:rsidR="00064EF1" w:rsidRPr="003501A6" w14:paraId="377CD6B9" w14:textId="77777777" w:rsidTr="0056081A">
        <w:trPr>
          <w:trHeight w:val="227"/>
          <w:jc w:val="center"/>
        </w:trPr>
        <w:tc>
          <w:tcPr>
            <w:tcW w:w="2700" w:type="dxa"/>
            <w:tcBorders>
              <w:top w:val="single" w:sz="4" w:space="0" w:color="auto"/>
              <w:left w:val="single" w:sz="4" w:space="0" w:color="auto"/>
              <w:bottom w:val="single" w:sz="4" w:space="0" w:color="auto"/>
              <w:right w:val="single" w:sz="4" w:space="0" w:color="auto"/>
            </w:tcBorders>
            <w:noWrap/>
            <w:vAlign w:val="bottom"/>
            <w:hideMark/>
          </w:tcPr>
          <w:p w14:paraId="0E7E1470" w14:textId="77777777" w:rsidR="00064EF1" w:rsidRPr="003501A6" w:rsidRDefault="00064EF1" w:rsidP="00064EF1">
            <w:pPr>
              <w:jc w:val="both"/>
              <w:rPr>
                <w:rFonts w:ascii="Arial" w:hAnsi="Arial" w:cs="Arial"/>
                <w:sz w:val="22"/>
                <w:szCs w:val="22"/>
              </w:rPr>
            </w:pPr>
          </w:p>
        </w:tc>
        <w:tc>
          <w:tcPr>
            <w:tcW w:w="1885" w:type="dxa"/>
            <w:tcBorders>
              <w:top w:val="single" w:sz="4" w:space="0" w:color="auto"/>
              <w:left w:val="single" w:sz="4" w:space="0" w:color="auto"/>
              <w:bottom w:val="single" w:sz="4" w:space="0" w:color="auto"/>
              <w:right w:val="single" w:sz="4" w:space="0" w:color="auto"/>
            </w:tcBorders>
            <w:noWrap/>
            <w:vAlign w:val="bottom"/>
            <w:hideMark/>
          </w:tcPr>
          <w:p w14:paraId="15E2C3C3" w14:textId="77777777" w:rsidR="00064EF1" w:rsidRPr="003501A6" w:rsidRDefault="00064EF1" w:rsidP="00064EF1">
            <w:pPr>
              <w:jc w:val="center"/>
              <w:rPr>
                <w:rFonts w:ascii="Arial" w:hAnsi="Arial" w:cs="Arial"/>
                <w:sz w:val="22"/>
                <w:szCs w:val="22"/>
              </w:rPr>
            </w:pPr>
          </w:p>
        </w:tc>
      </w:tr>
      <w:tr w:rsidR="00064EF1" w:rsidRPr="003501A6" w14:paraId="022C78B4" w14:textId="77777777" w:rsidTr="0056081A">
        <w:trPr>
          <w:trHeight w:val="236"/>
          <w:jc w:val="center"/>
        </w:trPr>
        <w:tc>
          <w:tcPr>
            <w:tcW w:w="2700" w:type="dxa"/>
            <w:tcBorders>
              <w:top w:val="single" w:sz="4" w:space="0" w:color="auto"/>
              <w:left w:val="single" w:sz="4" w:space="0" w:color="auto"/>
              <w:bottom w:val="single" w:sz="4" w:space="0" w:color="auto"/>
              <w:right w:val="single" w:sz="4" w:space="0" w:color="auto"/>
            </w:tcBorders>
            <w:noWrap/>
            <w:vAlign w:val="bottom"/>
            <w:hideMark/>
          </w:tcPr>
          <w:p w14:paraId="4B464A9A" w14:textId="77777777" w:rsidR="00064EF1" w:rsidRPr="003501A6" w:rsidRDefault="00064EF1" w:rsidP="00064EF1">
            <w:pPr>
              <w:jc w:val="both"/>
              <w:rPr>
                <w:rFonts w:ascii="Arial" w:hAnsi="Arial" w:cs="Arial"/>
                <w:b/>
                <w:bCs/>
                <w:sz w:val="22"/>
                <w:szCs w:val="22"/>
              </w:rPr>
            </w:pPr>
            <w:r w:rsidRPr="003501A6">
              <w:rPr>
                <w:rFonts w:ascii="Arial" w:hAnsi="Arial" w:cs="Arial"/>
                <w:b/>
                <w:bCs/>
                <w:sz w:val="22"/>
                <w:szCs w:val="22"/>
              </w:rPr>
              <w:t>Total</w:t>
            </w:r>
          </w:p>
        </w:tc>
        <w:tc>
          <w:tcPr>
            <w:tcW w:w="1885" w:type="dxa"/>
            <w:tcBorders>
              <w:top w:val="single" w:sz="4" w:space="0" w:color="auto"/>
              <w:left w:val="single" w:sz="4" w:space="0" w:color="auto"/>
              <w:bottom w:val="single" w:sz="4" w:space="0" w:color="auto"/>
              <w:right w:val="single" w:sz="4" w:space="0" w:color="auto"/>
            </w:tcBorders>
            <w:noWrap/>
            <w:vAlign w:val="bottom"/>
            <w:hideMark/>
          </w:tcPr>
          <w:p w14:paraId="62A8D627" w14:textId="03E3F85D" w:rsidR="00064EF1" w:rsidRPr="003501A6" w:rsidRDefault="00B045BD" w:rsidP="00064EF1">
            <w:pPr>
              <w:jc w:val="center"/>
              <w:rPr>
                <w:rFonts w:ascii="Arial" w:hAnsi="Arial" w:cs="Arial"/>
                <w:b/>
                <w:bCs/>
                <w:sz w:val="22"/>
                <w:szCs w:val="22"/>
              </w:rPr>
            </w:pPr>
            <w:r>
              <w:rPr>
                <w:rFonts w:ascii="Arial" w:hAnsi="Arial" w:cs="Arial"/>
                <w:b/>
                <w:bCs/>
                <w:sz w:val="22"/>
                <w:szCs w:val="22"/>
              </w:rPr>
              <w:t>25,181.28</w:t>
            </w:r>
          </w:p>
        </w:tc>
      </w:tr>
    </w:tbl>
    <w:p w14:paraId="05CEE831" w14:textId="77777777" w:rsidR="00DC1D3F" w:rsidRPr="003501A6" w:rsidRDefault="00DC1D3F" w:rsidP="005238FD">
      <w:pPr>
        <w:jc w:val="both"/>
        <w:rPr>
          <w:rFonts w:ascii="Arial" w:hAnsi="Arial" w:cs="Arial"/>
          <w:sz w:val="22"/>
          <w:szCs w:val="22"/>
        </w:rPr>
      </w:pPr>
    </w:p>
    <w:p w14:paraId="5EB36BB4" w14:textId="36F7357F" w:rsidR="005238FD" w:rsidRPr="003501A6" w:rsidRDefault="000B6B99" w:rsidP="00A4137A">
      <w:pPr>
        <w:pStyle w:val="ListParagraph"/>
        <w:numPr>
          <w:ilvl w:val="0"/>
          <w:numId w:val="9"/>
        </w:numPr>
        <w:jc w:val="both"/>
        <w:rPr>
          <w:rFonts w:ascii="Arial" w:hAnsi="Arial" w:cs="Arial"/>
          <w:b/>
          <w:sz w:val="22"/>
          <w:szCs w:val="22"/>
        </w:rPr>
      </w:pPr>
      <w:r w:rsidRPr="003501A6">
        <w:rPr>
          <w:rFonts w:ascii="Arial" w:hAnsi="Arial" w:cs="Arial"/>
          <w:b/>
          <w:sz w:val="22"/>
          <w:szCs w:val="22"/>
        </w:rPr>
        <w:t>Terminal Banked Leave Assessment</w:t>
      </w:r>
    </w:p>
    <w:p w14:paraId="0B3C21DF" w14:textId="77777777" w:rsidR="009F4EEE" w:rsidRPr="003501A6" w:rsidRDefault="009F4EEE" w:rsidP="009F4EEE">
      <w:pPr>
        <w:pStyle w:val="ListParagraph"/>
        <w:jc w:val="both"/>
        <w:rPr>
          <w:rFonts w:ascii="Arial" w:hAnsi="Arial" w:cs="Arial"/>
          <w:sz w:val="22"/>
          <w:szCs w:val="22"/>
        </w:rPr>
      </w:pPr>
      <w:r w:rsidRPr="003501A6">
        <w:rPr>
          <w:rFonts w:ascii="Arial" w:hAnsi="Arial" w:cs="Arial"/>
          <w:sz w:val="22"/>
          <w:szCs w:val="22"/>
        </w:rPr>
        <w:t>Terminal Banked Leave assessment (ALRA) should be built into all budgets for 2024-25. This equates to 0.96% of the University Staff salary and 0.49% of the Academic Staff salary in a particular account.</w:t>
      </w:r>
    </w:p>
    <w:p w14:paraId="1CEC11AD" w14:textId="77777777" w:rsidR="009F4EEE" w:rsidRPr="003501A6" w:rsidRDefault="009F4EEE" w:rsidP="009F4EEE">
      <w:pPr>
        <w:pStyle w:val="ListParagraph"/>
        <w:jc w:val="both"/>
        <w:rPr>
          <w:rFonts w:ascii="Arial" w:hAnsi="Arial" w:cs="Arial"/>
          <w:sz w:val="22"/>
          <w:szCs w:val="22"/>
        </w:rPr>
      </w:pPr>
    </w:p>
    <w:tbl>
      <w:tblPr>
        <w:tblStyle w:val="TableGrid"/>
        <w:tblW w:w="3325" w:type="dxa"/>
        <w:jc w:val="center"/>
        <w:tblLook w:val="04A0" w:firstRow="1" w:lastRow="0" w:firstColumn="1" w:lastColumn="0" w:noHBand="0" w:noVBand="1"/>
      </w:tblPr>
      <w:tblGrid>
        <w:gridCol w:w="1980"/>
        <w:gridCol w:w="1345"/>
      </w:tblGrid>
      <w:tr w:rsidR="009F4EEE" w:rsidRPr="003501A6" w14:paraId="60BC3B57" w14:textId="77777777" w:rsidTr="00F82E38">
        <w:trPr>
          <w:jc w:val="center"/>
        </w:trPr>
        <w:tc>
          <w:tcPr>
            <w:tcW w:w="3325" w:type="dxa"/>
            <w:gridSpan w:val="2"/>
          </w:tcPr>
          <w:p w14:paraId="276ECD07" w14:textId="77777777" w:rsidR="009F4EEE" w:rsidRPr="003501A6" w:rsidRDefault="009F4EEE" w:rsidP="00F82E38">
            <w:pPr>
              <w:pStyle w:val="ListParagraph"/>
              <w:ind w:left="0"/>
              <w:jc w:val="center"/>
              <w:rPr>
                <w:rFonts w:ascii="Arial" w:hAnsi="Arial" w:cs="Arial"/>
                <w:b/>
                <w:bCs/>
                <w:sz w:val="22"/>
                <w:szCs w:val="22"/>
              </w:rPr>
            </w:pPr>
            <w:r w:rsidRPr="003501A6">
              <w:rPr>
                <w:rFonts w:ascii="Arial" w:hAnsi="Arial" w:cs="Arial"/>
                <w:b/>
                <w:bCs/>
                <w:sz w:val="22"/>
                <w:szCs w:val="22"/>
              </w:rPr>
              <w:t>Estimated FY25 ALRA Rates</w:t>
            </w:r>
          </w:p>
        </w:tc>
      </w:tr>
      <w:tr w:rsidR="009F4EEE" w:rsidRPr="003501A6" w14:paraId="67C2F6FB" w14:textId="77777777" w:rsidTr="00F82E38">
        <w:trPr>
          <w:jc w:val="center"/>
        </w:trPr>
        <w:tc>
          <w:tcPr>
            <w:tcW w:w="1980" w:type="dxa"/>
          </w:tcPr>
          <w:p w14:paraId="303D627B" w14:textId="77777777" w:rsidR="009F4EEE" w:rsidRPr="003501A6" w:rsidRDefault="009F4EEE" w:rsidP="00F82E38">
            <w:pPr>
              <w:pStyle w:val="ListParagraph"/>
              <w:ind w:left="0"/>
              <w:jc w:val="center"/>
              <w:rPr>
                <w:rFonts w:ascii="Arial" w:hAnsi="Arial" w:cs="Arial"/>
                <w:sz w:val="22"/>
                <w:szCs w:val="22"/>
                <w:u w:val="single"/>
              </w:rPr>
            </w:pPr>
            <w:r w:rsidRPr="003501A6">
              <w:rPr>
                <w:rFonts w:ascii="Arial" w:hAnsi="Arial" w:cs="Arial"/>
                <w:sz w:val="22"/>
                <w:szCs w:val="22"/>
                <w:u w:val="single"/>
              </w:rPr>
              <w:t>Staff Type</w:t>
            </w:r>
          </w:p>
        </w:tc>
        <w:tc>
          <w:tcPr>
            <w:tcW w:w="1345" w:type="dxa"/>
          </w:tcPr>
          <w:p w14:paraId="3DF7D569" w14:textId="77777777" w:rsidR="009F4EEE" w:rsidRPr="003501A6" w:rsidRDefault="009F4EEE" w:rsidP="00F82E38">
            <w:pPr>
              <w:pStyle w:val="ListParagraph"/>
              <w:ind w:left="0"/>
              <w:jc w:val="center"/>
              <w:rPr>
                <w:rFonts w:ascii="Arial" w:hAnsi="Arial" w:cs="Arial"/>
                <w:sz w:val="22"/>
                <w:szCs w:val="22"/>
                <w:u w:val="single"/>
              </w:rPr>
            </w:pPr>
            <w:r w:rsidRPr="003501A6">
              <w:rPr>
                <w:rFonts w:ascii="Arial" w:hAnsi="Arial" w:cs="Arial"/>
                <w:sz w:val="22"/>
                <w:szCs w:val="22"/>
                <w:u w:val="single"/>
              </w:rPr>
              <w:t>Rate</w:t>
            </w:r>
          </w:p>
        </w:tc>
      </w:tr>
      <w:tr w:rsidR="009F4EEE" w:rsidRPr="003501A6" w14:paraId="0FA4EE86" w14:textId="77777777" w:rsidTr="00F82E38">
        <w:trPr>
          <w:jc w:val="center"/>
        </w:trPr>
        <w:tc>
          <w:tcPr>
            <w:tcW w:w="1980" w:type="dxa"/>
          </w:tcPr>
          <w:p w14:paraId="3D89F338" w14:textId="77777777" w:rsidR="009F4EEE" w:rsidRPr="003501A6" w:rsidRDefault="009F4EEE" w:rsidP="00F82E38">
            <w:pPr>
              <w:pStyle w:val="ListParagraph"/>
              <w:ind w:left="0"/>
              <w:jc w:val="both"/>
              <w:rPr>
                <w:rFonts w:ascii="Arial" w:hAnsi="Arial" w:cs="Arial"/>
                <w:sz w:val="22"/>
                <w:szCs w:val="22"/>
              </w:rPr>
            </w:pPr>
            <w:r w:rsidRPr="003501A6">
              <w:rPr>
                <w:rFonts w:ascii="Arial" w:hAnsi="Arial" w:cs="Arial"/>
                <w:sz w:val="22"/>
                <w:szCs w:val="22"/>
              </w:rPr>
              <w:t>Academic Staff</w:t>
            </w:r>
          </w:p>
        </w:tc>
        <w:tc>
          <w:tcPr>
            <w:tcW w:w="1345" w:type="dxa"/>
          </w:tcPr>
          <w:p w14:paraId="704484BB" w14:textId="77777777" w:rsidR="009F4EEE" w:rsidRPr="003501A6" w:rsidRDefault="009F4EEE" w:rsidP="00F82E38">
            <w:pPr>
              <w:pStyle w:val="ListParagraph"/>
              <w:ind w:left="0"/>
              <w:jc w:val="right"/>
              <w:rPr>
                <w:rFonts w:ascii="Arial" w:hAnsi="Arial" w:cs="Arial"/>
                <w:sz w:val="22"/>
                <w:szCs w:val="22"/>
              </w:rPr>
            </w:pPr>
            <w:r w:rsidRPr="003501A6">
              <w:rPr>
                <w:rFonts w:ascii="Arial" w:hAnsi="Arial" w:cs="Arial"/>
                <w:sz w:val="22"/>
                <w:szCs w:val="22"/>
              </w:rPr>
              <w:t>0.49%</w:t>
            </w:r>
          </w:p>
        </w:tc>
      </w:tr>
      <w:tr w:rsidR="009F4EEE" w:rsidRPr="003501A6" w14:paraId="5775E6DB" w14:textId="77777777" w:rsidTr="00F82E38">
        <w:trPr>
          <w:jc w:val="center"/>
        </w:trPr>
        <w:tc>
          <w:tcPr>
            <w:tcW w:w="1980" w:type="dxa"/>
          </w:tcPr>
          <w:p w14:paraId="455F566F" w14:textId="77777777" w:rsidR="009F4EEE" w:rsidRPr="003501A6" w:rsidRDefault="009F4EEE" w:rsidP="00F82E38">
            <w:pPr>
              <w:pStyle w:val="ListParagraph"/>
              <w:ind w:left="0"/>
              <w:jc w:val="both"/>
              <w:rPr>
                <w:rFonts w:ascii="Arial" w:hAnsi="Arial" w:cs="Arial"/>
                <w:sz w:val="22"/>
                <w:szCs w:val="22"/>
              </w:rPr>
            </w:pPr>
            <w:r w:rsidRPr="003501A6">
              <w:rPr>
                <w:rFonts w:ascii="Arial" w:hAnsi="Arial" w:cs="Arial"/>
                <w:sz w:val="22"/>
                <w:szCs w:val="22"/>
              </w:rPr>
              <w:t>University Staff</w:t>
            </w:r>
          </w:p>
        </w:tc>
        <w:tc>
          <w:tcPr>
            <w:tcW w:w="1345" w:type="dxa"/>
          </w:tcPr>
          <w:p w14:paraId="7583AC4C" w14:textId="77777777" w:rsidR="009F4EEE" w:rsidRPr="003501A6" w:rsidRDefault="009F4EEE" w:rsidP="00F82E38">
            <w:pPr>
              <w:pStyle w:val="ListParagraph"/>
              <w:ind w:left="0"/>
              <w:jc w:val="right"/>
              <w:rPr>
                <w:rFonts w:ascii="Arial" w:hAnsi="Arial" w:cs="Arial"/>
                <w:sz w:val="22"/>
                <w:szCs w:val="22"/>
              </w:rPr>
            </w:pPr>
            <w:r w:rsidRPr="003501A6">
              <w:rPr>
                <w:rFonts w:ascii="Arial" w:hAnsi="Arial" w:cs="Arial"/>
                <w:sz w:val="22"/>
                <w:szCs w:val="22"/>
              </w:rPr>
              <w:t>0.96%</w:t>
            </w:r>
          </w:p>
        </w:tc>
      </w:tr>
    </w:tbl>
    <w:p w14:paraId="211F3E13" w14:textId="1F644EA7" w:rsidR="000E6316" w:rsidRPr="003501A6" w:rsidRDefault="000E6316" w:rsidP="00A4137A">
      <w:pPr>
        <w:jc w:val="both"/>
        <w:rPr>
          <w:rFonts w:ascii="Arial" w:hAnsi="Arial" w:cs="Arial"/>
          <w:b/>
          <w:sz w:val="22"/>
          <w:szCs w:val="22"/>
        </w:rPr>
      </w:pPr>
    </w:p>
    <w:p w14:paraId="67BF8730" w14:textId="5D8EC03F" w:rsidR="00A4137A" w:rsidRPr="003501A6" w:rsidRDefault="00A4137A" w:rsidP="000B6B99">
      <w:pPr>
        <w:pStyle w:val="ListParagraph"/>
        <w:numPr>
          <w:ilvl w:val="0"/>
          <w:numId w:val="9"/>
        </w:numPr>
        <w:jc w:val="both"/>
        <w:rPr>
          <w:rFonts w:ascii="Arial" w:hAnsi="Arial" w:cs="Arial"/>
          <w:b/>
          <w:sz w:val="22"/>
          <w:szCs w:val="22"/>
        </w:rPr>
      </w:pPr>
      <w:r w:rsidRPr="003501A6">
        <w:rPr>
          <w:rFonts w:ascii="Arial" w:hAnsi="Arial" w:cs="Arial"/>
          <w:b/>
          <w:sz w:val="22"/>
          <w:szCs w:val="22"/>
        </w:rPr>
        <w:t>Educational Assistance</w:t>
      </w:r>
    </w:p>
    <w:p w14:paraId="1BB1A678" w14:textId="77777777" w:rsidR="009F4EEE" w:rsidRPr="003501A6" w:rsidRDefault="009F4EEE" w:rsidP="009F4EEE">
      <w:pPr>
        <w:pStyle w:val="ListParagraph"/>
        <w:jc w:val="both"/>
        <w:rPr>
          <w:rFonts w:ascii="Arial" w:hAnsi="Arial" w:cs="Arial"/>
          <w:sz w:val="22"/>
          <w:szCs w:val="22"/>
        </w:rPr>
      </w:pPr>
      <w:r w:rsidRPr="003501A6">
        <w:rPr>
          <w:rFonts w:ascii="Arial" w:hAnsi="Arial" w:cs="Arial"/>
          <w:sz w:val="22"/>
          <w:szCs w:val="22"/>
        </w:rPr>
        <w:t>The cost allocation model for the Educational Assistance program was developed by distributing the cost based upon 0.1126% on salary dollars associated with Redbook FTE per unit. On a $50,000 salary the annual assessment equals $56.30. The GPR portion is funded through the 102 Lapse return funds from UW System ($74,000) and the PR portion ($11,000) is allocated based upon Redbook FTE levels to achieve a total budget for the campus of $85,000. The program is reviewed annually to determine an appropriate funding target to match the demand.</w:t>
      </w:r>
    </w:p>
    <w:p w14:paraId="02BF653C" w14:textId="52CB26A9" w:rsidR="00A4137A" w:rsidRPr="003501A6" w:rsidRDefault="00A4137A" w:rsidP="00BF1CEB">
      <w:pPr>
        <w:jc w:val="both"/>
        <w:rPr>
          <w:rFonts w:ascii="Arial" w:hAnsi="Arial" w:cs="Arial"/>
          <w:b/>
          <w:sz w:val="22"/>
          <w:szCs w:val="22"/>
        </w:rPr>
      </w:pPr>
    </w:p>
    <w:p w14:paraId="56970ECA" w14:textId="77777777" w:rsidR="00830EA0" w:rsidRPr="003501A6" w:rsidRDefault="00830EA0" w:rsidP="00BF1CEB">
      <w:pPr>
        <w:jc w:val="both"/>
        <w:rPr>
          <w:rFonts w:ascii="Arial" w:hAnsi="Arial" w:cs="Arial"/>
          <w:b/>
          <w:sz w:val="22"/>
          <w:szCs w:val="22"/>
        </w:rPr>
      </w:pPr>
    </w:p>
    <w:p w14:paraId="1DEFB8B5" w14:textId="52B393DC" w:rsidR="00001310" w:rsidRPr="003501A6" w:rsidRDefault="00001310" w:rsidP="00A4137A">
      <w:pPr>
        <w:pStyle w:val="ListParagraph"/>
        <w:numPr>
          <w:ilvl w:val="0"/>
          <w:numId w:val="9"/>
        </w:numPr>
        <w:jc w:val="both"/>
        <w:rPr>
          <w:rFonts w:ascii="Arial" w:hAnsi="Arial" w:cs="Arial"/>
          <w:b/>
          <w:sz w:val="22"/>
          <w:szCs w:val="22"/>
        </w:rPr>
      </w:pPr>
      <w:r w:rsidRPr="003501A6">
        <w:rPr>
          <w:rFonts w:ascii="Arial" w:hAnsi="Arial" w:cs="Arial"/>
          <w:b/>
          <w:sz w:val="22"/>
          <w:szCs w:val="22"/>
        </w:rPr>
        <w:t>Administrative Overhead Rate</w:t>
      </w:r>
    </w:p>
    <w:p w14:paraId="49C68AB3" w14:textId="5950A8F1" w:rsidR="00E721E1" w:rsidRPr="003501A6" w:rsidRDefault="003070F4" w:rsidP="00BF1CEB">
      <w:pPr>
        <w:pStyle w:val="ListParagraph"/>
        <w:jc w:val="both"/>
        <w:rPr>
          <w:rFonts w:ascii="Arial" w:hAnsi="Arial" w:cs="Arial"/>
          <w:sz w:val="22"/>
          <w:szCs w:val="22"/>
        </w:rPr>
      </w:pPr>
      <w:r w:rsidRPr="003501A6">
        <w:rPr>
          <w:rFonts w:ascii="Arial" w:hAnsi="Arial" w:cs="Arial"/>
          <w:sz w:val="22"/>
          <w:szCs w:val="22"/>
        </w:rPr>
        <w:lastRenderedPageBreak/>
        <w:t>For FY2</w:t>
      </w:r>
      <w:r w:rsidR="00C45DDB" w:rsidRPr="003501A6">
        <w:rPr>
          <w:rFonts w:ascii="Arial" w:hAnsi="Arial" w:cs="Arial"/>
          <w:sz w:val="22"/>
          <w:szCs w:val="22"/>
        </w:rPr>
        <w:t>5</w:t>
      </w:r>
      <w:r w:rsidR="00001310" w:rsidRPr="003501A6">
        <w:rPr>
          <w:rFonts w:ascii="Arial" w:hAnsi="Arial" w:cs="Arial"/>
          <w:sz w:val="22"/>
          <w:szCs w:val="22"/>
        </w:rPr>
        <w:t xml:space="preserve"> the Administrativ</w:t>
      </w:r>
      <w:r w:rsidR="004453D0" w:rsidRPr="003501A6">
        <w:rPr>
          <w:rFonts w:ascii="Arial" w:hAnsi="Arial" w:cs="Arial"/>
          <w:sz w:val="22"/>
          <w:szCs w:val="22"/>
        </w:rPr>
        <w:t xml:space="preserve">e Overhead </w:t>
      </w:r>
      <w:r w:rsidR="00BF79F8" w:rsidRPr="003501A6">
        <w:rPr>
          <w:rFonts w:ascii="Arial" w:hAnsi="Arial" w:cs="Arial"/>
          <w:sz w:val="22"/>
          <w:szCs w:val="22"/>
        </w:rPr>
        <w:t>is expected to</w:t>
      </w:r>
      <w:r w:rsidR="004453D0" w:rsidRPr="003501A6">
        <w:rPr>
          <w:rFonts w:ascii="Arial" w:hAnsi="Arial" w:cs="Arial"/>
          <w:sz w:val="22"/>
          <w:szCs w:val="22"/>
        </w:rPr>
        <w:t xml:space="preserve"> </w:t>
      </w:r>
      <w:r w:rsidR="00254B8B" w:rsidRPr="003501A6">
        <w:rPr>
          <w:rFonts w:ascii="Arial" w:hAnsi="Arial" w:cs="Arial"/>
          <w:sz w:val="22"/>
          <w:szCs w:val="22"/>
        </w:rPr>
        <w:t>increase to 1</w:t>
      </w:r>
      <w:r w:rsidR="009A2421" w:rsidRPr="003501A6">
        <w:rPr>
          <w:rFonts w:ascii="Arial" w:hAnsi="Arial" w:cs="Arial"/>
          <w:sz w:val="22"/>
          <w:szCs w:val="22"/>
        </w:rPr>
        <w:t>7</w:t>
      </w:r>
      <w:r w:rsidR="00C45DDB" w:rsidRPr="003501A6">
        <w:rPr>
          <w:rFonts w:ascii="Arial" w:hAnsi="Arial" w:cs="Arial"/>
          <w:sz w:val="22"/>
          <w:szCs w:val="22"/>
        </w:rPr>
        <w:t>.5</w:t>
      </w:r>
      <w:r w:rsidR="00254B8B" w:rsidRPr="003501A6">
        <w:rPr>
          <w:rFonts w:ascii="Arial" w:hAnsi="Arial" w:cs="Arial"/>
          <w:sz w:val="22"/>
          <w:szCs w:val="22"/>
        </w:rPr>
        <w:t>%</w:t>
      </w:r>
      <w:r w:rsidR="004453D0" w:rsidRPr="003501A6">
        <w:rPr>
          <w:rFonts w:ascii="Arial" w:hAnsi="Arial" w:cs="Arial"/>
          <w:sz w:val="22"/>
          <w:szCs w:val="22"/>
        </w:rPr>
        <w:t xml:space="preserve"> </w:t>
      </w:r>
      <w:r w:rsidRPr="003501A6">
        <w:rPr>
          <w:rFonts w:ascii="Arial" w:hAnsi="Arial" w:cs="Arial"/>
          <w:sz w:val="22"/>
          <w:szCs w:val="22"/>
        </w:rPr>
        <w:t>to support</w:t>
      </w:r>
      <w:r w:rsidR="004453D0" w:rsidRPr="003501A6">
        <w:rPr>
          <w:rFonts w:ascii="Arial" w:hAnsi="Arial" w:cs="Arial"/>
          <w:sz w:val="22"/>
          <w:szCs w:val="22"/>
        </w:rPr>
        <w:t xml:space="preserve"> the growing costs of Common Systems on campus and from </w:t>
      </w:r>
      <w:r w:rsidR="00C45DDB" w:rsidRPr="003501A6">
        <w:rPr>
          <w:rFonts w:ascii="Arial" w:hAnsi="Arial" w:cs="Arial"/>
          <w:sz w:val="22"/>
          <w:szCs w:val="22"/>
        </w:rPr>
        <w:t>the Universities of Wisconsin</w:t>
      </w:r>
      <w:r w:rsidR="00001310" w:rsidRPr="003501A6">
        <w:rPr>
          <w:rFonts w:ascii="Arial" w:hAnsi="Arial" w:cs="Arial"/>
          <w:sz w:val="22"/>
          <w:szCs w:val="22"/>
        </w:rPr>
        <w:t>. The Administrative Overhead is applied on accounts that generate program revenue</w:t>
      </w:r>
      <w:r w:rsidR="00517685" w:rsidRPr="003501A6">
        <w:rPr>
          <w:rFonts w:ascii="Arial" w:hAnsi="Arial" w:cs="Arial"/>
          <w:sz w:val="22"/>
          <w:szCs w:val="22"/>
        </w:rPr>
        <w:t xml:space="preserve"> and </w:t>
      </w:r>
      <w:r w:rsidRPr="003501A6">
        <w:rPr>
          <w:rFonts w:ascii="Arial" w:hAnsi="Arial" w:cs="Arial"/>
          <w:sz w:val="22"/>
          <w:szCs w:val="22"/>
        </w:rPr>
        <w:t xml:space="preserve">where </w:t>
      </w:r>
      <w:r w:rsidR="00517685" w:rsidRPr="003501A6">
        <w:rPr>
          <w:rFonts w:ascii="Arial" w:hAnsi="Arial" w:cs="Arial"/>
          <w:sz w:val="22"/>
          <w:szCs w:val="22"/>
        </w:rPr>
        <w:t>the unit does not pay the annual Auxiliary Chargeback</w:t>
      </w:r>
      <w:r w:rsidR="00001310" w:rsidRPr="003501A6">
        <w:rPr>
          <w:rFonts w:ascii="Arial" w:hAnsi="Arial" w:cs="Arial"/>
          <w:sz w:val="22"/>
          <w:szCs w:val="22"/>
        </w:rPr>
        <w:t>. The assessme</w:t>
      </w:r>
      <w:r w:rsidR="004453D0" w:rsidRPr="003501A6">
        <w:rPr>
          <w:rFonts w:ascii="Arial" w:hAnsi="Arial" w:cs="Arial"/>
          <w:sz w:val="22"/>
          <w:szCs w:val="22"/>
        </w:rPr>
        <w:t xml:space="preserve">nt </w:t>
      </w:r>
      <w:r w:rsidR="00904E3B" w:rsidRPr="003501A6">
        <w:rPr>
          <w:rFonts w:ascii="Arial" w:hAnsi="Arial" w:cs="Arial"/>
          <w:sz w:val="22"/>
          <w:szCs w:val="22"/>
        </w:rPr>
        <w:t>will be</w:t>
      </w:r>
      <w:r w:rsidRPr="003501A6">
        <w:rPr>
          <w:rFonts w:ascii="Arial" w:hAnsi="Arial" w:cs="Arial"/>
          <w:sz w:val="22"/>
          <w:szCs w:val="22"/>
        </w:rPr>
        <w:t xml:space="preserve"> built in the FY2</w:t>
      </w:r>
      <w:r w:rsidR="00C45DDB" w:rsidRPr="003501A6">
        <w:rPr>
          <w:rFonts w:ascii="Arial" w:hAnsi="Arial" w:cs="Arial"/>
          <w:sz w:val="22"/>
          <w:szCs w:val="22"/>
        </w:rPr>
        <w:t>5</w:t>
      </w:r>
      <w:r w:rsidR="00001310" w:rsidRPr="003501A6">
        <w:rPr>
          <w:rFonts w:ascii="Arial" w:hAnsi="Arial" w:cs="Arial"/>
          <w:sz w:val="22"/>
          <w:szCs w:val="22"/>
        </w:rPr>
        <w:t xml:space="preserve"> budgets for program revenue accounts. </w:t>
      </w:r>
    </w:p>
    <w:p w14:paraId="254A3428" w14:textId="77777777" w:rsidR="002E3217" w:rsidRPr="003501A6" w:rsidRDefault="002E3217" w:rsidP="00001310">
      <w:pPr>
        <w:jc w:val="both"/>
        <w:rPr>
          <w:rFonts w:ascii="Arial" w:hAnsi="Arial" w:cs="Arial"/>
          <w:b/>
          <w:sz w:val="22"/>
          <w:szCs w:val="22"/>
        </w:rPr>
      </w:pPr>
    </w:p>
    <w:p w14:paraId="5A7EDAC0" w14:textId="7C10E1A6" w:rsidR="000B6B99" w:rsidRPr="003501A6" w:rsidRDefault="000B6B99" w:rsidP="00A4137A">
      <w:pPr>
        <w:pStyle w:val="ListParagraph"/>
        <w:numPr>
          <w:ilvl w:val="0"/>
          <w:numId w:val="9"/>
        </w:numPr>
        <w:jc w:val="both"/>
        <w:rPr>
          <w:rFonts w:ascii="Arial" w:hAnsi="Arial" w:cs="Arial"/>
          <w:b/>
          <w:sz w:val="22"/>
          <w:szCs w:val="22"/>
        </w:rPr>
      </w:pPr>
      <w:r w:rsidRPr="003501A6">
        <w:rPr>
          <w:rFonts w:ascii="Arial" w:hAnsi="Arial" w:cs="Arial"/>
          <w:b/>
          <w:sz w:val="22"/>
          <w:szCs w:val="22"/>
        </w:rPr>
        <w:t>Supply &amp; Expense Budgets</w:t>
      </w:r>
    </w:p>
    <w:p w14:paraId="655277CE" w14:textId="4572A1ED" w:rsidR="00001310" w:rsidRPr="003501A6" w:rsidRDefault="00094006" w:rsidP="00001310">
      <w:pPr>
        <w:pStyle w:val="ListParagraph"/>
        <w:jc w:val="both"/>
        <w:rPr>
          <w:rFonts w:ascii="Arial" w:hAnsi="Arial" w:cs="Arial"/>
          <w:sz w:val="22"/>
          <w:szCs w:val="22"/>
        </w:rPr>
      </w:pPr>
      <w:r w:rsidRPr="003501A6">
        <w:rPr>
          <w:rFonts w:ascii="Arial" w:hAnsi="Arial" w:cs="Arial"/>
          <w:sz w:val="22"/>
          <w:szCs w:val="22"/>
        </w:rPr>
        <w:t xml:space="preserve">Supply and expense budgets should be budgeted by the </w:t>
      </w:r>
      <w:r w:rsidR="004453D0" w:rsidRPr="003501A6">
        <w:rPr>
          <w:rFonts w:ascii="Arial" w:hAnsi="Arial" w:cs="Arial"/>
          <w:sz w:val="22"/>
          <w:szCs w:val="22"/>
        </w:rPr>
        <w:t>budget category</w:t>
      </w:r>
      <w:r w:rsidRPr="003501A6">
        <w:rPr>
          <w:rFonts w:ascii="Arial" w:hAnsi="Arial" w:cs="Arial"/>
          <w:sz w:val="22"/>
          <w:szCs w:val="22"/>
        </w:rPr>
        <w:t xml:space="preserve"> and explanations provided for any adjustments from the previous year. </w:t>
      </w:r>
      <w:r w:rsidR="00F733EB" w:rsidRPr="003501A6">
        <w:rPr>
          <w:rFonts w:ascii="Arial" w:hAnsi="Arial" w:cs="Arial"/>
          <w:sz w:val="22"/>
          <w:szCs w:val="22"/>
        </w:rPr>
        <w:t>S&amp;E</w:t>
      </w:r>
      <w:r w:rsidR="004453D0" w:rsidRPr="003501A6">
        <w:rPr>
          <w:rFonts w:ascii="Arial" w:hAnsi="Arial" w:cs="Arial"/>
          <w:sz w:val="22"/>
          <w:szCs w:val="22"/>
        </w:rPr>
        <w:t xml:space="preserve"> budgets are </w:t>
      </w:r>
      <w:r w:rsidR="00F733EB" w:rsidRPr="003501A6">
        <w:rPr>
          <w:rFonts w:ascii="Arial" w:hAnsi="Arial" w:cs="Arial"/>
          <w:sz w:val="22"/>
          <w:szCs w:val="22"/>
        </w:rPr>
        <w:t>due to the Budget Of</w:t>
      </w:r>
      <w:r w:rsidR="003070F4" w:rsidRPr="003501A6">
        <w:rPr>
          <w:rFonts w:ascii="Arial" w:hAnsi="Arial" w:cs="Arial"/>
          <w:sz w:val="22"/>
          <w:szCs w:val="22"/>
        </w:rPr>
        <w:t>fice upon completion of the FY2</w:t>
      </w:r>
      <w:r w:rsidR="00C45DDB" w:rsidRPr="003501A6">
        <w:rPr>
          <w:rFonts w:ascii="Arial" w:hAnsi="Arial" w:cs="Arial"/>
          <w:sz w:val="22"/>
          <w:szCs w:val="22"/>
        </w:rPr>
        <w:t>5</w:t>
      </w:r>
      <w:r w:rsidR="00001310" w:rsidRPr="003501A6">
        <w:rPr>
          <w:rFonts w:ascii="Arial" w:hAnsi="Arial" w:cs="Arial"/>
          <w:sz w:val="22"/>
          <w:szCs w:val="22"/>
        </w:rPr>
        <w:t xml:space="preserve"> budget.</w:t>
      </w:r>
    </w:p>
    <w:p w14:paraId="34C5B9E6" w14:textId="77777777" w:rsidR="00001310" w:rsidRPr="003501A6" w:rsidRDefault="00001310" w:rsidP="003517CE">
      <w:pPr>
        <w:rPr>
          <w:rFonts w:ascii="Arial" w:hAnsi="Arial" w:cs="Arial"/>
          <w:b/>
          <w:sz w:val="22"/>
          <w:szCs w:val="22"/>
        </w:rPr>
      </w:pPr>
    </w:p>
    <w:p w14:paraId="65FD4695" w14:textId="77777777" w:rsidR="00BD2EB5" w:rsidRPr="003501A6" w:rsidRDefault="00BD2EB5" w:rsidP="00BD2EB5">
      <w:pPr>
        <w:pStyle w:val="paragraph"/>
        <w:numPr>
          <w:ilvl w:val="0"/>
          <w:numId w:val="9"/>
        </w:numPr>
        <w:spacing w:before="0" w:beforeAutospacing="0" w:after="0" w:afterAutospacing="0"/>
        <w:textAlignment w:val="baseline"/>
        <w:rPr>
          <w:rFonts w:ascii="Segoe UI" w:hAnsi="Segoe UI" w:cs="Segoe UI"/>
          <w:b/>
          <w:bCs/>
          <w:sz w:val="22"/>
          <w:szCs w:val="22"/>
        </w:rPr>
      </w:pPr>
      <w:r w:rsidRPr="003501A6">
        <w:rPr>
          <w:rStyle w:val="normaltextrun"/>
          <w:rFonts w:ascii="Arial" w:hAnsi="Arial" w:cs="Arial"/>
          <w:b/>
          <w:bCs/>
          <w:sz w:val="22"/>
          <w:szCs w:val="22"/>
        </w:rPr>
        <w:t>Travel Service and Shop UW+ Assessments </w:t>
      </w:r>
      <w:r w:rsidRPr="003501A6">
        <w:rPr>
          <w:rStyle w:val="eop"/>
          <w:rFonts w:ascii="Arial" w:hAnsi="Arial" w:cs="Arial"/>
          <w:b/>
          <w:bCs/>
          <w:sz w:val="22"/>
          <w:szCs w:val="22"/>
        </w:rPr>
        <w:t> </w:t>
      </w:r>
    </w:p>
    <w:p w14:paraId="505F638B" w14:textId="78A5BFF3" w:rsidR="00C45DDB" w:rsidRPr="003501A6" w:rsidRDefault="00C45DDB" w:rsidP="00C45DDB">
      <w:pPr>
        <w:pStyle w:val="ListParagraph"/>
        <w:rPr>
          <w:rFonts w:ascii="Arial" w:hAnsi="Arial" w:cs="Arial"/>
          <w:sz w:val="22"/>
          <w:szCs w:val="22"/>
        </w:rPr>
      </w:pPr>
      <w:r w:rsidRPr="003501A6">
        <w:rPr>
          <w:rFonts w:ascii="Arial" w:hAnsi="Arial" w:cs="Arial"/>
          <w:sz w:val="22"/>
          <w:szCs w:val="22"/>
        </w:rPr>
        <w:t xml:space="preserve">In FY22, UW updated the travel service model so that fees are charged at point of sale to the end user and are based on type of service requested – agent vs. on-line, etc. This model eliminated the need for a travel assessment for units besides Athletics. Athletics continues to use Shorts Travel using a cost distribution model. That estimated FY25 assessment ($9,660) will be built into the Athletics budget. The ShopUW+ assessment will be distributed to all departments based on prior year purchase order spend.  </w:t>
      </w:r>
    </w:p>
    <w:p w14:paraId="1A1A7D3C" w14:textId="77777777" w:rsidR="00BD2EB5" w:rsidRPr="003501A6" w:rsidRDefault="00BD2EB5" w:rsidP="00BD2EB5">
      <w:pPr>
        <w:pStyle w:val="ListParagraph"/>
        <w:rPr>
          <w:rFonts w:ascii="Arial" w:hAnsi="Arial" w:cs="Arial"/>
          <w:b/>
          <w:sz w:val="22"/>
          <w:szCs w:val="22"/>
        </w:rPr>
      </w:pPr>
    </w:p>
    <w:p w14:paraId="7263B057" w14:textId="06B648FB" w:rsidR="00E41F2B" w:rsidRPr="003501A6" w:rsidRDefault="00E41F2B" w:rsidP="00A4137A">
      <w:pPr>
        <w:pStyle w:val="ListParagraph"/>
        <w:numPr>
          <w:ilvl w:val="0"/>
          <w:numId w:val="9"/>
        </w:numPr>
        <w:rPr>
          <w:rFonts w:ascii="Arial" w:hAnsi="Arial" w:cs="Arial"/>
          <w:b/>
          <w:sz w:val="22"/>
          <w:szCs w:val="22"/>
        </w:rPr>
      </w:pPr>
      <w:r w:rsidRPr="003501A6">
        <w:rPr>
          <w:rFonts w:ascii="Arial" w:hAnsi="Arial" w:cs="Arial"/>
          <w:b/>
          <w:sz w:val="22"/>
          <w:szCs w:val="22"/>
        </w:rPr>
        <w:t>Fund 233 Accounts</w:t>
      </w:r>
    </w:p>
    <w:p w14:paraId="4959785E" w14:textId="5BA59406" w:rsidR="00E41F2B" w:rsidRPr="003501A6" w:rsidRDefault="003070F4" w:rsidP="00E41F2B">
      <w:pPr>
        <w:pStyle w:val="ListParagraph"/>
        <w:numPr>
          <w:ilvl w:val="1"/>
          <w:numId w:val="9"/>
        </w:numPr>
        <w:rPr>
          <w:rFonts w:ascii="Arial" w:hAnsi="Arial" w:cs="Arial"/>
          <w:b/>
          <w:sz w:val="22"/>
          <w:szCs w:val="22"/>
        </w:rPr>
      </w:pPr>
      <w:r w:rsidRPr="003501A6">
        <w:rPr>
          <w:rFonts w:ascii="Arial" w:hAnsi="Arial" w:cs="Arial"/>
          <w:sz w:val="22"/>
          <w:szCs w:val="22"/>
        </w:rPr>
        <w:t>For FY2</w:t>
      </w:r>
      <w:r w:rsidR="0056081A" w:rsidRPr="003501A6">
        <w:rPr>
          <w:rFonts w:ascii="Arial" w:hAnsi="Arial" w:cs="Arial"/>
          <w:sz w:val="22"/>
          <w:szCs w:val="22"/>
        </w:rPr>
        <w:t>5</w:t>
      </w:r>
      <w:r w:rsidR="00655A0F" w:rsidRPr="003501A6">
        <w:rPr>
          <w:rFonts w:ascii="Arial" w:hAnsi="Arial" w:cs="Arial"/>
          <w:sz w:val="22"/>
          <w:szCs w:val="22"/>
        </w:rPr>
        <w:t>,</w:t>
      </w:r>
      <w:r w:rsidR="00E41F2B" w:rsidRPr="003501A6">
        <w:rPr>
          <w:rFonts w:ascii="Arial" w:hAnsi="Arial" w:cs="Arial"/>
          <w:sz w:val="22"/>
          <w:szCs w:val="22"/>
        </w:rPr>
        <w:t xml:space="preserve"> any ongoing expenditures that are funded through </w:t>
      </w:r>
      <w:r w:rsidR="00E721E1" w:rsidRPr="003501A6">
        <w:rPr>
          <w:rFonts w:ascii="Arial" w:hAnsi="Arial" w:cs="Arial"/>
          <w:sz w:val="22"/>
          <w:szCs w:val="22"/>
        </w:rPr>
        <w:t>Fund</w:t>
      </w:r>
      <w:r w:rsidR="00E41F2B" w:rsidRPr="003501A6">
        <w:rPr>
          <w:rFonts w:ascii="Arial" w:hAnsi="Arial" w:cs="Arial"/>
          <w:sz w:val="22"/>
          <w:szCs w:val="22"/>
        </w:rPr>
        <w:t xml:space="preserve"> 233 </w:t>
      </w:r>
      <w:r w:rsidR="00E721E1" w:rsidRPr="003501A6">
        <w:rPr>
          <w:rFonts w:ascii="Arial" w:hAnsi="Arial" w:cs="Arial"/>
          <w:sz w:val="22"/>
          <w:szCs w:val="22"/>
        </w:rPr>
        <w:t>resources</w:t>
      </w:r>
      <w:r w:rsidR="00E41F2B" w:rsidRPr="003501A6">
        <w:rPr>
          <w:rFonts w:ascii="Arial" w:hAnsi="Arial" w:cs="Arial"/>
          <w:sz w:val="22"/>
          <w:szCs w:val="22"/>
        </w:rPr>
        <w:t xml:space="preserve"> should be noted with</w:t>
      </w:r>
      <w:r w:rsidR="00E721E1" w:rsidRPr="003501A6">
        <w:rPr>
          <w:rFonts w:ascii="Arial" w:hAnsi="Arial" w:cs="Arial"/>
          <w:sz w:val="22"/>
          <w:szCs w:val="22"/>
        </w:rPr>
        <w:t xml:space="preserve">in the department budget. </w:t>
      </w:r>
    </w:p>
    <w:p w14:paraId="09777219" w14:textId="7304F93A" w:rsidR="00E41F2B" w:rsidRPr="003501A6" w:rsidRDefault="00E41F2B" w:rsidP="00E41F2B">
      <w:pPr>
        <w:pStyle w:val="ListParagraph"/>
        <w:numPr>
          <w:ilvl w:val="1"/>
          <w:numId w:val="9"/>
        </w:numPr>
        <w:rPr>
          <w:rFonts w:ascii="Arial" w:hAnsi="Arial" w:cs="Arial"/>
          <w:b/>
          <w:sz w:val="22"/>
          <w:szCs w:val="22"/>
        </w:rPr>
      </w:pPr>
      <w:r w:rsidRPr="003501A6">
        <w:rPr>
          <w:rFonts w:ascii="Arial" w:hAnsi="Arial" w:cs="Arial"/>
          <w:sz w:val="22"/>
          <w:szCs w:val="22"/>
        </w:rPr>
        <w:t xml:space="preserve">For more information on the Policies and Procedures for 233 (Gift) accounts please see the </w:t>
      </w:r>
      <w:hyperlink r:id="rId16" w:history="1">
        <w:r w:rsidRPr="003501A6">
          <w:rPr>
            <w:rStyle w:val="Hyperlink"/>
            <w:rFonts w:ascii="Arial" w:hAnsi="Arial" w:cs="Arial"/>
            <w:sz w:val="22"/>
            <w:szCs w:val="22"/>
          </w:rPr>
          <w:t>Business Services Gift Funds website</w:t>
        </w:r>
      </w:hyperlink>
      <w:r w:rsidRPr="003501A6">
        <w:rPr>
          <w:rFonts w:ascii="Arial" w:hAnsi="Arial" w:cs="Arial"/>
          <w:sz w:val="22"/>
          <w:szCs w:val="22"/>
        </w:rPr>
        <w:t xml:space="preserve">. </w:t>
      </w:r>
    </w:p>
    <w:p w14:paraId="5EE191E5" w14:textId="77777777" w:rsidR="00E41F2B" w:rsidRPr="003501A6" w:rsidRDefault="00E41F2B" w:rsidP="00E41F2B">
      <w:pPr>
        <w:pStyle w:val="ListParagraph"/>
        <w:ind w:left="1440"/>
        <w:rPr>
          <w:rFonts w:ascii="Arial" w:hAnsi="Arial" w:cs="Arial"/>
          <w:b/>
          <w:sz w:val="22"/>
          <w:szCs w:val="22"/>
        </w:rPr>
      </w:pPr>
    </w:p>
    <w:p w14:paraId="512030AA" w14:textId="618D5CA4" w:rsidR="00F733EB" w:rsidRPr="003501A6" w:rsidRDefault="00F733EB" w:rsidP="00A4137A">
      <w:pPr>
        <w:pStyle w:val="ListParagraph"/>
        <w:numPr>
          <w:ilvl w:val="0"/>
          <w:numId w:val="9"/>
        </w:numPr>
        <w:rPr>
          <w:rFonts w:ascii="Arial" w:hAnsi="Arial" w:cs="Arial"/>
          <w:b/>
          <w:sz w:val="22"/>
          <w:szCs w:val="22"/>
        </w:rPr>
      </w:pPr>
      <w:r w:rsidRPr="003501A6">
        <w:rPr>
          <w:rFonts w:ascii="Arial" w:hAnsi="Arial" w:cs="Arial"/>
          <w:b/>
          <w:sz w:val="22"/>
          <w:szCs w:val="22"/>
        </w:rPr>
        <w:t>PR Balances and Spend Plans</w:t>
      </w:r>
    </w:p>
    <w:p w14:paraId="212D043F" w14:textId="242E1D70" w:rsidR="005404B4" w:rsidRPr="003501A6" w:rsidRDefault="0030338A" w:rsidP="005404B4">
      <w:pPr>
        <w:pStyle w:val="Default"/>
        <w:ind w:left="720"/>
        <w:jc w:val="both"/>
        <w:rPr>
          <w:rFonts w:ascii="Arial" w:hAnsi="Arial" w:cs="Arial"/>
          <w:sz w:val="22"/>
          <w:szCs w:val="22"/>
        </w:rPr>
      </w:pPr>
      <w:r w:rsidRPr="003501A6">
        <w:rPr>
          <w:rFonts w:ascii="Arial" w:hAnsi="Arial" w:cs="Arial"/>
          <w:sz w:val="22"/>
          <w:szCs w:val="22"/>
        </w:rPr>
        <w:t xml:space="preserve">Board of Regents Policy 21-6 requires institutions to report annually on program revenue balances at fiscal year-end for each fund category by level of commitment. The Budget Office will provide departments with fiscal year-end reports for all account balances in the program revenue fund categories above the university’s 10% policy threshold. A </w:t>
      </w:r>
      <w:r w:rsidR="00BF1CEB" w:rsidRPr="003501A6">
        <w:rPr>
          <w:rFonts w:ascii="Arial" w:hAnsi="Arial" w:cs="Arial"/>
          <w:sz w:val="22"/>
          <w:szCs w:val="22"/>
        </w:rPr>
        <w:t>three</w:t>
      </w:r>
      <w:r w:rsidRPr="003501A6">
        <w:rPr>
          <w:rFonts w:ascii="Arial" w:hAnsi="Arial" w:cs="Arial"/>
          <w:sz w:val="22"/>
          <w:szCs w:val="22"/>
        </w:rPr>
        <w:t>-year expenditure plan and related justification is required to be submitted by July 15</w:t>
      </w:r>
      <w:r w:rsidRPr="003501A6">
        <w:rPr>
          <w:rFonts w:ascii="Arial" w:hAnsi="Arial" w:cs="Arial"/>
          <w:sz w:val="22"/>
          <w:szCs w:val="22"/>
          <w:vertAlign w:val="superscript"/>
        </w:rPr>
        <w:t>th</w:t>
      </w:r>
      <w:r w:rsidRPr="003501A6">
        <w:rPr>
          <w:rFonts w:ascii="Arial" w:hAnsi="Arial" w:cs="Arial"/>
          <w:sz w:val="22"/>
          <w:szCs w:val="22"/>
        </w:rPr>
        <w:t xml:space="preserve"> of each fiscal year for account balances exceeding the threshold for the purpose of reducing the balance below the 10% threshold and ensuring compliance with the policy. Accounts with pr</w:t>
      </w:r>
      <w:r w:rsidR="003070F4" w:rsidRPr="003501A6">
        <w:rPr>
          <w:rFonts w:ascii="Arial" w:hAnsi="Arial" w:cs="Arial"/>
          <w:sz w:val="22"/>
          <w:szCs w:val="22"/>
        </w:rPr>
        <w:t>ogram revenue balances below $25</w:t>
      </w:r>
      <w:r w:rsidRPr="003501A6">
        <w:rPr>
          <w:rFonts w:ascii="Arial" w:hAnsi="Arial" w:cs="Arial"/>
          <w:sz w:val="22"/>
          <w:szCs w:val="22"/>
        </w:rPr>
        <w:t xml:space="preserve">,000 that exceed the policy threshold are not required to submit an expenditure plan. The Budget Office will review the status of cash balances quarterly and as part of the annual budget process to ensure Program Revenue balances are being expended according to submitted plans. </w:t>
      </w:r>
    </w:p>
    <w:p w14:paraId="182C2815" w14:textId="0BDCECA6" w:rsidR="009D1FFB" w:rsidRPr="003501A6" w:rsidRDefault="009D1FFB" w:rsidP="009D1FFB">
      <w:pPr>
        <w:pStyle w:val="Default"/>
        <w:numPr>
          <w:ilvl w:val="1"/>
          <w:numId w:val="9"/>
        </w:numPr>
        <w:jc w:val="both"/>
        <w:rPr>
          <w:rFonts w:ascii="Arial" w:hAnsi="Arial" w:cs="Arial"/>
          <w:sz w:val="22"/>
          <w:szCs w:val="22"/>
        </w:rPr>
      </w:pPr>
      <w:r w:rsidRPr="003501A6">
        <w:rPr>
          <w:rFonts w:ascii="Arial" w:hAnsi="Arial" w:cs="Arial"/>
          <w:sz w:val="22"/>
          <w:szCs w:val="22"/>
        </w:rPr>
        <w:t>Units with reoccurring/annual revenue in PR accounts should plan to budget that revenue level and planned expenditure levels in those accounts to help in more accurate financial planning and tracking. (examples: GEL Revenue Sharing, MBA Consortium)</w:t>
      </w:r>
    </w:p>
    <w:p w14:paraId="0D510D42" w14:textId="77777777" w:rsidR="00DF40C4" w:rsidRPr="003501A6" w:rsidRDefault="00DF40C4" w:rsidP="005404B4">
      <w:pPr>
        <w:pStyle w:val="Default"/>
        <w:ind w:left="720"/>
        <w:jc w:val="both"/>
        <w:rPr>
          <w:rFonts w:ascii="Arial" w:hAnsi="Arial" w:cs="Arial"/>
          <w:sz w:val="22"/>
          <w:szCs w:val="22"/>
        </w:rPr>
      </w:pPr>
    </w:p>
    <w:p w14:paraId="355E86D8" w14:textId="6A86D3E7" w:rsidR="005404B4" w:rsidRPr="003501A6" w:rsidRDefault="005404B4" w:rsidP="00DF40C4">
      <w:pPr>
        <w:pStyle w:val="ListParagraph"/>
        <w:numPr>
          <w:ilvl w:val="0"/>
          <w:numId w:val="9"/>
        </w:numPr>
        <w:autoSpaceDE w:val="0"/>
        <w:autoSpaceDN w:val="0"/>
        <w:jc w:val="both"/>
        <w:rPr>
          <w:rFonts w:ascii="Arial" w:hAnsi="Arial" w:cs="Arial"/>
          <w:iCs/>
          <w:sz w:val="22"/>
          <w:szCs w:val="22"/>
        </w:rPr>
      </w:pPr>
      <w:r w:rsidRPr="003501A6">
        <w:rPr>
          <w:rFonts w:ascii="Arial" w:hAnsi="Arial" w:cs="Arial"/>
          <w:b/>
          <w:bCs/>
          <w:iCs/>
          <w:sz w:val="22"/>
          <w:szCs w:val="22"/>
        </w:rPr>
        <w:t xml:space="preserve">Budgeting to Actual Anticipated Expenditure Levels: </w:t>
      </w:r>
      <w:r w:rsidR="003070F4" w:rsidRPr="003501A6">
        <w:rPr>
          <w:rFonts w:ascii="Arial" w:hAnsi="Arial" w:cs="Arial"/>
          <w:iCs/>
          <w:sz w:val="22"/>
          <w:szCs w:val="22"/>
        </w:rPr>
        <w:t xml:space="preserve">The </w:t>
      </w:r>
      <w:r w:rsidR="00BF1CEB" w:rsidRPr="003501A6">
        <w:rPr>
          <w:rFonts w:ascii="Arial" w:hAnsi="Arial" w:cs="Arial"/>
          <w:iCs/>
          <w:sz w:val="22"/>
          <w:szCs w:val="22"/>
        </w:rPr>
        <w:t>202</w:t>
      </w:r>
      <w:r w:rsidR="00845342" w:rsidRPr="003501A6">
        <w:rPr>
          <w:rFonts w:ascii="Arial" w:hAnsi="Arial" w:cs="Arial"/>
          <w:iCs/>
          <w:sz w:val="22"/>
          <w:szCs w:val="22"/>
        </w:rPr>
        <w:t>4-25</w:t>
      </w:r>
      <w:r w:rsidRPr="003501A6">
        <w:rPr>
          <w:rFonts w:ascii="Arial" w:hAnsi="Arial" w:cs="Arial"/>
          <w:iCs/>
          <w:sz w:val="22"/>
          <w:szCs w:val="22"/>
        </w:rPr>
        <w:t xml:space="preserve"> annual budget should reflect all anticipated expenditures, including those that are one-time and coming from fund balances. </w:t>
      </w:r>
      <w:r w:rsidRPr="003501A6">
        <w:rPr>
          <w:rFonts w:ascii="Arial" w:hAnsi="Arial" w:cs="Arial"/>
          <w:bCs/>
          <w:iCs/>
          <w:sz w:val="22"/>
          <w:szCs w:val="22"/>
        </w:rPr>
        <w:t>Fund 231 (Academic Student Fees – Carryforward Contribution) should be used in</w:t>
      </w:r>
      <w:r w:rsidRPr="003501A6">
        <w:rPr>
          <w:rFonts w:ascii="Arial" w:hAnsi="Arial" w:cs="Arial"/>
          <w:iCs/>
          <w:sz w:val="22"/>
          <w:szCs w:val="22"/>
        </w:rPr>
        <w:t xml:space="preserve"> </w:t>
      </w:r>
      <w:r w:rsidRPr="003501A6">
        <w:rPr>
          <w:rFonts w:ascii="Arial" w:hAnsi="Arial" w:cs="Arial"/>
          <w:bCs/>
          <w:iCs/>
          <w:sz w:val="22"/>
          <w:szCs w:val="22"/>
        </w:rPr>
        <w:t>the budget for anticipated expenditures bey</w:t>
      </w:r>
      <w:r w:rsidR="00FE292E" w:rsidRPr="003501A6">
        <w:rPr>
          <w:rFonts w:ascii="Arial" w:hAnsi="Arial" w:cs="Arial"/>
          <w:bCs/>
          <w:iCs/>
          <w:sz w:val="22"/>
          <w:szCs w:val="22"/>
        </w:rPr>
        <w:t>ond an institution’s allocated F</w:t>
      </w:r>
      <w:r w:rsidRPr="003501A6">
        <w:rPr>
          <w:rFonts w:ascii="Arial" w:hAnsi="Arial" w:cs="Arial"/>
          <w:bCs/>
          <w:iCs/>
          <w:sz w:val="22"/>
          <w:szCs w:val="22"/>
        </w:rPr>
        <w:t>und 131 budget</w:t>
      </w:r>
      <w:r w:rsidRPr="003501A6">
        <w:rPr>
          <w:rFonts w:ascii="Arial" w:hAnsi="Arial" w:cs="Arial"/>
          <w:iCs/>
          <w:sz w:val="22"/>
          <w:szCs w:val="22"/>
        </w:rPr>
        <w:t xml:space="preserve"> </w:t>
      </w:r>
      <w:r w:rsidRPr="003501A6">
        <w:rPr>
          <w:rFonts w:ascii="Arial" w:hAnsi="Arial" w:cs="Arial"/>
          <w:bCs/>
          <w:iCs/>
          <w:sz w:val="22"/>
          <w:szCs w:val="22"/>
        </w:rPr>
        <w:t>authority</w:t>
      </w:r>
      <w:r w:rsidRPr="003501A6">
        <w:rPr>
          <w:rFonts w:ascii="Arial" w:hAnsi="Arial" w:cs="Arial"/>
          <w:iCs/>
          <w:sz w:val="22"/>
          <w:szCs w:val="22"/>
        </w:rPr>
        <w:t>. This will allow the budget to reflect all anticipated expenditures (including nonrecurring one-time expenditures) while also allowing easy identification of one-time expenditures vs. on-going base budgets. All expenditures in the financial system will continue on Fund 131 – there will not be actual expenditures on Fund 231.</w:t>
      </w:r>
    </w:p>
    <w:p w14:paraId="05512693" w14:textId="1FC48B55" w:rsidR="005404B4" w:rsidRPr="003501A6" w:rsidRDefault="005404B4" w:rsidP="00DF40C4">
      <w:pPr>
        <w:pStyle w:val="Default"/>
        <w:numPr>
          <w:ilvl w:val="1"/>
          <w:numId w:val="9"/>
        </w:numPr>
        <w:jc w:val="both"/>
        <w:rPr>
          <w:rFonts w:ascii="Arial" w:hAnsi="Arial" w:cs="Arial"/>
          <w:sz w:val="22"/>
          <w:szCs w:val="22"/>
        </w:rPr>
      </w:pPr>
      <w:r w:rsidRPr="003501A6">
        <w:rPr>
          <w:rFonts w:ascii="Arial" w:hAnsi="Arial" w:cs="Arial"/>
          <w:sz w:val="22"/>
          <w:szCs w:val="22"/>
        </w:rPr>
        <w:t>Funds 128 and 136 should have one-time expenditures budgeted within their operating budgets and corresponding accounts.</w:t>
      </w:r>
    </w:p>
    <w:p w14:paraId="18E84658" w14:textId="74D8B0A1" w:rsidR="007F26ED" w:rsidRPr="003501A6" w:rsidRDefault="005404B4" w:rsidP="008E35F5">
      <w:pPr>
        <w:pStyle w:val="Default"/>
        <w:numPr>
          <w:ilvl w:val="1"/>
          <w:numId w:val="9"/>
        </w:numPr>
        <w:jc w:val="both"/>
        <w:rPr>
          <w:rFonts w:ascii="Arial" w:hAnsi="Arial" w:cs="Arial"/>
          <w:sz w:val="22"/>
          <w:szCs w:val="22"/>
        </w:rPr>
      </w:pPr>
      <w:r w:rsidRPr="003501A6">
        <w:rPr>
          <w:rFonts w:ascii="Arial" w:hAnsi="Arial" w:cs="Arial"/>
          <w:sz w:val="22"/>
          <w:szCs w:val="22"/>
        </w:rPr>
        <w:t xml:space="preserve">Fund 131 should have one-time expenditures budgeted within the corresponding 231 account. </w:t>
      </w:r>
    </w:p>
    <w:sectPr w:rsidR="007F26ED" w:rsidRPr="003501A6" w:rsidSect="000E6316">
      <w:headerReference w:type="default" r:id="rId17"/>
      <w:head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5062A" w14:textId="77777777" w:rsidR="009F0761" w:rsidRDefault="009F0761" w:rsidP="00FE5517">
      <w:r>
        <w:separator/>
      </w:r>
    </w:p>
  </w:endnote>
  <w:endnote w:type="continuationSeparator" w:id="0">
    <w:p w14:paraId="6413958E" w14:textId="77777777" w:rsidR="009F0761" w:rsidRDefault="009F0761" w:rsidP="00FE5517">
      <w:r>
        <w:continuationSeparator/>
      </w:r>
    </w:p>
  </w:endnote>
  <w:endnote w:type="continuationNotice" w:id="1">
    <w:p w14:paraId="3BB8B689" w14:textId="77777777" w:rsidR="009F0761" w:rsidRDefault="009F0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76BA" w14:textId="77777777" w:rsidR="009F0761" w:rsidRDefault="009F0761" w:rsidP="00FE5517">
      <w:r>
        <w:separator/>
      </w:r>
    </w:p>
  </w:footnote>
  <w:footnote w:type="continuationSeparator" w:id="0">
    <w:p w14:paraId="1DAB13D0" w14:textId="77777777" w:rsidR="009F0761" w:rsidRDefault="009F0761" w:rsidP="00FE5517">
      <w:r>
        <w:continuationSeparator/>
      </w:r>
    </w:p>
  </w:footnote>
  <w:footnote w:type="continuationNotice" w:id="1">
    <w:p w14:paraId="4320976A" w14:textId="77777777" w:rsidR="009F0761" w:rsidRDefault="009F0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67F3" w14:textId="0F22916B" w:rsidR="00F925A3" w:rsidRDefault="00F925A3" w:rsidP="000E6316">
    <w:pPr>
      <w:pStyle w:val="Header"/>
      <w:jc w:val="center"/>
    </w:pPr>
  </w:p>
  <w:p w14:paraId="4A0C2961" w14:textId="77777777" w:rsidR="00F925A3" w:rsidRDefault="00F925A3" w:rsidP="000E631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73E0" w14:textId="3929A279" w:rsidR="00F925A3" w:rsidRDefault="0040030B" w:rsidP="000E6316">
    <w:pPr>
      <w:pStyle w:val="Header"/>
      <w:jc w:val="center"/>
    </w:pPr>
    <w:r w:rsidRPr="00EF2FB3">
      <w:rPr>
        <w:noProof/>
      </w:rPr>
      <w:drawing>
        <wp:inline distT="0" distB="0" distL="0" distR="0" wp14:anchorId="0D4ADF8A" wp14:editId="0C6E73F9">
          <wp:extent cx="1714500" cy="46672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p>
  <w:p w14:paraId="3621EA10" w14:textId="77777777" w:rsidR="00F925A3" w:rsidRDefault="00F925A3" w:rsidP="000E63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45AD3"/>
    <w:multiLevelType w:val="hybridMultilevel"/>
    <w:tmpl w:val="1070D5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D9865FD"/>
    <w:multiLevelType w:val="hybridMultilevel"/>
    <w:tmpl w:val="BEF8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11E6B"/>
    <w:multiLevelType w:val="hybridMultilevel"/>
    <w:tmpl w:val="05BC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147CD"/>
    <w:multiLevelType w:val="hybridMultilevel"/>
    <w:tmpl w:val="AE243E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4D960DE"/>
    <w:multiLevelType w:val="hybridMultilevel"/>
    <w:tmpl w:val="4D2294BE"/>
    <w:lvl w:ilvl="0" w:tplc="B0AE95DC">
      <w:start w:val="9"/>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2211F"/>
    <w:multiLevelType w:val="hybridMultilevel"/>
    <w:tmpl w:val="7E68E7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3E022D"/>
    <w:multiLevelType w:val="hybridMultilevel"/>
    <w:tmpl w:val="5EEE4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491584A"/>
    <w:multiLevelType w:val="hybridMultilevel"/>
    <w:tmpl w:val="2F44A07A"/>
    <w:lvl w:ilvl="0" w:tplc="E18EB1A8">
      <w:start w:val="1"/>
      <w:numFmt w:val="decimal"/>
      <w:lvlText w:val="%1."/>
      <w:lvlJc w:val="left"/>
      <w:pPr>
        <w:ind w:left="720" w:hanging="360"/>
      </w:pPr>
      <w:rPr>
        <w:b/>
        <w:color w:val="auto"/>
      </w:rPr>
    </w:lvl>
    <w:lvl w:ilvl="1" w:tplc="3BD25E3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D56D0"/>
    <w:multiLevelType w:val="hybridMultilevel"/>
    <w:tmpl w:val="F0DEF40A"/>
    <w:lvl w:ilvl="0" w:tplc="64383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5C456E"/>
    <w:multiLevelType w:val="hybridMultilevel"/>
    <w:tmpl w:val="6F687D88"/>
    <w:lvl w:ilvl="0" w:tplc="42A2B2FA">
      <w:start w:val="1"/>
      <w:numFmt w:val="decimal"/>
      <w:lvlText w:val="%1."/>
      <w:lvlJc w:val="left"/>
      <w:pPr>
        <w:ind w:left="720" w:hanging="360"/>
      </w:pPr>
      <w:rPr>
        <w:b/>
      </w:rPr>
    </w:lvl>
    <w:lvl w:ilvl="1" w:tplc="3BD25E3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D6F77"/>
    <w:multiLevelType w:val="hybridMultilevel"/>
    <w:tmpl w:val="1316B62A"/>
    <w:lvl w:ilvl="0" w:tplc="3BD25E3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A7F19"/>
    <w:multiLevelType w:val="hybridMultilevel"/>
    <w:tmpl w:val="44A6E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662412">
    <w:abstractNumId w:val="3"/>
  </w:num>
  <w:num w:numId="2" w16cid:durableId="607352566">
    <w:abstractNumId w:val="2"/>
  </w:num>
  <w:num w:numId="3" w16cid:durableId="371349643">
    <w:abstractNumId w:val="1"/>
  </w:num>
  <w:num w:numId="4" w16cid:durableId="646780410">
    <w:abstractNumId w:val="8"/>
  </w:num>
  <w:num w:numId="5" w16cid:durableId="1582448051">
    <w:abstractNumId w:val="5"/>
  </w:num>
  <w:num w:numId="6" w16cid:durableId="1322659512">
    <w:abstractNumId w:val="6"/>
  </w:num>
  <w:num w:numId="7" w16cid:durableId="110515746">
    <w:abstractNumId w:val="7"/>
  </w:num>
  <w:num w:numId="8" w16cid:durableId="454640883">
    <w:abstractNumId w:val="0"/>
  </w:num>
  <w:num w:numId="9" w16cid:durableId="1420177926">
    <w:abstractNumId w:val="4"/>
  </w:num>
  <w:num w:numId="10" w16cid:durableId="1431199635">
    <w:abstractNumId w:val="11"/>
  </w:num>
  <w:num w:numId="11" w16cid:durableId="1747608762">
    <w:abstractNumId w:val="9"/>
  </w:num>
  <w:num w:numId="12" w16cid:durableId="131406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9845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3NTA0MbWwtDQyMTNR0lEKTi0uzszPAykwqwUA6SfDliwAAAA="/>
  </w:docVars>
  <w:rsids>
    <w:rsidRoot w:val="007B7131"/>
    <w:rsid w:val="000006ED"/>
    <w:rsid w:val="00001310"/>
    <w:rsid w:val="00001B8B"/>
    <w:rsid w:val="0001430A"/>
    <w:rsid w:val="0001475D"/>
    <w:rsid w:val="00022DEB"/>
    <w:rsid w:val="000238FC"/>
    <w:rsid w:val="00041F14"/>
    <w:rsid w:val="000430B7"/>
    <w:rsid w:val="00044BFD"/>
    <w:rsid w:val="000450EA"/>
    <w:rsid w:val="000535E8"/>
    <w:rsid w:val="00054972"/>
    <w:rsid w:val="00057D08"/>
    <w:rsid w:val="00064EF1"/>
    <w:rsid w:val="0006530F"/>
    <w:rsid w:val="00065DB3"/>
    <w:rsid w:val="0008003E"/>
    <w:rsid w:val="00085222"/>
    <w:rsid w:val="00094006"/>
    <w:rsid w:val="00094275"/>
    <w:rsid w:val="000957A9"/>
    <w:rsid w:val="000A73F9"/>
    <w:rsid w:val="000B0286"/>
    <w:rsid w:val="000B6B99"/>
    <w:rsid w:val="000B7D65"/>
    <w:rsid w:val="000C040F"/>
    <w:rsid w:val="000C1B09"/>
    <w:rsid w:val="000D031B"/>
    <w:rsid w:val="000D5E24"/>
    <w:rsid w:val="000E6316"/>
    <w:rsid w:val="000F4AA5"/>
    <w:rsid w:val="001036F4"/>
    <w:rsid w:val="00115B40"/>
    <w:rsid w:val="00123635"/>
    <w:rsid w:val="00151140"/>
    <w:rsid w:val="00151278"/>
    <w:rsid w:val="00155874"/>
    <w:rsid w:val="00162FEE"/>
    <w:rsid w:val="00163E35"/>
    <w:rsid w:val="00163FF3"/>
    <w:rsid w:val="0017627E"/>
    <w:rsid w:val="00176FBF"/>
    <w:rsid w:val="001812B9"/>
    <w:rsid w:val="00184703"/>
    <w:rsid w:val="00191302"/>
    <w:rsid w:val="001923C4"/>
    <w:rsid w:val="001A0FD0"/>
    <w:rsid w:val="001A53F3"/>
    <w:rsid w:val="001A611F"/>
    <w:rsid w:val="001C095A"/>
    <w:rsid w:val="001C3398"/>
    <w:rsid w:val="001C3E7B"/>
    <w:rsid w:val="001C579D"/>
    <w:rsid w:val="001C728F"/>
    <w:rsid w:val="001D2038"/>
    <w:rsid w:val="001D2DB0"/>
    <w:rsid w:val="001E20E9"/>
    <w:rsid w:val="001E213A"/>
    <w:rsid w:val="001E50D2"/>
    <w:rsid w:val="001E6B31"/>
    <w:rsid w:val="001F69D1"/>
    <w:rsid w:val="00202F2F"/>
    <w:rsid w:val="00206D59"/>
    <w:rsid w:val="00213946"/>
    <w:rsid w:val="00215175"/>
    <w:rsid w:val="00225021"/>
    <w:rsid w:val="002267B1"/>
    <w:rsid w:val="00227090"/>
    <w:rsid w:val="00234B4C"/>
    <w:rsid w:val="00243A35"/>
    <w:rsid w:val="00254B8B"/>
    <w:rsid w:val="00254E13"/>
    <w:rsid w:val="00257643"/>
    <w:rsid w:val="00260D00"/>
    <w:rsid w:val="00263747"/>
    <w:rsid w:val="002646F3"/>
    <w:rsid w:val="002655B9"/>
    <w:rsid w:val="00270F9D"/>
    <w:rsid w:val="0027634E"/>
    <w:rsid w:val="002765A0"/>
    <w:rsid w:val="0027672B"/>
    <w:rsid w:val="00277E93"/>
    <w:rsid w:val="00281922"/>
    <w:rsid w:val="002831C9"/>
    <w:rsid w:val="00285652"/>
    <w:rsid w:val="002B141A"/>
    <w:rsid w:val="002B6DC5"/>
    <w:rsid w:val="002D0D3A"/>
    <w:rsid w:val="002D2D66"/>
    <w:rsid w:val="002D5A97"/>
    <w:rsid w:val="002D6135"/>
    <w:rsid w:val="002E3217"/>
    <w:rsid w:val="002E32FB"/>
    <w:rsid w:val="002F156D"/>
    <w:rsid w:val="002F3AA1"/>
    <w:rsid w:val="002F76D8"/>
    <w:rsid w:val="0030225E"/>
    <w:rsid w:val="0030338A"/>
    <w:rsid w:val="003070F4"/>
    <w:rsid w:val="00307BD2"/>
    <w:rsid w:val="00311D06"/>
    <w:rsid w:val="003263D7"/>
    <w:rsid w:val="00337865"/>
    <w:rsid w:val="00337F9B"/>
    <w:rsid w:val="003478FE"/>
    <w:rsid w:val="003501A6"/>
    <w:rsid w:val="003517CE"/>
    <w:rsid w:val="003520EA"/>
    <w:rsid w:val="00355DE3"/>
    <w:rsid w:val="00374D4F"/>
    <w:rsid w:val="0037501B"/>
    <w:rsid w:val="00383CB7"/>
    <w:rsid w:val="0039066D"/>
    <w:rsid w:val="003A1E90"/>
    <w:rsid w:val="003A2654"/>
    <w:rsid w:val="003A555C"/>
    <w:rsid w:val="003B565E"/>
    <w:rsid w:val="003B7260"/>
    <w:rsid w:val="003C1286"/>
    <w:rsid w:val="003C523F"/>
    <w:rsid w:val="003D1382"/>
    <w:rsid w:val="003D1F1E"/>
    <w:rsid w:val="003D5E76"/>
    <w:rsid w:val="003D625D"/>
    <w:rsid w:val="003D6AD9"/>
    <w:rsid w:val="003F0839"/>
    <w:rsid w:val="003F0EC0"/>
    <w:rsid w:val="003F47EB"/>
    <w:rsid w:val="003F4E70"/>
    <w:rsid w:val="0040030B"/>
    <w:rsid w:val="00401DC6"/>
    <w:rsid w:val="00402BB5"/>
    <w:rsid w:val="004055CB"/>
    <w:rsid w:val="0040676D"/>
    <w:rsid w:val="004109BF"/>
    <w:rsid w:val="004111F4"/>
    <w:rsid w:val="0041157F"/>
    <w:rsid w:val="00414BEE"/>
    <w:rsid w:val="00416E40"/>
    <w:rsid w:val="0042573A"/>
    <w:rsid w:val="00435167"/>
    <w:rsid w:val="004354D6"/>
    <w:rsid w:val="004453D0"/>
    <w:rsid w:val="0045236C"/>
    <w:rsid w:val="004530C5"/>
    <w:rsid w:val="004542B4"/>
    <w:rsid w:val="00455C44"/>
    <w:rsid w:val="0046710D"/>
    <w:rsid w:val="00472C7C"/>
    <w:rsid w:val="00477E0C"/>
    <w:rsid w:val="00483F4A"/>
    <w:rsid w:val="0049519D"/>
    <w:rsid w:val="00497325"/>
    <w:rsid w:val="004A4BF7"/>
    <w:rsid w:val="004B1E94"/>
    <w:rsid w:val="004B27C4"/>
    <w:rsid w:val="004B48EE"/>
    <w:rsid w:val="004B52FF"/>
    <w:rsid w:val="004B56D1"/>
    <w:rsid w:val="004C1612"/>
    <w:rsid w:val="004C718E"/>
    <w:rsid w:val="004D674F"/>
    <w:rsid w:val="004E1AB4"/>
    <w:rsid w:val="004E1CC3"/>
    <w:rsid w:val="004F097F"/>
    <w:rsid w:val="004F3B21"/>
    <w:rsid w:val="004F562F"/>
    <w:rsid w:val="0050298E"/>
    <w:rsid w:val="00505AD6"/>
    <w:rsid w:val="00512F55"/>
    <w:rsid w:val="005174B5"/>
    <w:rsid w:val="00517685"/>
    <w:rsid w:val="00520296"/>
    <w:rsid w:val="005238FD"/>
    <w:rsid w:val="005248B3"/>
    <w:rsid w:val="00525868"/>
    <w:rsid w:val="005271F3"/>
    <w:rsid w:val="00531998"/>
    <w:rsid w:val="00535C07"/>
    <w:rsid w:val="0053796E"/>
    <w:rsid w:val="00537B8D"/>
    <w:rsid w:val="005404B4"/>
    <w:rsid w:val="00544323"/>
    <w:rsid w:val="005461E9"/>
    <w:rsid w:val="00546845"/>
    <w:rsid w:val="0055590C"/>
    <w:rsid w:val="0056081A"/>
    <w:rsid w:val="00562A01"/>
    <w:rsid w:val="0056618D"/>
    <w:rsid w:val="00570385"/>
    <w:rsid w:val="005749F2"/>
    <w:rsid w:val="00574DF0"/>
    <w:rsid w:val="005819FA"/>
    <w:rsid w:val="005859F7"/>
    <w:rsid w:val="005957C4"/>
    <w:rsid w:val="0059734C"/>
    <w:rsid w:val="005A36CC"/>
    <w:rsid w:val="005A3B33"/>
    <w:rsid w:val="005B40B1"/>
    <w:rsid w:val="005B483E"/>
    <w:rsid w:val="005C0B56"/>
    <w:rsid w:val="005C138B"/>
    <w:rsid w:val="005C1391"/>
    <w:rsid w:val="005D3029"/>
    <w:rsid w:val="005E554A"/>
    <w:rsid w:val="005E7E4B"/>
    <w:rsid w:val="005F0AB8"/>
    <w:rsid w:val="005F0DC5"/>
    <w:rsid w:val="005F1638"/>
    <w:rsid w:val="0060276B"/>
    <w:rsid w:val="00603A25"/>
    <w:rsid w:val="006147A7"/>
    <w:rsid w:val="00625348"/>
    <w:rsid w:val="00626149"/>
    <w:rsid w:val="00627CB9"/>
    <w:rsid w:val="00630CAD"/>
    <w:rsid w:val="0063195E"/>
    <w:rsid w:val="0063683E"/>
    <w:rsid w:val="006448A0"/>
    <w:rsid w:val="00646810"/>
    <w:rsid w:val="00651CC5"/>
    <w:rsid w:val="00653579"/>
    <w:rsid w:val="00655A0F"/>
    <w:rsid w:val="00660D7B"/>
    <w:rsid w:val="00663ECB"/>
    <w:rsid w:val="00667788"/>
    <w:rsid w:val="006723B2"/>
    <w:rsid w:val="00677CAB"/>
    <w:rsid w:val="0068697F"/>
    <w:rsid w:val="006A4980"/>
    <w:rsid w:val="006A651E"/>
    <w:rsid w:val="006A71FE"/>
    <w:rsid w:val="006B1A4D"/>
    <w:rsid w:val="006B5C90"/>
    <w:rsid w:val="006C2718"/>
    <w:rsid w:val="006D575C"/>
    <w:rsid w:val="006E0BA8"/>
    <w:rsid w:val="006E5F07"/>
    <w:rsid w:val="006F4125"/>
    <w:rsid w:val="006F4879"/>
    <w:rsid w:val="006F7F84"/>
    <w:rsid w:val="00712055"/>
    <w:rsid w:val="00715FDB"/>
    <w:rsid w:val="007170EA"/>
    <w:rsid w:val="007215E3"/>
    <w:rsid w:val="0073349A"/>
    <w:rsid w:val="007376B2"/>
    <w:rsid w:val="00747384"/>
    <w:rsid w:val="00750827"/>
    <w:rsid w:val="007607AB"/>
    <w:rsid w:val="0076095C"/>
    <w:rsid w:val="007628F3"/>
    <w:rsid w:val="00762D66"/>
    <w:rsid w:val="00764902"/>
    <w:rsid w:val="0077206A"/>
    <w:rsid w:val="00773A61"/>
    <w:rsid w:val="0078186A"/>
    <w:rsid w:val="007856DC"/>
    <w:rsid w:val="00791359"/>
    <w:rsid w:val="00791BD2"/>
    <w:rsid w:val="007964F8"/>
    <w:rsid w:val="007A29CA"/>
    <w:rsid w:val="007B4997"/>
    <w:rsid w:val="007B5354"/>
    <w:rsid w:val="007B7131"/>
    <w:rsid w:val="007C23BF"/>
    <w:rsid w:val="007C2F20"/>
    <w:rsid w:val="007C3B0C"/>
    <w:rsid w:val="007C6041"/>
    <w:rsid w:val="007D733F"/>
    <w:rsid w:val="007D73AB"/>
    <w:rsid w:val="007D7F4C"/>
    <w:rsid w:val="007E137C"/>
    <w:rsid w:val="007F26ED"/>
    <w:rsid w:val="008041F1"/>
    <w:rsid w:val="008160F8"/>
    <w:rsid w:val="00820730"/>
    <w:rsid w:val="00821ED8"/>
    <w:rsid w:val="00830EA0"/>
    <w:rsid w:val="008310E4"/>
    <w:rsid w:val="00834690"/>
    <w:rsid w:val="00843368"/>
    <w:rsid w:val="00845342"/>
    <w:rsid w:val="00862B5E"/>
    <w:rsid w:val="00870D3A"/>
    <w:rsid w:val="00873866"/>
    <w:rsid w:val="00875158"/>
    <w:rsid w:val="00877C7F"/>
    <w:rsid w:val="00880000"/>
    <w:rsid w:val="0088098C"/>
    <w:rsid w:val="008840B3"/>
    <w:rsid w:val="00892797"/>
    <w:rsid w:val="008964DD"/>
    <w:rsid w:val="008A0731"/>
    <w:rsid w:val="008B5C5D"/>
    <w:rsid w:val="008C0742"/>
    <w:rsid w:val="008D0C77"/>
    <w:rsid w:val="008D0F5D"/>
    <w:rsid w:val="008D4242"/>
    <w:rsid w:val="008D65FC"/>
    <w:rsid w:val="008E1DBA"/>
    <w:rsid w:val="008E3287"/>
    <w:rsid w:val="008E35F5"/>
    <w:rsid w:val="008E72F4"/>
    <w:rsid w:val="00904666"/>
    <w:rsid w:val="00904B30"/>
    <w:rsid w:val="00904E3B"/>
    <w:rsid w:val="009060A4"/>
    <w:rsid w:val="00911A76"/>
    <w:rsid w:val="00912988"/>
    <w:rsid w:val="00916884"/>
    <w:rsid w:val="00916C13"/>
    <w:rsid w:val="009272AE"/>
    <w:rsid w:val="0093176E"/>
    <w:rsid w:val="00931CAF"/>
    <w:rsid w:val="00934A9C"/>
    <w:rsid w:val="00937EE4"/>
    <w:rsid w:val="0094686A"/>
    <w:rsid w:val="00947582"/>
    <w:rsid w:val="00952043"/>
    <w:rsid w:val="0095259D"/>
    <w:rsid w:val="009527BC"/>
    <w:rsid w:val="00964F22"/>
    <w:rsid w:val="00970CD7"/>
    <w:rsid w:val="0097110D"/>
    <w:rsid w:val="00975ABE"/>
    <w:rsid w:val="00977051"/>
    <w:rsid w:val="009778C3"/>
    <w:rsid w:val="00980271"/>
    <w:rsid w:val="009804A8"/>
    <w:rsid w:val="00996814"/>
    <w:rsid w:val="009A15CB"/>
    <w:rsid w:val="009A2421"/>
    <w:rsid w:val="009A3EF8"/>
    <w:rsid w:val="009B1BAD"/>
    <w:rsid w:val="009B28AA"/>
    <w:rsid w:val="009C6320"/>
    <w:rsid w:val="009D1FFB"/>
    <w:rsid w:val="009E2930"/>
    <w:rsid w:val="009E63E8"/>
    <w:rsid w:val="009F0761"/>
    <w:rsid w:val="009F17B1"/>
    <w:rsid w:val="009F23BD"/>
    <w:rsid w:val="009F364C"/>
    <w:rsid w:val="009F40C7"/>
    <w:rsid w:val="009F4EEE"/>
    <w:rsid w:val="009F6CC4"/>
    <w:rsid w:val="00A01FF3"/>
    <w:rsid w:val="00A05C2D"/>
    <w:rsid w:val="00A06C00"/>
    <w:rsid w:val="00A10443"/>
    <w:rsid w:val="00A339D0"/>
    <w:rsid w:val="00A35DF5"/>
    <w:rsid w:val="00A4137A"/>
    <w:rsid w:val="00A4664D"/>
    <w:rsid w:val="00A47225"/>
    <w:rsid w:val="00A47DB5"/>
    <w:rsid w:val="00A502A2"/>
    <w:rsid w:val="00A51824"/>
    <w:rsid w:val="00A56F78"/>
    <w:rsid w:val="00A610FF"/>
    <w:rsid w:val="00A7242D"/>
    <w:rsid w:val="00A75E21"/>
    <w:rsid w:val="00A77EC1"/>
    <w:rsid w:val="00A85F27"/>
    <w:rsid w:val="00A96195"/>
    <w:rsid w:val="00A9688C"/>
    <w:rsid w:val="00A97CDC"/>
    <w:rsid w:val="00AC2C31"/>
    <w:rsid w:val="00AD73E8"/>
    <w:rsid w:val="00AD7428"/>
    <w:rsid w:val="00AE17E1"/>
    <w:rsid w:val="00AE4BB5"/>
    <w:rsid w:val="00AE5D3A"/>
    <w:rsid w:val="00AF06FE"/>
    <w:rsid w:val="00AF329F"/>
    <w:rsid w:val="00AF776B"/>
    <w:rsid w:val="00B01634"/>
    <w:rsid w:val="00B045BD"/>
    <w:rsid w:val="00B05C7A"/>
    <w:rsid w:val="00B103EA"/>
    <w:rsid w:val="00B14219"/>
    <w:rsid w:val="00B155F2"/>
    <w:rsid w:val="00B172F1"/>
    <w:rsid w:val="00B2294B"/>
    <w:rsid w:val="00B30A48"/>
    <w:rsid w:val="00B329F9"/>
    <w:rsid w:val="00B3329E"/>
    <w:rsid w:val="00B3697F"/>
    <w:rsid w:val="00B5074E"/>
    <w:rsid w:val="00B5265F"/>
    <w:rsid w:val="00B635EE"/>
    <w:rsid w:val="00B64475"/>
    <w:rsid w:val="00B7054D"/>
    <w:rsid w:val="00B71023"/>
    <w:rsid w:val="00B75013"/>
    <w:rsid w:val="00B75940"/>
    <w:rsid w:val="00B8155F"/>
    <w:rsid w:val="00B81B65"/>
    <w:rsid w:val="00B85D7A"/>
    <w:rsid w:val="00B91657"/>
    <w:rsid w:val="00B91EE3"/>
    <w:rsid w:val="00B95032"/>
    <w:rsid w:val="00BA019B"/>
    <w:rsid w:val="00BB353F"/>
    <w:rsid w:val="00BB5CC1"/>
    <w:rsid w:val="00BC26BD"/>
    <w:rsid w:val="00BC74F9"/>
    <w:rsid w:val="00BD0C9A"/>
    <w:rsid w:val="00BD2EB5"/>
    <w:rsid w:val="00BD7DD3"/>
    <w:rsid w:val="00BE10B9"/>
    <w:rsid w:val="00BE3191"/>
    <w:rsid w:val="00BE3CE8"/>
    <w:rsid w:val="00BF1CEB"/>
    <w:rsid w:val="00BF1DD4"/>
    <w:rsid w:val="00BF3464"/>
    <w:rsid w:val="00BF5A5D"/>
    <w:rsid w:val="00BF7266"/>
    <w:rsid w:val="00BF79F8"/>
    <w:rsid w:val="00C01305"/>
    <w:rsid w:val="00C0486D"/>
    <w:rsid w:val="00C04A0C"/>
    <w:rsid w:val="00C060EE"/>
    <w:rsid w:val="00C071B5"/>
    <w:rsid w:val="00C0727E"/>
    <w:rsid w:val="00C10B9C"/>
    <w:rsid w:val="00C133C3"/>
    <w:rsid w:val="00C15994"/>
    <w:rsid w:val="00C1659F"/>
    <w:rsid w:val="00C217D9"/>
    <w:rsid w:val="00C31F34"/>
    <w:rsid w:val="00C34DCC"/>
    <w:rsid w:val="00C36045"/>
    <w:rsid w:val="00C4351E"/>
    <w:rsid w:val="00C435F6"/>
    <w:rsid w:val="00C45DDB"/>
    <w:rsid w:val="00C64D29"/>
    <w:rsid w:val="00C663FF"/>
    <w:rsid w:val="00C67A89"/>
    <w:rsid w:val="00C7392A"/>
    <w:rsid w:val="00C758CA"/>
    <w:rsid w:val="00C768BF"/>
    <w:rsid w:val="00C7754A"/>
    <w:rsid w:val="00C777F1"/>
    <w:rsid w:val="00C80C4B"/>
    <w:rsid w:val="00C917CE"/>
    <w:rsid w:val="00C91AAC"/>
    <w:rsid w:val="00C926FF"/>
    <w:rsid w:val="00C93D8F"/>
    <w:rsid w:val="00C93DA2"/>
    <w:rsid w:val="00CA0D94"/>
    <w:rsid w:val="00CA2BF0"/>
    <w:rsid w:val="00CA35B0"/>
    <w:rsid w:val="00CA396F"/>
    <w:rsid w:val="00CA704D"/>
    <w:rsid w:val="00CB2388"/>
    <w:rsid w:val="00CB6BBC"/>
    <w:rsid w:val="00CD15F2"/>
    <w:rsid w:val="00CD36BC"/>
    <w:rsid w:val="00CD3B91"/>
    <w:rsid w:val="00CD718A"/>
    <w:rsid w:val="00CF1256"/>
    <w:rsid w:val="00CF3D21"/>
    <w:rsid w:val="00CF7ACE"/>
    <w:rsid w:val="00D04FE7"/>
    <w:rsid w:val="00D0502F"/>
    <w:rsid w:val="00D063E7"/>
    <w:rsid w:val="00D10E96"/>
    <w:rsid w:val="00D13937"/>
    <w:rsid w:val="00D15677"/>
    <w:rsid w:val="00D16D80"/>
    <w:rsid w:val="00D17584"/>
    <w:rsid w:val="00D20027"/>
    <w:rsid w:val="00D20CDE"/>
    <w:rsid w:val="00D23B7A"/>
    <w:rsid w:val="00D324F9"/>
    <w:rsid w:val="00D32FE2"/>
    <w:rsid w:val="00D40124"/>
    <w:rsid w:val="00D40E4C"/>
    <w:rsid w:val="00D51C08"/>
    <w:rsid w:val="00D61E33"/>
    <w:rsid w:val="00D63212"/>
    <w:rsid w:val="00D63BF6"/>
    <w:rsid w:val="00D67921"/>
    <w:rsid w:val="00D723E3"/>
    <w:rsid w:val="00D73BAD"/>
    <w:rsid w:val="00D75F23"/>
    <w:rsid w:val="00D77702"/>
    <w:rsid w:val="00D91A95"/>
    <w:rsid w:val="00D963F9"/>
    <w:rsid w:val="00D97106"/>
    <w:rsid w:val="00D97134"/>
    <w:rsid w:val="00D97705"/>
    <w:rsid w:val="00D97B98"/>
    <w:rsid w:val="00DB0660"/>
    <w:rsid w:val="00DB79BC"/>
    <w:rsid w:val="00DC1D3F"/>
    <w:rsid w:val="00DC3E59"/>
    <w:rsid w:val="00DD2176"/>
    <w:rsid w:val="00DD7955"/>
    <w:rsid w:val="00DE6A12"/>
    <w:rsid w:val="00DF40C4"/>
    <w:rsid w:val="00E041E3"/>
    <w:rsid w:val="00E042B1"/>
    <w:rsid w:val="00E04343"/>
    <w:rsid w:val="00E103EB"/>
    <w:rsid w:val="00E2760A"/>
    <w:rsid w:val="00E314C0"/>
    <w:rsid w:val="00E32B4A"/>
    <w:rsid w:val="00E337C4"/>
    <w:rsid w:val="00E41F2B"/>
    <w:rsid w:val="00E41FE2"/>
    <w:rsid w:val="00E44126"/>
    <w:rsid w:val="00E46AD0"/>
    <w:rsid w:val="00E55175"/>
    <w:rsid w:val="00E57C3F"/>
    <w:rsid w:val="00E60BDC"/>
    <w:rsid w:val="00E721E1"/>
    <w:rsid w:val="00E75C10"/>
    <w:rsid w:val="00E77C8B"/>
    <w:rsid w:val="00E87D59"/>
    <w:rsid w:val="00E91F0B"/>
    <w:rsid w:val="00E93831"/>
    <w:rsid w:val="00E943D6"/>
    <w:rsid w:val="00E97C72"/>
    <w:rsid w:val="00EA34DA"/>
    <w:rsid w:val="00EA6D24"/>
    <w:rsid w:val="00EC1F8E"/>
    <w:rsid w:val="00EC5F3F"/>
    <w:rsid w:val="00ED2950"/>
    <w:rsid w:val="00ED2C39"/>
    <w:rsid w:val="00ED7BC1"/>
    <w:rsid w:val="00EE1F3E"/>
    <w:rsid w:val="00EE20AD"/>
    <w:rsid w:val="00EE6119"/>
    <w:rsid w:val="00F1628F"/>
    <w:rsid w:val="00F20B2D"/>
    <w:rsid w:val="00F223F9"/>
    <w:rsid w:val="00F25E08"/>
    <w:rsid w:val="00F32D38"/>
    <w:rsid w:val="00F3393A"/>
    <w:rsid w:val="00F40B91"/>
    <w:rsid w:val="00F462D8"/>
    <w:rsid w:val="00F46FF1"/>
    <w:rsid w:val="00F6027D"/>
    <w:rsid w:val="00F62F53"/>
    <w:rsid w:val="00F6466A"/>
    <w:rsid w:val="00F6470F"/>
    <w:rsid w:val="00F64903"/>
    <w:rsid w:val="00F66A90"/>
    <w:rsid w:val="00F730E9"/>
    <w:rsid w:val="00F733EB"/>
    <w:rsid w:val="00F77C7A"/>
    <w:rsid w:val="00F8154A"/>
    <w:rsid w:val="00F835D4"/>
    <w:rsid w:val="00F90484"/>
    <w:rsid w:val="00F920C4"/>
    <w:rsid w:val="00F925A3"/>
    <w:rsid w:val="00F97037"/>
    <w:rsid w:val="00F97391"/>
    <w:rsid w:val="00FA1B70"/>
    <w:rsid w:val="00FA3505"/>
    <w:rsid w:val="00FA6900"/>
    <w:rsid w:val="00FB0DBF"/>
    <w:rsid w:val="00FB41AD"/>
    <w:rsid w:val="00FC3864"/>
    <w:rsid w:val="00FC7075"/>
    <w:rsid w:val="00FE292E"/>
    <w:rsid w:val="00FE4486"/>
    <w:rsid w:val="00FE5517"/>
    <w:rsid w:val="00FF06C7"/>
    <w:rsid w:val="00FF2039"/>
    <w:rsid w:val="00FF524E"/>
    <w:rsid w:val="0D03FB4B"/>
    <w:rsid w:val="0FCD766F"/>
    <w:rsid w:val="11EF5D4D"/>
    <w:rsid w:val="2E8BCFC9"/>
    <w:rsid w:val="31EAEC96"/>
    <w:rsid w:val="3A2FD438"/>
    <w:rsid w:val="3AF34FEE"/>
    <w:rsid w:val="3E042203"/>
    <w:rsid w:val="4717D7B0"/>
    <w:rsid w:val="52FACCCE"/>
    <w:rsid w:val="54760D14"/>
    <w:rsid w:val="55863DC6"/>
    <w:rsid w:val="5EF9B32A"/>
    <w:rsid w:val="632ECFB4"/>
    <w:rsid w:val="644410A4"/>
    <w:rsid w:val="64A0377F"/>
    <w:rsid w:val="66DDAAE2"/>
    <w:rsid w:val="6AEE647E"/>
    <w:rsid w:val="6C5A2CA5"/>
    <w:rsid w:val="6F2288DA"/>
    <w:rsid w:val="72F67BC2"/>
    <w:rsid w:val="7458A4FC"/>
    <w:rsid w:val="7F273AEA"/>
    <w:rsid w:val="7F34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923633"/>
  <w15:docId w15:val="{5E98F8DC-1981-4C7E-878E-DCA5E893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131"/>
    <w:pPr>
      <w:ind w:left="720"/>
      <w:contextualSpacing/>
    </w:pPr>
  </w:style>
  <w:style w:type="paragraph" w:styleId="FootnoteText">
    <w:name w:val="footnote text"/>
    <w:basedOn w:val="Normal"/>
    <w:link w:val="FootnoteTextChar"/>
    <w:uiPriority w:val="99"/>
    <w:rsid w:val="00FE5517"/>
    <w:rPr>
      <w:sz w:val="20"/>
      <w:szCs w:val="20"/>
    </w:rPr>
  </w:style>
  <w:style w:type="character" w:customStyle="1" w:styleId="FootnoteTextChar">
    <w:name w:val="Footnote Text Char"/>
    <w:basedOn w:val="DefaultParagraphFont"/>
    <w:link w:val="FootnoteText"/>
    <w:uiPriority w:val="99"/>
    <w:locked/>
    <w:rsid w:val="00FE5517"/>
    <w:rPr>
      <w:rFonts w:cs="Times New Roman"/>
    </w:rPr>
  </w:style>
  <w:style w:type="character" w:styleId="FootnoteReference">
    <w:name w:val="footnote reference"/>
    <w:basedOn w:val="DefaultParagraphFont"/>
    <w:uiPriority w:val="99"/>
    <w:rsid w:val="00FE5517"/>
    <w:rPr>
      <w:rFonts w:cs="Times New Roman"/>
      <w:vertAlign w:val="superscript"/>
    </w:rPr>
  </w:style>
  <w:style w:type="paragraph" w:styleId="BalloonText">
    <w:name w:val="Balloon Text"/>
    <w:basedOn w:val="Normal"/>
    <w:link w:val="BalloonTextChar"/>
    <w:uiPriority w:val="99"/>
    <w:rsid w:val="00626149"/>
    <w:rPr>
      <w:rFonts w:ascii="Tahoma" w:hAnsi="Tahoma" w:cs="Tahoma"/>
      <w:sz w:val="16"/>
      <w:szCs w:val="16"/>
    </w:rPr>
  </w:style>
  <w:style w:type="character" w:customStyle="1" w:styleId="BalloonTextChar">
    <w:name w:val="Balloon Text Char"/>
    <w:basedOn w:val="DefaultParagraphFont"/>
    <w:link w:val="BalloonText"/>
    <w:uiPriority w:val="99"/>
    <w:locked/>
    <w:rsid w:val="00626149"/>
    <w:rPr>
      <w:rFonts w:ascii="Tahoma" w:hAnsi="Tahoma" w:cs="Tahoma"/>
      <w:sz w:val="16"/>
      <w:szCs w:val="16"/>
    </w:rPr>
  </w:style>
  <w:style w:type="table" w:styleId="TableGrid">
    <w:name w:val="Table Grid"/>
    <w:basedOn w:val="TableNormal"/>
    <w:uiPriority w:val="99"/>
    <w:rsid w:val="000653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9C"/>
    <w:pPr>
      <w:autoSpaceDE w:val="0"/>
      <w:autoSpaceDN w:val="0"/>
      <w:adjustRightInd w:val="0"/>
    </w:pPr>
    <w:rPr>
      <w:color w:val="000000"/>
      <w:sz w:val="24"/>
      <w:szCs w:val="24"/>
    </w:rPr>
  </w:style>
  <w:style w:type="paragraph" w:styleId="Header">
    <w:name w:val="header"/>
    <w:basedOn w:val="Normal"/>
    <w:link w:val="HeaderChar"/>
    <w:uiPriority w:val="99"/>
    <w:unhideWhenUsed/>
    <w:rsid w:val="00F925A3"/>
    <w:pPr>
      <w:tabs>
        <w:tab w:val="center" w:pos="4680"/>
        <w:tab w:val="right" w:pos="9360"/>
      </w:tabs>
    </w:pPr>
  </w:style>
  <w:style w:type="character" w:customStyle="1" w:styleId="HeaderChar">
    <w:name w:val="Header Char"/>
    <w:basedOn w:val="DefaultParagraphFont"/>
    <w:link w:val="Header"/>
    <w:uiPriority w:val="99"/>
    <w:rsid w:val="00F925A3"/>
    <w:rPr>
      <w:sz w:val="24"/>
      <w:szCs w:val="24"/>
    </w:rPr>
  </w:style>
  <w:style w:type="paragraph" w:styleId="Footer">
    <w:name w:val="footer"/>
    <w:basedOn w:val="Normal"/>
    <w:link w:val="FooterChar"/>
    <w:uiPriority w:val="99"/>
    <w:unhideWhenUsed/>
    <w:rsid w:val="00F925A3"/>
    <w:pPr>
      <w:tabs>
        <w:tab w:val="center" w:pos="4680"/>
        <w:tab w:val="right" w:pos="9360"/>
      </w:tabs>
    </w:pPr>
  </w:style>
  <w:style w:type="character" w:customStyle="1" w:styleId="FooterChar">
    <w:name w:val="Footer Char"/>
    <w:basedOn w:val="DefaultParagraphFont"/>
    <w:link w:val="Footer"/>
    <w:uiPriority w:val="99"/>
    <w:rsid w:val="00F925A3"/>
    <w:rPr>
      <w:sz w:val="24"/>
      <w:szCs w:val="24"/>
    </w:rPr>
  </w:style>
  <w:style w:type="character" w:styleId="Hyperlink">
    <w:name w:val="Hyperlink"/>
    <w:basedOn w:val="DefaultParagraphFont"/>
    <w:uiPriority w:val="99"/>
    <w:unhideWhenUsed/>
    <w:rsid w:val="00764902"/>
    <w:rPr>
      <w:color w:val="0000FF" w:themeColor="hyperlink"/>
      <w:u w:val="single"/>
    </w:rPr>
  </w:style>
  <w:style w:type="character" w:styleId="CommentReference">
    <w:name w:val="annotation reference"/>
    <w:basedOn w:val="DefaultParagraphFont"/>
    <w:uiPriority w:val="99"/>
    <w:semiHidden/>
    <w:unhideWhenUsed/>
    <w:rsid w:val="00947582"/>
    <w:rPr>
      <w:sz w:val="16"/>
      <w:szCs w:val="16"/>
    </w:rPr>
  </w:style>
  <w:style w:type="paragraph" w:styleId="CommentText">
    <w:name w:val="annotation text"/>
    <w:basedOn w:val="Normal"/>
    <w:link w:val="CommentTextChar"/>
    <w:uiPriority w:val="99"/>
    <w:semiHidden/>
    <w:unhideWhenUsed/>
    <w:rsid w:val="00947582"/>
    <w:rPr>
      <w:sz w:val="20"/>
      <w:szCs w:val="20"/>
    </w:rPr>
  </w:style>
  <w:style w:type="character" w:customStyle="1" w:styleId="CommentTextChar">
    <w:name w:val="Comment Text Char"/>
    <w:basedOn w:val="DefaultParagraphFont"/>
    <w:link w:val="CommentText"/>
    <w:uiPriority w:val="99"/>
    <w:semiHidden/>
    <w:rsid w:val="00947582"/>
    <w:rPr>
      <w:sz w:val="20"/>
      <w:szCs w:val="20"/>
    </w:rPr>
  </w:style>
  <w:style w:type="paragraph" w:styleId="CommentSubject">
    <w:name w:val="annotation subject"/>
    <w:basedOn w:val="CommentText"/>
    <w:next w:val="CommentText"/>
    <w:link w:val="CommentSubjectChar"/>
    <w:uiPriority w:val="99"/>
    <w:semiHidden/>
    <w:unhideWhenUsed/>
    <w:rsid w:val="00947582"/>
    <w:rPr>
      <w:b/>
      <w:bCs/>
    </w:rPr>
  </w:style>
  <w:style w:type="character" w:customStyle="1" w:styleId="CommentSubjectChar">
    <w:name w:val="Comment Subject Char"/>
    <w:basedOn w:val="CommentTextChar"/>
    <w:link w:val="CommentSubject"/>
    <w:uiPriority w:val="99"/>
    <w:semiHidden/>
    <w:rsid w:val="00947582"/>
    <w:rPr>
      <w:b/>
      <w:bCs/>
      <w:sz w:val="20"/>
      <w:szCs w:val="20"/>
    </w:rPr>
  </w:style>
  <w:style w:type="character" w:styleId="FollowedHyperlink">
    <w:name w:val="FollowedHyperlink"/>
    <w:basedOn w:val="DefaultParagraphFont"/>
    <w:uiPriority w:val="99"/>
    <w:semiHidden/>
    <w:unhideWhenUsed/>
    <w:rsid w:val="005248B3"/>
    <w:rPr>
      <w:color w:val="800080" w:themeColor="followedHyperlink"/>
      <w:u w:val="single"/>
    </w:rPr>
  </w:style>
  <w:style w:type="character" w:customStyle="1" w:styleId="normaltextrun">
    <w:name w:val="normaltextrun"/>
    <w:basedOn w:val="DefaultParagraphFont"/>
    <w:rsid w:val="00C0727E"/>
  </w:style>
  <w:style w:type="character" w:customStyle="1" w:styleId="eop">
    <w:name w:val="eop"/>
    <w:basedOn w:val="DefaultParagraphFont"/>
    <w:rsid w:val="00C0727E"/>
  </w:style>
  <w:style w:type="paragraph" w:customStyle="1" w:styleId="paragraph">
    <w:name w:val="paragraph"/>
    <w:basedOn w:val="Normal"/>
    <w:rsid w:val="00355DE3"/>
    <w:pPr>
      <w:spacing w:before="100" w:beforeAutospacing="1" w:after="100" w:afterAutospacing="1"/>
    </w:pPr>
  </w:style>
  <w:style w:type="table" w:styleId="TableGridLight">
    <w:name w:val="Grid Table Light"/>
    <w:basedOn w:val="TableNormal"/>
    <w:uiPriority w:val="40"/>
    <w:rsid w:val="00F66A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F4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55933">
      <w:marLeft w:val="0"/>
      <w:marRight w:val="0"/>
      <w:marTop w:val="0"/>
      <w:marBottom w:val="0"/>
      <w:divBdr>
        <w:top w:val="none" w:sz="0" w:space="0" w:color="auto"/>
        <w:left w:val="none" w:sz="0" w:space="0" w:color="auto"/>
        <w:bottom w:val="none" w:sz="0" w:space="0" w:color="auto"/>
        <w:right w:val="none" w:sz="0" w:space="0" w:color="auto"/>
      </w:divBdr>
    </w:div>
    <w:div w:id="262155934">
      <w:marLeft w:val="0"/>
      <w:marRight w:val="0"/>
      <w:marTop w:val="0"/>
      <w:marBottom w:val="0"/>
      <w:divBdr>
        <w:top w:val="none" w:sz="0" w:space="0" w:color="auto"/>
        <w:left w:val="none" w:sz="0" w:space="0" w:color="auto"/>
        <w:bottom w:val="none" w:sz="0" w:space="0" w:color="auto"/>
        <w:right w:val="none" w:sz="0" w:space="0" w:color="auto"/>
      </w:divBdr>
    </w:div>
    <w:div w:id="262155935">
      <w:marLeft w:val="0"/>
      <w:marRight w:val="0"/>
      <w:marTop w:val="0"/>
      <w:marBottom w:val="0"/>
      <w:divBdr>
        <w:top w:val="none" w:sz="0" w:space="0" w:color="auto"/>
        <w:left w:val="none" w:sz="0" w:space="0" w:color="auto"/>
        <w:bottom w:val="none" w:sz="0" w:space="0" w:color="auto"/>
        <w:right w:val="none" w:sz="0" w:space="0" w:color="auto"/>
      </w:divBdr>
    </w:div>
    <w:div w:id="262155936">
      <w:marLeft w:val="0"/>
      <w:marRight w:val="0"/>
      <w:marTop w:val="0"/>
      <w:marBottom w:val="0"/>
      <w:divBdr>
        <w:top w:val="none" w:sz="0" w:space="0" w:color="auto"/>
        <w:left w:val="none" w:sz="0" w:space="0" w:color="auto"/>
        <w:bottom w:val="none" w:sz="0" w:space="0" w:color="auto"/>
        <w:right w:val="none" w:sz="0" w:space="0" w:color="auto"/>
      </w:divBdr>
    </w:div>
    <w:div w:id="262155937">
      <w:marLeft w:val="0"/>
      <w:marRight w:val="0"/>
      <w:marTop w:val="0"/>
      <w:marBottom w:val="0"/>
      <w:divBdr>
        <w:top w:val="none" w:sz="0" w:space="0" w:color="auto"/>
        <w:left w:val="none" w:sz="0" w:space="0" w:color="auto"/>
        <w:bottom w:val="none" w:sz="0" w:space="0" w:color="auto"/>
        <w:right w:val="none" w:sz="0" w:space="0" w:color="auto"/>
      </w:divBdr>
    </w:div>
    <w:div w:id="262155938">
      <w:marLeft w:val="0"/>
      <w:marRight w:val="0"/>
      <w:marTop w:val="0"/>
      <w:marBottom w:val="0"/>
      <w:divBdr>
        <w:top w:val="none" w:sz="0" w:space="0" w:color="auto"/>
        <w:left w:val="none" w:sz="0" w:space="0" w:color="auto"/>
        <w:bottom w:val="none" w:sz="0" w:space="0" w:color="auto"/>
        <w:right w:val="none" w:sz="0" w:space="0" w:color="auto"/>
      </w:divBdr>
    </w:div>
    <w:div w:id="262155939">
      <w:marLeft w:val="0"/>
      <w:marRight w:val="0"/>
      <w:marTop w:val="0"/>
      <w:marBottom w:val="0"/>
      <w:divBdr>
        <w:top w:val="none" w:sz="0" w:space="0" w:color="auto"/>
        <w:left w:val="none" w:sz="0" w:space="0" w:color="auto"/>
        <w:bottom w:val="none" w:sz="0" w:space="0" w:color="auto"/>
        <w:right w:val="none" w:sz="0" w:space="0" w:color="auto"/>
      </w:divBdr>
    </w:div>
    <w:div w:id="262155940">
      <w:marLeft w:val="0"/>
      <w:marRight w:val="0"/>
      <w:marTop w:val="0"/>
      <w:marBottom w:val="0"/>
      <w:divBdr>
        <w:top w:val="none" w:sz="0" w:space="0" w:color="auto"/>
        <w:left w:val="none" w:sz="0" w:space="0" w:color="auto"/>
        <w:bottom w:val="none" w:sz="0" w:space="0" w:color="auto"/>
        <w:right w:val="none" w:sz="0" w:space="0" w:color="auto"/>
      </w:divBdr>
    </w:div>
    <w:div w:id="319383142">
      <w:bodyDiv w:val="1"/>
      <w:marLeft w:val="0"/>
      <w:marRight w:val="0"/>
      <w:marTop w:val="0"/>
      <w:marBottom w:val="0"/>
      <w:divBdr>
        <w:top w:val="none" w:sz="0" w:space="0" w:color="auto"/>
        <w:left w:val="none" w:sz="0" w:space="0" w:color="auto"/>
        <w:bottom w:val="none" w:sz="0" w:space="0" w:color="auto"/>
        <w:right w:val="none" w:sz="0" w:space="0" w:color="auto"/>
      </w:divBdr>
    </w:div>
    <w:div w:id="424115470">
      <w:bodyDiv w:val="1"/>
      <w:marLeft w:val="0"/>
      <w:marRight w:val="0"/>
      <w:marTop w:val="0"/>
      <w:marBottom w:val="0"/>
      <w:divBdr>
        <w:top w:val="none" w:sz="0" w:space="0" w:color="auto"/>
        <w:left w:val="none" w:sz="0" w:space="0" w:color="auto"/>
        <w:bottom w:val="none" w:sz="0" w:space="0" w:color="auto"/>
        <w:right w:val="none" w:sz="0" w:space="0" w:color="auto"/>
      </w:divBdr>
      <w:divsChild>
        <w:div w:id="571818583">
          <w:marLeft w:val="0"/>
          <w:marRight w:val="0"/>
          <w:marTop w:val="0"/>
          <w:marBottom w:val="0"/>
          <w:divBdr>
            <w:top w:val="none" w:sz="0" w:space="0" w:color="auto"/>
            <w:left w:val="none" w:sz="0" w:space="0" w:color="auto"/>
            <w:bottom w:val="none" w:sz="0" w:space="0" w:color="auto"/>
            <w:right w:val="none" w:sz="0" w:space="0" w:color="auto"/>
          </w:divBdr>
        </w:div>
        <w:div w:id="1718432716">
          <w:marLeft w:val="0"/>
          <w:marRight w:val="0"/>
          <w:marTop w:val="0"/>
          <w:marBottom w:val="0"/>
          <w:divBdr>
            <w:top w:val="none" w:sz="0" w:space="0" w:color="auto"/>
            <w:left w:val="none" w:sz="0" w:space="0" w:color="auto"/>
            <w:bottom w:val="none" w:sz="0" w:space="0" w:color="auto"/>
            <w:right w:val="none" w:sz="0" w:space="0" w:color="auto"/>
          </w:divBdr>
        </w:div>
      </w:divsChild>
    </w:div>
    <w:div w:id="631133386">
      <w:bodyDiv w:val="1"/>
      <w:marLeft w:val="0"/>
      <w:marRight w:val="0"/>
      <w:marTop w:val="0"/>
      <w:marBottom w:val="0"/>
      <w:divBdr>
        <w:top w:val="none" w:sz="0" w:space="0" w:color="auto"/>
        <w:left w:val="none" w:sz="0" w:space="0" w:color="auto"/>
        <w:bottom w:val="none" w:sz="0" w:space="0" w:color="auto"/>
        <w:right w:val="none" w:sz="0" w:space="0" w:color="auto"/>
      </w:divBdr>
      <w:divsChild>
        <w:div w:id="137496120">
          <w:marLeft w:val="0"/>
          <w:marRight w:val="0"/>
          <w:marTop w:val="0"/>
          <w:marBottom w:val="0"/>
          <w:divBdr>
            <w:top w:val="none" w:sz="0" w:space="0" w:color="auto"/>
            <w:left w:val="none" w:sz="0" w:space="0" w:color="auto"/>
            <w:bottom w:val="none" w:sz="0" w:space="0" w:color="auto"/>
            <w:right w:val="none" w:sz="0" w:space="0" w:color="auto"/>
          </w:divBdr>
        </w:div>
      </w:divsChild>
    </w:div>
    <w:div w:id="965896289">
      <w:bodyDiv w:val="1"/>
      <w:marLeft w:val="0"/>
      <w:marRight w:val="0"/>
      <w:marTop w:val="0"/>
      <w:marBottom w:val="0"/>
      <w:divBdr>
        <w:top w:val="none" w:sz="0" w:space="0" w:color="auto"/>
        <w:left w:val="none" w:sz="0" w:space="0" w:color="auto"/>
        <w:bottom w:val="none" w:sz="0" w:space="0" w:color="auto"/>
        <w:right w:val="none" w:sz="0" w:space="0" w:color="auto"/>
      </w:divBdr>
    </w:div>
    <w:div w:id="983587212">
      <w:bodyDiv w:val="1"/>
      <w:marLeft w:val="0"/>
      <w:marRight w:val="0"/>
      <w:marTop w:val="0"/>
      <w:marBottom w:val="0"/>
      <w:divBdr>
        <w:top w:val="none" w:sz="0" w:space="0" w:color="auto"/>
        <w:left w:val="none" w:sz="0" w:space="0" w:color="auto"/>
        <w:bottom w:val="none" w:sz="0" w:space="0" w:color="auto"/>
        <w:right w:val="none" w:sz="0" w:space="0" w:color="auto"/>
      </w:divBdr>
      <w:divsChild>
        <w:div w:id="6912680">
          <w:marLeft w:val="0"/>
          <w:marRight w:val="0"/>
          <w:marTop w:val="0"/>
          <w:marBottom w:val="0"/>
          <w:divBdr>
            <w:top w:val="none" w:sz="0" w:space="0" w:color="auto"/>
            <w:left w:val="none" w:sz="0" w:space="0" w:color="auto"/>
            <w:bottom w:val="none" w:sz="0" w:space="0" w:color="auto"/>
            <w:right w:val="none" w:sz="0" w:space="0" w:color="auto"/>
          </w:divBdr>
        </w:div>
        <w:div w:id="462893068">
          <w:marLeft w:val="0"/>
          <w:marRight w:val="0"/>
          <w:marTop w:val="0"/>
          <w:marBottom w:val="0"/>
          <w:divBdr>
            <w:top w:val="none" w:sz="0" w:space="0" w:color="auto"/>
            <w:left w:val="none" w:sz="0" w:space="0" w:color="auto"/>
            <w:bottom w:val="none" w:sz="0" w:space="0" w:color="auto"/>
            <w:right w:val="none" w:sz="0" w:space="0" w:color="auto"/>
          </w:divBdr>
        </w:div>
        <w:div w:id="794759089">
          <w:marLeft w:val="0"/>
          <w:marRight w:val="0"/>
          <w:marTop w:val="0"/>
          <w:marBottom w:val="0"/>
          <w:divBdr>
            <w:top w:val="none" w:sz="0" w:space="0" w:color="auto"/>
            <w:left w:val="none" w:sz="0" w:space="0" w:color="auto"/>
            <w:bottom w:val="none" w:sz="0" w:space="0" w:color="auto"/>
            <w:right w:val="none" w:sz="0" w:space="0" w:color="auto"/>
          </w:divBdr>
        </w:div>
        <w:div w:id="1081104585">
          <w:marLeft w:val="0"/>
          <w:marRight w:val="0"/>
          <w:marTop w:val="0"/>
          <w:marBottom w:val="0"/>
          <w:divBdr>
            <w:top w:val="none" w:sz="0" w:space="0" w:color="auto"/>
            <w:left w:val="none" w:sz="0" w:space="0" w:color="auto"/>
            <w:bottom w:val="none" w:sz="0" w:space="0" w:color="auto"/>
            <w:right w:val="none" w:sz="0" w:space="0" w:color="auto"/>
          </w:divBdr>
        </w:div>
        <w:div w:id="1898935875">
          <w:marLeft w:val="0"/>
          <w:marRight w:val="0"/>
          <w:marTop w:val="0"/>
          <w:marBottom w:val="0"/>
          <w:divBdr>
            <w:top w:val="none" w:sz="0" w:space="0" w:color="auto"/>
            <w:left w:val="none" w:sz="0" w:space="0" w:color="auto"/>
            <w:bottom w:val="none" w:sz="0" w:space="0" w:color="auto"/>
            <w:right w:val="none" w:sz="0" w:space="0" w:color="auto"/>
          </w:divBdr>
        </w:div>
      </w:divsChild>
    </w:div>
    <w:div w:id="1278684589">
      <w:bodyDiv w:val="1"/>
      <w:marLeft w:val="0"/>
      <w:marRight w:val="0"/>
      <w:marTop w:val="0"/>
      <w:marBottom w:val="0"/>
      <w:divBdr>
        <w:top w:val="none" w:sz="0" w:space="0" w:color="auto"/>
        <w:left w:val="none" w:sz="0" w:space="0" w:color="auto"/>
        <w:bottom w:val="none" w:sz="0" w:space="0" w:color="auto"/>
        <w:right w:val="none" w:sz="0" w:space="0" w:color="auto"/>
      </w:divBdr>
      <w:divsChild>
        <w:div w:id="1715276389">
          <w:marLeft w:val="0"/>
          <w:marRight w:val="0"/>
          <w:marTop w:val="0"/>
          <w:marBottom w:val="0"/>
          <w:divBdr>
            <w:top w:val="none" w:sz="0" w:space="0" w:color="auto"/>
            <w:left w:val="none" w:sz="0" w:space="0" w:color="auto"/>
            <w:bottom w:val="none" w:sz="0" w:space="0" w:color="auto"/>
            <w:right w:val="none" w:sz="0" w:space="0" w:color="auto"/>
          </w:divBdr>
        </w:div>
      </w:divsChild>
    </w:div>
    <w:div w:id="1550341482">
      <w:bodyDiv w:val="1"/>
      <w:marLeft w:val="0"/>
      <w:marRight w:val="0"/>
      <w:marTop w:val="0"/>
      <w:marBottom w:val="0"/>
      <w:divBdr>
        <w:top w:val="none" w:sz="0" w:space="0" w:color="auto"/>
        <w:left w:val="none" w:sz="0" w:space="0" w:color="auto"/>
        <w:bottom w:val="none" w:sz="0" w:space="0" w:color="auto"/>
        <w:right w:val="none" w:sz="0" w:space="0" w:color="auto"/>
      </w:divBdr>
    </w:div>
    <w:div w:id="1799294774">
      <w:bodyDiv w:val="1"/>
      <w:marLeft w:val="0"/>
      <w:marRight w:val="0"/>
      <w:marTop w:val="0"/>
      <w:marBottom w:val="0"/>
      <w:divBdr>
        <w:top w:val="none" w:sz="0" w:space="0" w:color="auto"/>
        <w:left w:val="none" w:sz="0" w:space="0" w:color="auto"/>
        <w:bottom w:val="none" w:sz="0" w:space="0" w:color="auto"/>
        <w:right w:val="none" w:sz="0" w:space="0" w:color="auto"/>
      </w:divBdr>
    </w:div>
    <w:div w:id="21344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isconsin.edu/ohrwd/benefits/ret/wr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wlax.edu/budget/special-course-f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wlax.edu/business-services/our-services/gift-fun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wm.edu/graduate-assistants/handbook/appointments-and-benefits/teaching-assistant-stipend-rat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wlax.edu/human-resources/faculty-and-staff/policies-and-procedures/student-appointments-and-wages-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TaxCatchAll xmlns="5ea28995-8b9e-4f64-9914-9bc46bbb117a" xsi:nil="true"/>
    <IconOverlay xmlns="http://schemas.microsoft.com/sharepoint/v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TaxKeywordTaxHTField xmlns="5ea28995-8b9e-4f64-9914-9bc46bbb117a">
      <Terms xmlns="http://schemas.microsoft.com/office/infopath/2007/PartnerControls"/>
    </TaxKeywordTaxHTField>
    <_dlc_DocId xmlns="5ea28995-8b9e-4f64-9914-9bc46bbb117a">BUDGET-18609323-43243</_dlc_DocId>
    <_dlc_DocIdUrl xmlns="5ea28995-8b9e-4f64-9914-9bc46bbb117a">
      <Url>https://uwlax.sharepoint.com/sites/budget-office/_layouts/15/DocIdRedir.aspx?ID=BUDGET-18609323-43243</Url>
      <Description>BUDGET-18609323-43243</Description>
    </_dlc_DocIdUrl>
    <SharedWithUsers xmlns="5ea28995-8b9e-4f64-9914-9bc46bbb117a">
      <UserInfo>
        <DisplayName>Mark Haakenson</DisplayName>
        <AccountId>13</AccountId>
        <AccountType/>
      </UserInfo>
      <UserInfo>
        <DisplayName>Jason Steiner</DisplayName>
        <AccountId>23</AccountId>
        <AccountType/>
      </UserInfo>
      <UserInfo>
        <DisplayName>Kelly Reuter</DisplayName>
        <AccountId>883</AccountId>
        <AccountType/>
      </UserInfo>
      <UserInfo>
        <DisplayName>Emily Roraff</DisplayName>
        <AccountId>85</AccountId>
        <AccountType/>
      </UserInfo>
      <UserInfo>
        <DisplayName>Kristin Stanley</DisplayName>
        <AccountId>16</AccountId>
        <AccountType/>
      </UserInfo>
      <UserInfo>
        <DisplayName>Zac Knutson</DisplayName>
        <AccountId>3145</AccountId>
        <AccountType/>
      </UserInfo>
      <UserInfo>
        <DisplayName>Mandi McKinney</DisplayName>
        <AccountId>3089</AccountId>
        <AccountType/>
      </UserInfo>
      <UserInfo>
        <DisplayName>Amanda Degenhardt</DisplayName>
        <AccountId>3101</AccountId>
        <AccountType/>
      </UserInfo>
      <UserInfo>
        <DisplayName>Kristen Piske</DisplayName>
        <AccountId>3393</AccountId>
        <AccountType/>
      </UserInfo>
    </SharedWithUsers>
    <lcf76f155ced4ddcb4097134ff3c332f xmlns="70223cc4-264a-4955-842e-0e6de6a0d905">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FE610E39D96C344A4903BDB47513A1B" ma:contentTypeVersion="28" ma:contentTypeDescription="Create a new document." ma:contentTypeScope="" ma:versionID="2fce9d65c99c5948d4ad4e7c774ea7ca">
  <xsd:schema xmlns:xsd="http://www.w3.org/2001/XMLSchema" xmlns:xs="http://www.w3.org/2001/XMLSchema" xmlns:p="http://schemas.microsoft.com/office/2006/metadata/properties" xmlns:ns1="http://schemas.microsoft.com/sharepoint/v3" xmlns:ns2="5ea28995-8b9e-4f64-9914-9bc46bbb117a" xmlns:ns3="http://schemas.microsoft.com/sharepoint/v4" xmlns:ns4="70223cc4-264a-4955-842e-0e6de6a0d905" targetNamespace="http://schemas.microsoft.com/office/2006/metadata/properties" ma:root="true" ma:fieldsID="3ac74bdd4d8d2c2c4a6ea1fe6867f5b0" ns1:_="" ns2:_="" ns3:_="" ns4:_="">
    <xsd:import namespace="http://schemas.microsoft.com/sharepoint/v3"/>
    <xsd:import namespace="5ea28995-8b9e-4f64-9914-9bc46bbb117a"/>
    <xsd:import namespace="http://schemas.microsoft.com/sharepoint/v4"/>
    <xsd:import namespace="70223cc4-264a-4955-842e-0e6de6a0d905"/>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TaxKeywordTaxHTField" minOccurs="0"/>
                <xsd:element ref="ns2:TaxCatchAll" minOccurs="0"/>
                <xsd:element ref="ns2:_dlc_DocId" minOccurs="0"/>
                <xsd:element ref="ns2:_dlc_DocIdUrl" minOccurs="0"/>
                <xsd:element ref="ns2:_dlc_DocIdPersistId"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a28995-8b9e-4f64-9914-9bc46bbb1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c74f3122-44b1-41ea-91ad-831baa7c83ae"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632ed90c-f00c-4295-88f4-47d234c099f6}" ma:internalName="TaxCatchAll" ma:showField="CatchAllData" ma:web="5ea28995-8b9e-4f64-9914-9bc46bbb117a">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LastSharedByUser" ma:index="24" nillable="true" ma:displayName="Last Shared By User" ma:description="" ma:internalName="LastSharedByUser" ma:readOnly="true">
      <xsd:simpleType>
        <xsd:restriction base="dms:Note">
          <xsd:maxLength value="255"/>
        </xsd:restriction>
      </xsd:simpleType>
    </xsd:element>
    <xsd:element name="LastSharedByTime" ma:index="2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23cc4-264a-4955-842e-0e6de6a0d905"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71422-7321-4AC4-BEB4-E6782C42F0EF}">
  <ds:schemaRefs>
    <ds:schemaRef ds:uri="http://schemas.openxmlformats.org/officeDocument/2006/bibliography"/>
  </ds:schemaRefs>
</ds:datastoreItem>
</file>

<file path=customXml/itemProps2.xml><?xml version="1.0" encoding="utf-8"?>
<ds:datastoreItem xmlns:ds="http://schemas.openxmlformats.org/officeDocument/2006/customXml" ds:itemID="{FADA5D1E-9707-471C-B136-3760A3EA5233}">
  <ds:schemaRefs>
    <ds:schemaRef ds:uri="http://schemas.microsoft.com/office/2006/metadata/properties"/>
    <ds:schemaRef ds:uri="http://schemas.microsoft.com/office/infopath/2007/PartnerControls"/>
    <ds:schemaRef ds:uri="http://schemas.microsoft.com/sharepoint/v3"/>
    <ds:schemaRef ds:uri="5ea28995-8b9e-4f64-9914-9bc46bbb117a"/>
    <ds:schemaRef ds:uri="http://schemas.microsoft.com/sharepoint/v4"/>
    <ds:schemaRef ds:uri="70223cc4-264a-4955-842e-0e6de6a0d905"/>
  </ds:schemaRefs>
</ds:datastoreItem>
</file>

<file path=customXml/itemProps3.xml><?xml version="1.0" encoding="utf-8"?>
<ds:datastoreItem xmlns:ds="http://schemas.openxmlformats.org/officeDocument/2006/customXml" ds:itemID="{DE9A0CD0-4C37-4436-A4E1-3F98213292AB}">
  <ds:schemaRefs>
    <ds:schemaRef ds:uri="http://schemas.microsoft.com/sharepoint/events"/>
  </ds:schemaRefs>
</ds:datastoreItem>
</file>

<file path=customXml/itemProps4.xml><?xml version="1.0" encoding="utf-8"?>
<ds:datastoreItem xmlns:ds="http://schemas.openxmlformats.org/officeDocument/2006/customXml" ds:itemID="{6408BAB4-5158-42D2-A614-3E2B226C1631}">
  <ds:schemaRefs>
    <ds:schemaRef ds:uri="http://schemas.microsoft.com/sharepoint/v3/contenttype/forms"/>
  </ds:schemaRefs>
</ds:datastoreItem>
</file>

<file path=customXml/itemProps5.xml><?xml version="1.0" encoding="utf-8"?>
<ds:datastoreItem xmlns:ds="http://schemas.openxmlformats.org/officeDocument/2006/customXml" ds:itemID="{22EC842F-C372-4656-A99A-8CD7B955B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a28995-8b9e-4f64-9914-9bc46bbb117a"/>
    <ds:schemaRef ds:uri="http://schemas.microsoft.com/sharepoint/v4"/>
    <ds:schemaRef ds:uri="70223cc4-264a-4955-842e-0e6de6a0d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1662</Words>
  <Characters>9392</Characters>
  <Application>Microsoft Office Word</Application>
  <DocSecurity>0</DocSecurity>
  <Lines>78</Lines>
  <Paragraphs>22</Paragraphs>
  <ScaleCrop>false</ScaleCrop>
  <Company>UW System Administration</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Wisconsin-La Crosse</dc:title>
  <dc:subject/>
  <dc:creator>Renee</dc:creator>
  <cp:keywords/>
  <cp:lastModifiedBy>Emily Roraff</cp:lastModifiedBy>
  <cp:revision>15</cp:revision>
  <cp:lastPrinted>2016-09-13T02:58:00Z</cp:lastPrinted>
  <dcterms:created xsi:type="dcterms:W3CDTF">2023-12-20T14:32:00Z</dcterms:created>
  <dcterms:modified xsi:type="dcterms:W3CDTF">2024-03-29T02:13:00Z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0x0101007FE610E39D96C344A4903BDB47513A1B</vt:lpwstr>
  </property>
  <property fmtid="{D5CDD505-2E9C-101B-9397-08002B2CF9AE}" pid="3" name="TaxKeyword">
    <vt:lpwstr/>
  </property>
  <property fmtid="{D5CDD505-2E9C-101B-9397-08002B2CF9AE}" pid="4" name="_dlc_DocIdItemGuid">
    <vt:lpwstr>12629627-fefb-4807-81f1-28e832b79dd5</vt:lpwstr>
  </property>
  <property fmtid="{D5CDD505-2E9C-101B-9397-08002B2CF9AE}" pid="5" name="MediaServiceImageTags">
    <vt:lpwstr/>
  </property>
  <property fmtid="{D5CDD505-2E9C-101B-9397-08002B2CF9AE}" pid="6" name="GrammarlyDocumentId">
    <vt:lpwstr>5d55d244bb8c711ca43d435c109d4beed895e791598d0da0b01a3028f69b136f</vt:lpwstr>
  </property>
</Properties>
</file>