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23633" w14:textId="77777777" w:rsidR="00820730" w:rsidRPr="00FF2039" w:rsidRDefault="00820730" w:rsidP="007B7131">
      <w:pPr>
        <w:jc w:val="center"/>
        <w:rPr>
          <w:rFonts w:ascii="Arial" w:hAnsi="Arial" w:cs="Arial"/>
          <w:b/>
          <w:sz w:val="22"/>
          <w:szCs w:val="22"/>
        </w:rPr>
      </w:pPr>
      <w:r w:rsidRPr="00FF2039">
        <w:rPr>
          <w:rFonts w:ascii="Arial" w:hAnsi="Arial" w:cs="Arial"/>
          <w:b/>
          <w:sz w:val="22"/>
          <w:szCs w:val="22"/>
        </w:rPr>
        <w:t>University of Wisconsin-La Crosse</w:t>
      </w:r>
    </w:p>
    <w:p w14:paraId="04923634" w14:textId="77777777" w:rsidR="00820730" w:rsidRPr="00FF2039" w:rsidRDefault="00E55175" w:rsidP="00531998">
      <w:pPr>
        <w:jc w:val="center"/>
        <w:rPr>
          <w:rFonts w:ascii="Arial" w:hAnsi="Arial" w:cs="Arial"/>
          <w:b/>
          <w:sz w:val="22"/>
          <w:szCs w:val="22"/>
        </w:rPr>
      </w:pPr>
      <w:r w:rsidRPr="00FF2039">
        <w:rPr>
          <w:rFonts w:ascii="Arial" w:hAnsi="Arial" w:cs="Arial"/>
          <w:b/>
          <w:sz w:val="22"/>
          <w:szCs w:val="22"/>
        </w:rPr>
        <w:t>Budget Office</w:t>
      </w:r>
    </w:p>
    <w:p w14:paraId="04923635" w14:textId="0A8B2094" w:rsidR="00820730" w:rsidRPr="00FF2039" w:rsidRDefault="00C91AAC" w:rsidP="005E554A">
      <w:pPr>
        <w:jc w:val="center"/>
        <w:rPr>
          <w:rFonts w:ascii="Arial" w:hAnsi="Arial" w:cs="Arial"/>
          <w:b/>
          <w:sz w:val="22"/>
          <w:szCs w:val="22"/>
        </w:rPr>
      </w:pPr>
      <w:r w:rsidRPr="00FF2039">
        <w:rPr>
          <w:rFonts w:ascii="Arial" w:hAnsi="Arial" w:cs="Arial"/>
          <w:b/>
          <w:sz w:val="22"/>
          <w:szCs w:val="22"/>
        </w:rPr>
        <w:t>GPR</w:t>
      </w:r>
      <w:r w:rsidR="00820730" w:rsidRPr="00FF2039">
        <w:rPr>
          <w:rFonts w:ascii="Arial" w:hAnsi="Arial" w:cs="Arial"/>
          <w:b/>
          <w:sz w:val="22"/>
          <w:szCs w:val="22"/>
        </w:rPr>
        <w:t xml:space="preserve"> Budget Planning Assumptions</w:t>
      </w:r>
    </w:p>
    <w:p w14:paraId="04923636" w14:textId="77777777" w:rsidR="007E137C" w:rsidRPr="00FF2039" w:rsidRDefault="00820730" w:rsidP="007E137C">
      <w:pPr>
        <w:jc w:val="center"/>
        <w:rPr>
          <w:rFonts w:ascii="Arial" w:hAnsi="Arial" w:cs="Arial"/>
          <w:b/>
          <w:sz w:val="22"/>
          <w:szCs w:val="22"/>
        </w:rPr>
      </w:pPr>
      <w:r w:rsidRPr="00FF2039">
        <w:rPr>
          <w:rFonts w:ascii="Arial" w:hAnsi="Arial" w:cs="Arial"/>
          <w:b/>
          <w:sz w:val="22"/>
          <w:szCs w:val="22"/>
        </w:rPr>
        <w:t xml:space="preserve">Fiscal Year </w:t>
      </w:r>
      <w:r w:rsidR="004F562F" w:rsidRPr="00FF2039">
        <w:rPr>
          <w:rFonts w:ascii="Arial" w:hAnsi="Arial" w:cs="Arial"/>
          <w:b/>
          <w:sz w:val="22"/>
          <w:szCs w:val="22"/>
        </w:rPr>
        <w:t>2017-18</w:t>
      </w:r>
    </w:p>
    <w:p w14:paraId="04923637" w14:textId="77777777" w:rsidR="00820730" w:rsidRPr="00FF2039" w:rsidRDefault="00820730" w:rsidP="00531998">
      <w:pPr>
        <w:rPr>
          <w:rFonts w:ascii="Arial" w:hAnsi="Arial" w:cs="Arial"/>
          <w:b/>
          <w:sz w:val="22"/>
          <w:szCs w:val="22"/>
        </w:rPr>
      </w:pPr>
    </w:p>
    <w:p w14:paraId="22D86E05" w14:textId="77777777" w:rsidR="00FF2039" w:rsidRPr="00FF2039" w:rsidRDefault="00820730" w:rsidP="00F925A3">
      <w:pPr>
        <w:ind w:left="360"/>
        <w:jc w:val="both"/>
        <w:rPr>
          <w:rFonts w:ascii="Arial" w:hAnsi="Arial" w:cs="Arial"/>
          <w:b/>
          <w:sz w:val="22"/>
          <w:szCs w:val="22"/>
        </w:rPr>
      </w:pPr>
      <w:r w:rsidRPr="00FF2039">
        <w:rPr>
          <w:rFonts w:ascii="Arial" w:hAnsi="Arial" w:cs="Arial"/>
          <w:b/>
          <w:sz w:val="22"/>
          <w:szCs w:val="22"/>
        </w:rPr>
        <w:t xml:space="preserve">The following budget planning assumptions are to be used to complete the </w:t>
      </w:r>
      <w:r w:rsidR="004F562F" w:rsidRPr="00FF2039">
        <w:rPr>
          <w:rFonts w:ascii="Arial" w:hAnsi="Arial" w:cs="Arial"/>
          <w:b/>
          <w:sz w:val="22"/>
          <w:szCs w:val="22"/>
        </w:rPr>
        <w:t>FY2017-18</w:t>
      </w:r>
      <w:r w:rsidR="007E137C" w:rsidRPr="00FF2039">
        <w:rPr>
          <w:rFonts w:ascii="Arial" w:hAnsi="Arial" w:cs="Arial"/>
          <w:b/>
          <w:sz w:val="22"/>
          <w:szCs w:val="22"/>
        </w:rPr>
        <w:t xml:space="preserve"> </w:t>
      </w:r>
      <w:r w:rsidRPr="00FF2039">
        <w:rPr>
          <w:rFonts w:ascii="Arial" w:hAnsi="Arial" w:cs="Arial"/>
          <w:b/>
          <w:sz w:val="22"/>
          <w:szCs w:val="22"/>
        </w:rPr>
        <w:t xml:space="preserve">budget.  These assumptions will be updated as more information becomes available from UW System Budget Planning, UW-La Crosse campus cost centers, and the State of Wisconsin. </w:t>
      </w:r>
    </w:p>
    <w:p w14:paraId="28087333" w14:textId="77777777" w:rsidR="00FF2039" w:rsidRPr="00FF2039" w:rsidRDefault="00FF2039" w:rsidP="00F925A3">
      <w:pPr>
        <w:ind w:left="360"/>
        <w:jc w:val="both"/>
        <w:rPr>
          <w:rFonts w:ascii="Arial" w:hAnsi="Arial" w:cs="Arial"/>
          <w:b/>
          <w:sz w:val="22"/>
          <w:szCs w:val="22"/>
        </w:rPr>
      </w:pPr>
    </w:p>
    <w:p w14:paraId="7B055A93" w14:textId="6EB9A053" w:rsidR="00FF2039" w:rsidRDefault="006147A7" w:rsidP="00FF2039">
      <w:pPr>
        <w:pStyle w:val="ListParagraph"/>
        <w:numPr>
          <w:ilvl w:val="0"/>
          <w:numId w:val="7"/>
        </w:numPr>
        <w:jc w:val="both"/>
        <w:rPr>
          <w:rFonts w:ascii="Arial" w:hAnsi="Arial" w:cs="Arial"/>
          <w:b/>
          <w:sz w:val="22"/>
          <w:szCs w:val="22"/>
        </w:rPr>
      </w:pPr>
      <w:r>
        <w:rPr>
          <w:rFonts w:ascii="Arial" w:hAnsi="Arial" w:cs="Arial"/>
          <w:b/>
          <w:sz w:val="22"/>
          <w:szCs w:val="22"/>
        </w:rPr>
        <w:t>GPR Budget Deadlines</w:t>
      </w:r>
    </w:p>
    <w:p w14:paraId="343F08C3" w14:textId="77777777" w:rsidR="006147A7" w:rsidRPr="009778C3" w:rsidRDefault="006147A7" w:rsidP="006147A7">
      <w:pPr>
        <w:pStyle w:val="ListParagraph"/>
        <w:jc w:val="both"/>
        <w:rPr>
          <w:rFonts w:ascii="Arial" w:hAnsi="Arial" w:cs="Arial"/>
          <w:b/>
          <w:sz w:val="22"/>
          <w:szCs w:val="22"/>
        </w:rPr>
      </w:pPr>
    </w:p>
    <w:p w14:paraId="23F0FE8A" w14:textId="2BA06E07" w:rsidR="00FF2039" w:rsidRPr="00F733EB" w:rsidRDefault="000F4AA5" w:rsidP="00FF2039">
      <w:pPr>
        <w:pStyle w:val="ListParagraph"/>
        <w:numPr>
          <w:ilvl w:val="1"/>
          <w:numId w:val="7"/>
        </w:numPr>
        <w:jc w:val="both"/>
        <w:rPr>
          <w:rFonts w:ascii="Arial" w:hAnsi="Arial" w:cs="Arial"/>
          <w:sz w:val="22"/>
          <w:szCs w:val="22"/>
        </w:rPr>
      </w:pPr>
      <w:r w:rsidRPr="00F733EB">
        <w:rPr>
          <w:rFonts w:ascii="Arial" w:hAnsi="Arial" w:cs="Arial"/>
          <w:sz w:val="22"/>
          <w:szCs w:val="22"/>
        </w:rPr>
        <w:t>GQA reductions plans are to be submitted by December 1</w:t>
      </w:r>
      <w:r w:rsidRPr="00F733EB">
        <w:rPr>
          <w:rFonts w:ascii="Arial" w:hAnsi="Arial" w:cs="Arial"/>
          <w:sz w:val="22"/>
          <w:szCs w:val="22"/>
          <w:vertAlign w:val="superscript"/>
        </w:rPr>
        <w:t>st</w:t>
      </w:r>
      <w:r w:rsidR="00FF2039" w:rsidRPr="00F733EB">
        <w:rPr>
          <w:rFonts w:ascii="Arial" w:hAnsi="Arial" w:cs="Arial"/>
          <w:sz w:val="22"/>
          <w:szCs w:val="22"/>
        </w:rPr>
        <w:t xml:space="preserve"> to include the Ins</w:t>
      </w:r>
      <w:r w:rsidR="009778C3">
        <w:rPr>
          <w:rFonts w:ascii="Arial" w:hAnsi="Arial" w:cs="Arial"/>
          <w:sz w:val="22"/>
          <w:szCs w:val="22"/>
        </w:rPr>
        <w:t>tructional Staff positions and N</w:t>
      </w:r>
      <w:r w:rsidR="00FF2039" w:rsidRPr="00F733EB">
        <w:rPr>
          <w:rFonts w:ascii="Arial" w:hAnsi="Arial" w:cs="Arial"/>
          <w:sz w:val="22"/>
          <w:szCs w:val="22"/>
        </w:rPr>
        <w:t xml:space="preserve">on-Instructional S&amp;E reductions. </w:t>
      </w:r>
    </w:p>
    <w:p w14:paraId="4131B1B7" w14:textId="77777777" w:rsidR="006147A7" w:rsidRDefault="00FF2039" w:rsidP="00FF2039">
      <w:pPr>
        <w:pStyle w:val="ListParagraph"/>
        <w:numPr>
          <w:ilvl w:val="1"/>
          <w:numId w:val="7"/>
        </w:numPr>
        <w:jc w:val="both"/>
        <w:rPr>
          <w:rFonts w:ascii="Arial" w:hAnsi="Arial" w:cs="Arial"/>
          <w:sz w:val="22"/>
          <w:szCs w:val="22"/>
        </w:rPr>
      </w:pPr>
      <w:r w:rsidRPr="009778C3">
        <w:rPr>
          <w:rFonts w:ascii="Arial" w:hAnsi="Arial" w:cs="Arial"/>
          <w:sz w:val="22"/>
          <w:szCs w:val="22"/>
        </w:rPr>
        <w:t>Colleges Only:</w:t>
      </w:r>
      <w:r w:rsidR="006147A7">
        <w:rPr>
          <w:rFonts w:ascii="Arial" w:hAnsi="Arial" w:cs="Arial"/>
          <w:sz w:val="22"/>
          <w:szCs w:val="22"/>
        </w:rPr>
        <w:t xml:space="preserve"> </w:t>
      </w:r>
      <w:bookmarkStart w:id="0" w:name="_GoBack"/>
      <w:bookmarkEnd w:id="0"/>
    </w:p>
    <w:p w14:paraId="61794657" w14:textId="77777777" w:rsidR="006147A7" w:rsidRDefault="006147A7" w:rsidP="006147A7">
      <w:pPr>
        <w:pStyle w:val="ListParagraph"/>
        <w:numPr>
          <w:ilvl w:val="2"/>
          <w:numId w:val="7"/>
        </w:numPr>
        <w:jc w:val="both"/>
        <w:rPr>
          <w:rFonts w:ascii="Arial" w:hAnsi="Arial" w:cs="Arial"/>
          <w:sz w:val="22"/>
          <w:szCs w:val="22"/>
        </w:rPr>
      </w:pPr>
      <w:r>
        <w:rPr>
          <w:rFonts w:ascii="Arial" w:hAnsi="Arial" w:cs="Arial"/>
          <w:sz w:val="22"/>
          <w:szCs w:val="22"/>
        </w:rPr>
        <w:t>B</w:t>
      </w:r>
      <w:r w:rsidR="000B6B99" w:rsidRPr="00F733EB">
        <w:rPr>
          <w:rFonts w:ascii="Arial" w:hAnsi="Arial" w:cs="Arial"/>
          <w:sz w:val="22"/>
          <w:szCs w:val="22"/>
        </w:rPr>
        <w:t>udget requests for S&amp;E are due to the Budget Office by December 15</w:t>
      </w:r>
      <w:r w:rsidR="000B6B99" w:rsidRPr="00F733EB">
        <w:rPr>
          <w:rFonts w:ascii="Arial" w:hAnsi="Arial" w:cs="Arial"/>
          <w:sz w:val="22"/>
          <w:szCs w:val="22"/>
          <w:vertAlign w:val="superscript"/>
        </w:rPr>
        <w:t>th</w:t>
      </w:r>
      <w:r w:rsidR="00E41FE2" w:rsidRPr="00F733EB">
        <w:rPr>
          <w:rFonts w:ascii="Arial" w:hAnsi="Arial" w:cs="Arial"/>
          <w:sz w:val="22"/>
          <w:szCs w:val="22"/>
        </w:rPr>
        <w:t>.</w:t>
      </w:r>
      <w:r w:rsidR="000B6B99" w:rsidRPr="00F733EB">
        <w:rPr>
          <w:rFonts w:ascii="Arial" w:hAnsi="Arial" w:cs="Arial"/>
          <w:sz w:val="22"/>
          <w:szCs w:val="22"/>
        </w:rPr>
        <w:t xml:space="preserve"> </w:t>
      </w:r>
    </w:p>
    <w:p w14:paraId="69B3B8B9" w14:textId="191F4EA6" w:rsidR="006147A7" w:rsidRDefault="00FF2039" w:rsidP="006147A7">
      <w:pPr>
        <w:pStyle w:val="ListParagraph"/>
        <w:numPr>
          <w:ilvl w:val="2"/>
          <w:numId w:val="7"/>
        </w:numPr>
        <w:jc w:val="both"/>
        <w:rPr>
          <w:rFonts w:ascii="Arial" w:hAnsi="Arial" w:cs="Arial"/>
          <w:sz w:val="22"/>
          <w:szCs w:val="22"/>
        </w:rPr>
      </w:pPr>
      <w:r w:rsidRPr="00F733EB">
        <w:rPr>
          <w:rFonts w:ascii="Arial" w:hAnsi="Arial" w:cs="Arial"/>
          <w:sz w:val="22"/>
          <w:szCs w:val="22"/>
        </w:rPr>
        <w:t>Any personnel changes for FY18 are due to the Budget Office by March 1</w:t>
      </w:r>
      <w:r w:rsidRPr="00F733EB">
        <w:rPr>
          <w:rFonts w:ascii="Arial" w:hAnsi="Arial" w:cs="Arial"/>
          <w:sz w:val="22"/>
          <w:szCs w:val="22"/>
          <w:vertAlign w:val="superscript"/>
        </w:rPr>
        <w:t>st</w:t>
      </w:r>
      <w:r w:rsidR="006147A7">
        <w:rPr>
          <w:rFonts w:ascii="Arial" w:hAnsi="Arial" w:cs="Arial"/>
          <w:sz w:val="22"/>
          <w:szCs w:val="22"/>
        </w:rPr>
        <w:t>.</w:t>
      </w:r>
    </w:p>
    <w:p w14:paraId="3A31EB7D" w14:textId="59BECF7A" w:rsidR="00FF2039" w:rsidRPr="00F733EB" w:rsidRDefault="006147A7" w:rsidP="006147A7">
      <w:pPr>
        <w:pStyle w:val="ListParagraph"/>
        <w:numPr>
          <w:ilvl w:val="2"/>
          <w:numId w:val="7"/>
        </w:numPr>
        <w:jc w:val="both"/>
        <w:rPr>
          <w:rFonts w:ascii="Arial" w:hAnsi="Arial" w:cs="Arial"/>
          <w:sz w:val="22"/>
          <w:szCs w:val="22"/>
        </w:rPr>
      </w:pPr>
      <w:r>
        <w:rPr>
          <w:rFonts w:ascii="Arial" w:hAnsi="Arial" w:cs="Arial"/>
          <w:sz w:val="22"/>
          <w:szCs w:val="22"/>
        </w:rPr>
        <w:t>Deans should plan to request the target replacement salary for known vacated (retirement or resignation) positions during the budget development process (prior to April 1</w:t>
      </w:r>
      <w:r w:rsidRPr="006147A7">
        <w:rPr>
          <w:rFonts w:ascii="Arial" w:hAnsi="Arial" w:cs="Arial"/>
          <w:sz w:val="22"/>
          <w:szCs w:val="22"/>
          <w:vertAlign w:val="superscript"/>
        </w:rPr>
        <w:t>st</w:t>
      </w:r>
      <w:r>
        <w:rPr>
          <w:rFonts w:ascii="Arial" w:hAnsi="Arial" w:cs="Arial"/>
          <w:sz w:val="22"/>
          <w:szCs w:val="22"/>
        </w:rPr>
        <w:t xml:space="preserve">) so the newly approved salary can be reflected in the FY18 Redbook. </w:t>
      </w:r>
    </w:p>
    <w:p w14:paraId="127F30E5" w14:textId="6B7007C9" w:rsidR="00FF2039" w:rsidRPr="00F733EB" w:rsidRDefault="00FF2039" w:rsidP="00FF2039">
      <w:pPr>
        <w:pStyle w:val="ListParagraph"/>
        <w:numPr>
          <w:ilvl w:val="1"/>
          <w:numId w:val="7"/>
        </w:numPr>
        <w:jc w:val="both"/>
        <w:rPr>
          <w:rFonts w:ascii="Arial" w:hAnsi="Arial" w:cs="Arial"/>
          <w:sz w:val="22"/>
          <w:szCs w:val="22"/>
        </w:rPr>
      </w:pPr>
      <w:r w:rsidRPr="009778C3">
        <w:rPr>
          <w:rFonts w:ascii="Arial" w:hAnsi="Arial" w:cs="Arial"/>
          <w:sz w:val="22"/>
          <w:szCs w:val="22"/>
        </w:rPr>
        <w:t xml:space="preserve">Non-College GPR Units: </w:t>
      </w:r>
      <w:r w:rsidRPr="00F733EB">
        <w:rPr>
          <w:rFonts w:ascii="Arial" w:hAnsi="Arial" w:cs="Arial"/>
          <w:sz w:val="22"/>
          <w:szCs w:val="22"/>
        </w:rPr>
        <w:t>All other budget requests for S&amp;E and personnel changes are due to the Budget Office by March 1</w:t>
      </w:r>
      <w:r w:rsidRPr="00F733EB">
        <w:rPr>
          <w:rFonts w:ascii="Arial" w:hAnsi="Arial" w:cs="Arial"/>
          <w:sz w:val="22"/>
          <w:szCs w:val="22"/>
          <w:vertAlign w:val="superscript"/>
        </w:rPr>
        <w:t>st</w:t>
      </w:r>
      <w:r w:rsidRPr="00F733EB">
        <w:rPr>
          <w:rFonts w:ascii="Arial" w:hAnsi="Arial" w:cs="Arial"/>
          <w:sz w:val="22"/>
          <w:szCs w:val="22"/>
        </w:rPr>
        <w:t xml:space="preserve">, or prior to your scheduled budget hearing, if applicable. </w:t>
      </w:r>
    </w:p>
    <w:p w14:paraId="04923639" w14:textId="2022101D" w:rsidR="004F562F" w:rsidRPr="00F733EB" w:rsidRDefault="009F40C7" w:rsidP="00FF2039">
      <w:pPr>
        <w:pStyle w:val="ListParagraph"/>
        <w:numPr>
          <w:ilvl w:val="1"/>
          <w:numId w:val="7"/>
        </w:numPr>
        <w:jc w:val="both"/>
        <w:rPr>
          <w:rFonts w:ascii="Arial" w:hAnsi="Arial" w:cs="Arial"/>
          <w:sz w:val="22"/>
          <w:szCs w:val="22"/>
        </w:rPr>
      </w:pPr>
      <w:r>
        <w:rPr>
          <w:rFonts w:ascii="Arial" w:hAnsi="Arial" w:cs="Arial"/>
          <w:sz w:val="22"/>
          <w:szCs w:val="22"/>
        </w:rPr>
        <w:t xml:space="preserve">GPR </w:t>
      </w:r>
      <w:r w:rsidR="000B6B99" w:rsidRPr="00F733EB">
        <w:rPr>
          <w:rFonts w:ascii="Arial" w:hAnsi="Arial" w:cs="Arial"/>
          <w:sz w:val="22"/>
          <w:szCs w:val="22"/>
        </w:rPr>
        <w:t>Budget hearings</w:t>
      </w:r>
      <w:r>
        <w:rPr>
          <w:rFonts w:ascii="Arial" w:hAnsi="Arial" w:cs="Arial"/>
          <w:sz w:val="22"/>
          <w:szCs w:val="22"/>
        </w:rPr>
        <w:t>, for applicable units,</w:t>
      </w:r>
      <w:r w:rsidR="000B6B99" w:rsidRPr="00F733EB">
        <w:rPr>
          <w:rFonts w:ascii="Arial" w:hAnsi="Arial" w:cs="Arial"/>
          <w:sz w:val="22"/>
          <w:szCs w:val="22"/>
        </w:rPr>
        <w:t xml:space="preserve"> </w:t>
      </w:r>
      <w:r w:rsidR="006147A7">
        <w:rPr>
          <w:rFonts w:ascii="Arial" w:hAnsi="Arial" w:cs="Arial"/>
          <w:sz w:val="22"/>
          <w:szCs w:val="22"/>
        </w:rPr>
        <w:t>will</w:t>
      </w:r>
      <w:r w:rsidR="00FF2039" w:rsidRPr="00F733EB">
        <w:rPr>
          <w:rFonts w:ascii="Arial" w:hAnsi="Arial" w:cs="Arial"/>
          <w:sz w:val="22"/>
          <w:szCs w:val="22"/>
        </w:rPr>
        <w:t xml:space="preserve"> be scheduled within the Febru</w:t>
      </w:r>
      <w:r w:rsidR="000B6B99" w:rsidRPr="00F733EB">
        <w:rPr>
          <w:rFonts w:ascii="Arial" w:hAnsi="Arial" w:cs="Arial"/>
          <w:sz w:val="22"/>
          <w:szCs w:val="22"/>
        </w:rPr>
        <w:t>ary-March timeframe</w:t>
      </w:r>
      <w:r w:rsidR="00FF2039" w:rsidRPr="00F733EB">
        <w:rPr>
          <w:rFonts w:ascii="Arial" w:hAnsi="Arial" w:cs="Arial"/>
          <w:sz w:val="22"/>
          <w:szCs w:val="22"/>
        </w:rPr>
        <w:t>.</w:t>
      </w:r>
    </w:p>
    <w:p w14:paraId="0492363A" w14:textId="77777777" w:rsidR="00820730" w:rsidRPr="00F733EB" w:rsidRDefault="00820730" w:rsidP="007B7131">
      <w:pPr>
        <w:rPr>
          <w:rFonts w:ascii="Arial" w:hAnsi="Arial" w:cs="Arial"/>
          <w:b/>
          <w:sz w:val="22"/>
          <w:szCs w:val="22"/>
        </w:rPr>
      </w:pPr>
    </w:p>
    <w:p w14:paraId="0492363C" w14:textId="619475B4" w:rsidR="00820730" w:rsidRPr="009778C3" w:rsidRDefault="00820730" w:rsidP="005F0DC5">
      <w:pPr>
        <w:pStyle w:val="ListParagraph"/>
        <w:numPr>
          <w:ilvl w:val="0"/>
          <w:numId w:val="7"/>
        </w:numPr>
        <w:rPr>
          <w:rFonts w:ascii="Arial" w:hAnsi="Arial" w:cs="Arial"/>
          <w:b/>
          <w:sz w:val="22"/>
          <w:szCs w:val="22"/>
        </w:rPr>
      </w:pPr>
      <w:r w:rsidRPr="00F733EB">
        <w:rPr>
          <w:rFonts w:ascii="Arial" w:hAnsi="Arial" w:cs="Arial"/>
          <w:b/>
          <w:sz w:val="22"/>
          <w:szCs w:val="22"/>
        </w:rPr>
        <w:t xml:space="preserve"> </w:t>
      </w:r>
      <w:r w:rsidR="004F562F" w:rsidRPr="009778C3">
        <w:rPr>
          <w:rFonts w:ascii="Arial" w:hAnsi="Arial" w:cs="Arial"/>
          <w:b/>
          <w:sz w:val="22"/>
          <w:szCs w:val="22"/>
        </w:rPr>
        <w:t xml:space="preserve">2017-18 </w:t>
      </w:r>
      <w:r w:rsidR="00FF2039" w:rsidRPr="009778C3">
        <w:rPr>
          <w:rFonts w:ascii="Arial" w:hAnsi="Arial" w:cs="Arial"/>
          <w:b/>
          <w:sz w:val="22"/>
          <w:szCs w:val="22"/>
        </w:rPr>
        <w:t>Tuition and Student Fees</w:t>
      </w:r>
    </w:p>
    <w:p w14:paraId="5AB5F972" w14:textId="77777777" w:rsidR="005238FD" w:rsidRPr="00FF2039" w:rsidRDefault="005238FD" w:rsidP="005238FD">
      <w:pPr>
        <w:pStyle w:val="ListParagraph"/>
        <w:rPr>
          <w:rFonts w:ascii="Arial" w:hAnsi="Arial" w:cs="Arial"/>
          <w:b/>
          <w:sz w:val="22"/>
          <w:szCs w:val="22"/>
          <w:u w:val="single"/>
        </w:rPr>
      </w:pPr>
    </w:p>
    <w:p w14:paraId="0E4D792B" w14:textId="5BB92589" w:rsidR="00FF2039" w:rsidRPr="00F733EB" w:rsidRDefault="00FF2039" w:rsidP="00F733EB">
      <w:pPr>
        <w:ind w:left="720"/>
        <w:jc w:val="both"/>
        <w:rPr>
          <w:rFonts w:ascii="Arial" w:hAnsi="Arial" w:cs="Arial"/>
          <w:sz w:val="22"/>
          <w:szCs w:val="22"/>
        </w:rPr>
      </w:pPr>
      <w:r w:rsidRPr="00F733EB">
        <w:rPr>
          <w:rFonts w:ascii="Arial" w:hAnsi="Arial" w:cs="Arial"/>
          <w:sz w:val="22"/>
          <w:szCs w:val="22"/>
        </w:rPr>
        <w:t>UW System and the State Legislature continues to remain focused on the cost of attendance for students at the UW System campuses. Due to the high priority placed on college affordability</w:t>
      </w:r>
      <w:r w:rsidR="00F733EB">
        <w:rPr>
          <w:rFonts w:ascii="Arial" w:hAnsi="Arial" w:cs="Arial"/>
          <w:sz w:val="22"/>
          <w:szCs w:val="22"/>
        </w:rPr>
        <w:t xml:space="preserve"> for 2017-18,</w:t>
      </w:r>
      <w:r w:rsidRPr="00F733EB">
        <w:rPr>
          <w:rFonts w:ascii="Arial" w:hAnsi="Arial" w:cs="Arial"/>
          <w:sz w:val="22"/>
          <w:szCs w:val="22"/>
        </w:rPr>
        <w:t xml:space="preserve"> UWL will be </w:t>
      </w:r>
      <w:r w:rsidR="00F733EB">
        <w:rPr>
          <w:rFonts w:ascii="Arial" w:hAnsi="Arial" w:cs="Arial"/>
          <w:sz w:val="22"/>
          <w:szCs w:val="22"/>
        </w:rPr>
        <w:t xml:space="preserve">maintaining </w:t>
      </w:r>
      <w:r w:rsidRPr="00F733EB">
        <w:rPr>
          <w:rFonts w:ascii="Arial" w:hAnsi="Arial" w:cs="Arial"/>
          <w:sz w:val="22"/>
          <w:szCs w:val="22"/>
        </w:rPr>
        <w:t xml:space="preserve">0% increases to all student fees, </w:t>
      </w:r>
      <w:r w:rsidR="009778C3">
        <w:rPr>
          <w:rFonts w:ascii="Arial" w:hAnsi="Arial" w:cs="Arial"/>
          <w:sz w:val="22"/>
          <w:szCs w:val="22"/>
        </w:rPr>
        <w:t>except for externally mandated fee increases.</w:t>
      </w:r>
      <w:r w:rsidRPr="00F733EB">
        <w:rPr>
          <w:rFonts w:ascii="Arial" w:hAnsi="Arial" w:cs="Arial"/>
          <w:sz w:val="22"/>
          <w:szCs w:val="22"/>
        </w:rPr>
        <w:t xml:space="preserve"> </w:t>
      </w:r>
      <w:r w:rsidR="009778C3">
        <w:rPr>
          <w:rFonts w:ascii="Arial" w:hAnsi="Arial" w:cs="Arial"/>
          <w:sz w:val="22"/>
          <w:szCs w:val="22"/>
        </w:rPr>
        <w:t xml:space="preserve">Student fees, including special course fees cannot be increased to offset any reductions in S&amp;E operating budgets and any fee requests must adhere to all applicable UWL and UW System policies. </w:t>
      </w:r>
    </w:p>
    <w:p w14:paraId="18547F2D" w14:textId="77777777" w:rsidR="00FF2039" w:rsidRDefault="00FF2039" w:rsidP="00FF2039">
      <w:pPr>
        <w:pStyle w:val="ListParagraph"/>
        <w:ind w:left="1440"/>
        <w:jc w:val="both"/>
        <w:rPr>
          <w:rFonts w:ascii="Arial" w:hAnsi="Arial" w:cs="Arial"/>
          <w:sz w:val="22"/>
          <w:szCs w:val="22"/>
        </w:rPr>
      </w:pPr>
    </w:p>
    <w:p w14:paraId="6AFC7928" w14:textId="3EB1B347" w:rsidR="00FF2039" w:rsidRDefault="004F562F" w:rsidP="00FF2039">
      <w:pPr>
        <w:pStyle w:val="ListParagraph"/>
        <w:numPr>
          <w:ilvl w:val="1"/>
          <w:numId w:val="7"/>
        </w:numPr>
        <w:jc w:val="both"/>
        <w:rPr>
          <w:rFonts w:ascii="Arial" w:hAnsi="Arial" w:cs="Arial"/>
          <w:sz w:val="22"/>
          <w:szCs w:val="22"/>
        </w:rPr>
      </w:pPr>
      <w:r w:rsidRPr="00FF2039">
        <w:rPr>
          <w:rFonts w:ascii="Arial" w:hAnsi="Arial" w:cs="Arial"/>
          <w:sz w:val="22"/>
          <w:szCs w:val="22"/>
        </w:rPr>
        <w:t xml:space="preserve">FY2017-18 tuition </w:t>
      </w:r>
      <w:r w:rsidR="00FF2039" w:rsidRPr="00FF2039">
        <w:rPr>
          <w:rFonts w:ascii="Arial" w:hAnsi="Arial" w:cs="Arial"/>
          <w:sz w:val="22"/>
          <w:szCs w:val="22"/>
        </w:rPr>
        <w:t xml:space="preserve">(undergraduate and graduate) </w:t>
      </w:r>
      <w:r w:rsidR="00F733EB">
        <w:rPr>
          <w:rFonts w:ascii="Arial" w:hAnsi="Arial" w:cs="Arial"/>
          <w:sz w:val="22"/>
          <w:szCs w:val="22"/>
        </w:rPr>
        <w:t>will</w:t>
      </w:r>
      <w:r w:rsidRPr="00FF2039">
        <w:rPr>
          <w:rFonts w:ascii="Arial" w:hAnsi="Arial" w:cs="Arial"/>
          <w:sz w:val="22"/>
          <w:szCs w:val="22"/>
        </w:rPr>
        <w:t xml:space="preserve"> be held at a 0% increase from FY2016-17. </w:t>
      </w:r>
    </w:p>
    <w:p w14:paraId="0492363D" w14:textId="5F629806" w:rsidR="00820730" w:rsidRDefault="00FF2039" w:rsidP="00FF2039">
      <w:pPr>
        <w:pStyle w:val="ListParagraph"/>
        <w:numPr>
          <w:ilvl w:val="1"/>
          <w:numId w:val="7"/>
        </w:numPr>
        <w:jc w:val="both"/>
        <w:rPr>
          <w:rFonts w:ascii="Arial" w:hAnsi="Arial" w:cs="Arial"/>
          <w:sz w:val="22"/>
          <w:szCs w:val="22"/>
        </w:rPr>
      </w:pPr>
      <w:r w:rsidRPr="00FF2039">
        <w:rPr>
          <w:rFonts w:ascii="Arial" w:hAnsi="Arial" w:cs="Arial"/>
          <w:sz w:val="22"/>
          <w:szCs w:val="22"/>
        </w:rPr>
        <w:t xml:space="preserve">FY2017-18 Segregated Fees </w:t>
      </w:r>
      <w:r w:rsidR="00F733EB">
        <w:rPr>
          <w:rFonts w:ascii="Arial" w:hAnsi="Arial" w:cs="Arial"/>
          <w:sz w:val="22"/>
          <w:szCs w:val="22"/>
        </w:rPr>
        <w:t>will be</w:t>
      </w:r>
      <w:r w:rsidRPr="00FF2039">
        <w:rPr>
          <w:rFonts w:ascii="Arial" w:hAnsi="Arial" w:cs="Arial"/>
          <w:sz w:val="22"/>
          <w:szCs w:val="22"/>
        </w:rPr>
        <w:t xml:space="preserve"> held at a 0% increase from FY2016-17 levels except for previously approved increases that are associated with major capital projects (REC Center Addition and Fieldhouse).</w:t>
      </w:r>
    </w:p>
    <w:p w14:paraId="6CB8630B" w14:textId="646EFA44" w:rsidR="00FF2039" w:rsidRPr="00FF2039" w:rsidRDefault="00FF2039" w:rsidP="00FF2039">
      <w:pPr>
        <w:pStyle w:val="ListParagraph"/>
        <w:numPr>
          <w:ilvl w:val="1"/>
          <w:numId w:val="7"/>
        </w:numPr>
        <w:jc w:val="both"/>
        <w:rPr>
          <w:rFonts w:ascii="Arial" w:hAnsi="Arial" w:cs="Arial"/>
          <w:sz w:val="22"/>
          <w:szCs w:val="22"/>
        </w:rPr>
      </w:pPr>
      <w:r>
        <w:rPr>
          <w:rFonts w:ascii="Arial" w:hAnsi="Arial" w:cs="Arial"/>
          <w:sz w:val="22"/>
          <w:szCs w:val="22"/>
        </w:rPr>
        <w:t>FY2017-18 Special Course Fees should be held constant from FY2016-17 levels unless detailed justification related to mandated costs is provided for any</w:t>
      </w:r>
      <w:r w:rsidR="00F733EB">
        <w:rPr>
          <w:rFonts w:ascii="Arial" w:hAnsi="Arial" w:cs="Arial"/>
          <w:sz w:val="22"/>
          <w:szCs w:val="22"/>
        </w:rPr>
        <w:t xml:space="preserve"> proposed</w:t>
      </w:r>
      <w:r>
        <w:rPr>
          <w:rFonts w:ascii="Arial" w:hAnsi="Arial" w:cs="Arial"/>
          <w:sz w:val="22"/>
          <w:szCs w:val="22"/>
        </w:rPr>
        <w:t xml:space="preserve"> increases to the fee. </w:t>
      </w:r>
    </w:p>
    <w:p w14:paraId="0492363E" w14:textId="77777777" w:rsidR="00820730" w:rsidRPr="00FF2039" w:rsidRDefault="00820730" w:rsidP="00F6027D">
      <w:pPr>
        <w:rPr>
          <w:rFonts w:ascii="Arial" w:hAnsi="Arial" w:cs="Arial"/>
          <w:sz w:val="22"/>
          <w:szCs w:val="22"/>
        </w:rPr>
      </w:pPr>
    </w:p>
    <w:p w14:paraId="04923640" w14:textId="1DA904A5" w:rsidR="00820730" w:rsidRPr="009778C3" w:rsidRDefault="00820730" w:rsidP="005238FD">
      <w:pPr>
        <w:pStyle w:val="ListParagraph"/>
        <w:numPr>
          <w:ilvl w:val="0"/>
          <w:numId w:val="7"/>
        </w:numPr>
        <w:jc w:val="both"/>
        <w:rPr>
          <w:rFonts w:ascii="Arial" w:hAnsi="Arial" w:cs="Arial"/>
          <w:b/>
          <w:sz w:val="22"/>
          <w:szCs w:val="22"/>
        </w:rPr>
      </w:pPr>
      <w:r w:rsidRPr="009778C3">
        <w:rPr>
          <w:rFonts w:ascii="Arial" w:hAnsi="Arial" w:cs="Arial"/>
          <w:b/>
          <w:sz w:val="22"/>
          <w:szCs w:val="22"/>
        </w:rPr>
        <w:t>Fringe Benefits</w:t>
      </w:r>
    </w:p>
    <w:p w14:paraId="273454E1" w14:textId="77777777" w:rsidR="005238FD" w:rsidRPr="00FF2039" w:rsidRDefault="005238FD" w:rsidP="005238FD">
      <w:pPr>
        <w:pStyle w:val="ListParagraph"/>
        <w:jc w:val="both"/>
        <w:rPr>
          <w:rFonts w:ascii="Arial" w:hAnsi="Arial" w:cs="Arial"/>
          <w:b/>
          <w:sz w:val="22"/>
          <w:szCs w:val="22"/>
          <w:u w:val="single"/>
        </w:rPr>
      </w:pPr>
    </w:p>
    <w:p w14:paraId="04923641" w14:textId="1AE4078D" w:rsidR="00820730" w:rsidRPr="00FF2039" w:rsidRDefault="00820730" w:rsidP="005238FD">
      <w:pPr>
        <w:pStyle w:val="ListParagraph"/>
        <w:numPr>
          <w:ilvl w:val="1"/>
          <w:numId w:val="7"/>
        </w:numPr>
        <w:rPr>
          <w:rFonts w:ascii="Arial" w:hAnsi="Arial" w:cs="Arial"/>
          <w:sz w:val="22"/>
          <w:szCs w:val="22"/>
        </w:rPr>
      </w:pPr>
      <w:r w:rsidRPr="00FF2039">
        <w:rPr>
          <w:rFonts w:ascii="Arial" w:hAnsi="Arial" w:cs="Arial"/>
          <w:sz w:val="22"/>
          <w:szCs w:val="22"/>
        </w:rPr>
        <w:t>For currently filled position</w:t>
      </w:r>
      <w:r w:rsidR="00F733EB">
        <w:rPr>
          <w:rFonts w:ascii="Arial" w:hAnsi="Arial" w:cs="Arial"/>
          <w:sz w:val="22"/>
          <w:szCs w:val="22"/>
        </w:rPr>
        <w:t>s, use a rate that reflects actual</w:t>
      </w:r>
      <w:r w:rsidRPr="00FF2039">
        <w:rPr>
          <w:rFonts w:ascii="Arial" w:hAnsi="Arial" w:cs="Arial"/>
          <w:sz w:val="22"/>
          <w:szCs w:val="22"/>
        </w:rPr>
        <w:t xml:space="preserve"> costs.  For vacant positions, please use</w:t>
      </w:r>
      <w:r w:rsidR="004F562F" w:rsidRPr="00FF2039">
        <w:rPr>
          <w:rFonts w:ascii="Arial" w:hAnsi="Arial" w:cs="Arial"/>
          <w:sz w:val="22"/>
          <w:szCs w:val="22"/>
        </w:rPr>
        <w:t>:</w:t>
      </w:r>
    </w:p>
    <w:p w14:paraId="44F4712B" w14:textId="1E1AE1CD" w:rsidR="001D2038" w:rsidRPr="00FF2039" w:rsidRDefault="001D2038" w:rsidP="000E6316">
      <w:pPr>
        <w:rPr>
          <w:rFonts w:ascii="Arial" w:hAnsi="Arial" w:cs="Arial"/>
          <w:sz w:val="22"/>
          <w:szCs w:val="22"/>
        </w:rPr>
      </w:pPr>
    </w:p>
    <w:tbl>
      <w:tblPr>
        <w:tblStyle w:val="TableGrid"/>
        <w:tblW w:w="0" w:type="auto"/>
        <w:jc w:val="center"/>
        <w:tblLook w:val="04A0" w:firstRow="1" w:lastRow="0" w:firstColumn="1" w:lastColumn="0" w:noHBand="0" w:noVBand="1"/>
      </w:tblPr>
      <w:tblGrid>
        <w:gridCol w:w="5485"/>
        <w:gridCol w:w="1656"/>
      </w:tblGrid>
      <w:tr w:rsidR="00F733EB" w:rsidRPr="00FF2039" w14:paraId="073EF22C" w14:textId="6A69EBD7" w:rsidTr="00F733EB">
        <w:trPr>
          <w:trHeight w:val="199"/>
          <w:jc w:val="center"/>
        </w:trPr>
        <w:tc>
          <w:tcPr>
            <w:tcW w:w="5485" w:type="dxa"/>
          </w:tcPr>
          <w:p w14:paraId="1A2136C5" w14:textId="7D8D15BB" w:rsidR="00F733EB" w:rsidRPr="00FF2039" w:rsidRDefault="00F733EB" w:rsidP="00F733EB">
            <w:pPr>
              <w:rPr>
                <w:rFonts w:ascii="Arial" w:hAnsi="Arial" w:cs="Arial"/>
                <w:b/>
                <w:sz w:val="22"/>
                <w:szCs w:val="22"/>
              </w:rPr>
            </w:pPr>
            <w:r w:rsidRPr="00FF2039">
              <w:rPr>
                <w:rFonts w:ascii="Arial" w:hAnsi="Arial" w:cs="Arial"/>
                <w:b/>
                <w:sz w:val="22"/>
                <w:szCs w:val="22"/>
              </w:rPr>
              <w:t>Staff Type</w:t>
            </w:r>
          </w:p>
        </w:tc>
        <w:tc>
          <w:tcPr>
            <w:tcW w:w="1656" w:type="dxa"/>
          </w:tcPr>
          <w:p w14:paraId="6FF9ED99" w14:textId="0EC505B5" w:rsidR="00F733EB" w:rsidRPr="00FF2039" w:rsidRDefault="00F733EB" w:rsidP="00F733EB">
            <w:pPr>
              <w:jc w:val="center"/>
              <w:rPr>
                <w:rFonts w:ascii="Arial" w:hAnsi="Arial" w:cs="Arial"/>
                <w:b/>
                <w:sz w:val="22"/>
                <w:szCs w:val="22"/>
              </w:rPr>
            </w:pPr>
            <w:r w:rsidRPr="00FF2039">
              <w:rPr>
                <w:rFonts w:ascii="Arial" w:hAnsi="Arial" w:cs="Arial"/>
                <w:b/>
                <w:sz w:val="22"/>
                <w:szCs w:val="22"/>
              </w:rPr>
              <w:t>Rate</w:t>
            </w:r>
          </w:p>
        </w:tc>
      </w:tr>
      <w:tr w:rsidR="00F733EB" w:rsidRPr="00FF2039" w14:paraId="4E4A2256" w14:textId="433F9D3D" w:rsidTr="00F733EB">
        <w:trPr>
          <w:trHeight w:val="199"/>
          <w:jc w:val="center"/>
        </w:trPr>
        <w:tc>
          <w:tcPr>
            <w:tcW w:w="5485" w:type="dxa"/>
          </w:tcPr>
          <w:p w14:paraId="77A9F5DD" w14:textId="76BF1FE9" w:rsidR="00F733EB" w:rsidRPr="00F733EB" w:rsidRDefault="00F733EB" w:rsidP="00F733EB">
            <w:pPr>
              <w:rPr>
                <w:rFonts w:ascii="Arial" w:hAnsi="Arial" w:cs="Arial"/>
                <w:sz w:val="22"/>
                <w:szCs w:val="22"/>
              </w:rPr>
            </w:pPr>
            <w:r w:rsidRPr="00F733EB">
              <w:rPr>
                <w:rFonts w:ascii="Arial" w:hAnsi="Arial" w:cs="Arial"/>
                <w:sz w:val="22"/>
                <w:szCs w:val="22"/>
              </w:rPr>
              <w:t>Academic Staff</w:t>
            </w:r>
          </w:p>
        </w:tc>
        <w:tc>
          <w:tcPr>
            <w:tcW w:w="1656" w:type="dxa"/>
          </w:tcPr>
          <w:p w14:paraId="0A41B0BE" w14:textId="3778B218" w:rsidR="00F733EB" w:rsidRPr="00F733EB" w:rsidRDefault="00F733EB" w:rsidP="009778C3">
            <w:pPr>
              <w:jc w:val="right"/>
              <w:rPr>
                <w:rFonts w:ascii="Arial" w:hAnsi="Arial" w:cs="Arial"/>
                <w:sz w:val="22"/>
                <w:szCs w:val="22"/>
              </w:rPr>
            </w:pPr>
            <w:r w:rsidRPr="00F733EB">
              <w:rPr>
                <w:rFonts w:ascii="Arial" w:hAnsi="Arial" w:cs="Arial"/>
                <w:sz w:val="22"/>
                <w:szCs w:val="22"/>
              </w:rPr>
              <w:t>48.00%</w:t>
            </w:r>
          </w:p>
        </w:tc>
      </w:tr>
      <w:tr w:rsidR="00F733EB" w:rsidRPr="00FF2039" w14:paraId="2A0BB486" w14:textId="1996FF55" w:rsidTr="00F733EB">
        <w:trPr>
          <w:trHeight w:val="199"/>
          <w:jc w:val="center"/>
        </w:trPr>
        <w:tc>
          <w:tcPr>
            <w:tcW w:w="5485" w:type="dxa"/>
          </w:tcPr>
          <w:p w14:paraId="62D5402C" w14:textId="0DD0E057" w:rsidR="00F733EB" w:rsidRPr="00F733EB" w:rsidRDefault="00F733EB" w:rsidP="00F733EB">
            <w:pPr>
              <w:rPr>
                <w:rFonts w:ascii="Arial" w:hAnsi="Arial" w:cs="Arial"/>
                <w:sz w:val="22"/>
                <w:szCs w:val="22"/>
              </w:rPr>
            </w:pPr>
            <w:r w:rsidRPr="00F733EB">
              <w:rPr>
                <w:rFonts w:ascii="Arial" w:hAnsi="Arial" w:cs="Arial"/>
                <w:sz w:val="22"/>
                <w:szCs w:val="22"/>
              </w:rPr>
              <w:t>Graduate Assistants (0% during the academic year)</w:t>
            </w:r>
          </w:p>
        </w:tc>
        <w:tc>
          <w:tcPr>
            <w:tcW w:w="1656" w:type="dxa"/>
          </w:tcPr>
          <w:p w14:paraId="7559270D" w14:textId="2C55052F" w:rsidR="00F733EB" w:rsidRPr="00F733EB" w:rsidRDefault="00F733EB" w:rsidP="009778C3">
            <w:pPr>
              <w:jc w:val="right"/>
              <w:rPr>
                <w:rFonts w:ascii="Arial" w:hAnsi="Arial" w:cs="Arial"/>
                <w:sz w:val="22"/>
                <w:szCs w:val="22"/>
              </w:rPr>
            </w:pPr>
            <w:r w:rsidRPr="00F733EB">
              <w:rPr>
                <w:rFonts w:ascii="Arial" w:hAnsi="Arial" w:cs="Arial"/>
                <w:sz w:val="22"/>
                <w:szCs w:val="22"/>
              </w:rPr>
              <w:t>7.65%</w:t>
            </w:r>
          </w:p>
        </w:tc>
      </w:tr>
      <w:tr w:rsidR="00F733EB" w:rsidRPr="00FF2039" w14:paraId="01DAD2A4" w14:textId="11472801" w:rsidTr="00F733EB">
        <w:trPr>
          <w:trHeight w:val="199"/>
          <w:jc w:val="center"/>
        </w:trPr>
        <w:tc>
          <w:tcPr>
            <w:tcW w:w="5485" w:type="dxa"/>
          </w:tcPr>
          <w:p w14:paraId="550026BC" w14:textId="750B1276" w:rsidR="00F733EB" w:rsidRPr="00F733EB" w:rsidRDefault="00F733EB" w:rsidP="00F733EB">
            <w:pPr>
              <w:rPr>
                <w:rFonts w:ascii="Arial" w:hAnsi="Arial" w:cs="Arial"/>
                <w:sz w:val="22"/>
                <w:szCs w:val="22"/>
              </w:rPr>
            </w:pPr>
            <w:r w:rsidRPr="00F733EB">
              <w:rPr>
                <w:rFonts w:ascii="Arial" w:hAnsi="Arial" w:cs="Arial"/>
                <w:sz w:val="22"/>
                <w:szCs w:val="22"/>
              </w:rPr>
              <w:t xml:space="preserve">University Staff </w:t>
            </w:r>
          </w:p>
        </w:tc>
        <w:tc>
          <w:tcPr>
            <w:tcW w:w="1656" w:type="dxa"/>
          </w:tcPr>
          <w:p w14:paraId="363DB44C" w14:textId="54B493F8" w:rsidR="00F733EB" w:rsidRPr="00F733EB" w:rsidRDefault="00F733EB" w:rsidP="009778C3">
            <w:pPr>
              <w:jc w:val="right"/>
              <w:rPr>
                <w:rFonts w:ascii="Arial" w:hAnsi="Arial" w:cs="Arial"/>
                <w:sz w:val="22"/>
                <w:szCs w:val="22"/>
              </w:rPr>
            </w:pPr>
            <w:r w:rsidRPr="00F733EB">
              <w:rPr>
                <w:rFonts w:ascii="Arial" w:hAnsi="Arial" w:cs="Arial"/>
                <w:sz w:val="22"/>
                <w:szCs w:val="22"/>
              </w:rPr>
              <w:t>68.51%</w:t>
            </w:r>
          </w:p>
        </w:tc>
      </w:tr>
      <w:tr w:rsidR="00F733EB" w:rsidRPr="00FF2039" w14:paraId="523111C2" w14:textId="4891057C" w:rsidTr="00F733EB">
        <w:trPr>
          <w:trHeight w:val="199"/>
          <w:jc w:val="center"/>
        </w:trPr>
        <w:tc>
          <w:tcPr>
            <w:tcW w:w="5485" w:type="dxa"/>
          </w:tcPr>
          <w:p w14:paraId="145D1666" w14:textId="0041BAB6" w:rsidR="00F733EB" w:rsidRPr="00F733EB" w:rsidRDefault="00F733EB" w:rsidP="00F733EB">
            <w:pPr>
              <w:rPr>
                <w:rFonts w:ascii="Arial" w:hAnsi="Arial" w:cs="Arial"/>
                <w:sz w:val="22"/>
                <w:szCs w:val="22"/>
              </w:rPr>
            </w:pPr>
            <w:r w:rsidRPr="00F733EB">
              <w:rPr>
                <w:rFonts w:ascii="Arial" w:hAnsi="Arial" w:cs="Arial"/>
                <w:sz w:val="22"/>
                <w:szCs w:val="22"/>
              </w:rPr>
              <w:t>LTE</w:t>
            </w:r>
          </w:p>
        </w:tc>
        <w:tc>
          <w:tcPr>
            <w:tcW w:w="1656" w:type="dxa"/>
          </w:tcPr>
          <w:p w14:paraId="783A3985" w14:textId="2E9D7E44" w:rsidR="00F733EB" w:rsidRPr="00F733EB" w:rsidRDefault="00F733EB" w:rsidP="009778C3">
            <w:pPr>
              <w:jc w:val="right"/>
              <w:rPr>
                <w:rFonts w:ascii="Arial" w:hAnsi="Arial" w:cs="Arial"/>
                <w:sz w:val="22"/>
                <w:szCs w:val="22"/>
              </w:rPr>
            </w:pPr>
            <w:r w:rsidRPr="00F733EB">
              <w:rPr>
                <w:rFonts w:ascii="Arial" w:hAnsi="Arial" w:cs="Arial"/>
                <w:sz w:val="22"/>
                <w:szCs w:val="22"/>
              </w:rPr>
              <w:t>16.75%</w:t>
            </w:r>
          </w:p>
        </w:tc>
      </w:tr>
      <w:tr w:rsidR="00F733EB" w:rsidRPr="00FF2039" w14:paraId="17A25AD4" w14:textId="64FD3ED3" w:rsidTr="00F733EB">
        <w:trPr>
          <w:trHeight w:val="213"/>
          <w:jc w:val="center"/>
        </w:trPr>
        <w:tc>
          <w:tcPr>
            <w:tcW w:w="5485" w:type="dxa"/>
          </w:tcPr>
          <w:p w14:paraId="71F9CFB6" w14:textId="6675446F" w:rsidR="00F733EB" w:rsidRPr="00F733EB" w:rsidRDefault="00F733EB" w:rsidP="00F733EB">
            <w:pPr>
              <w:rPr>
                <w:rFonts w:ascii="Arial" w:hAnsi="Arial" w:cs="Arial"/>
                <w:sz w:val="22"/>
                <w:szCs w:val="22"/>
              </w:rPr>
            </w:pPr>
            <w:r w:rsidRPr="00F733EB">
              <w:rPr>
                <w:rFonts w:ascii="Arial" w:hAnsi="Arial" w:cs="Arial"/>
                <w:sz w:val="22"/>
                <w:szCs w:val="22"/>
              </w:rPr>
              <w:t>Student Help (0% during the academic year)</w:t>
            </w:r>
          </w:p>
        </w:tc>
        <w:tc>
          <w:tcPr>
            <w:tcW w:w="1656" w:type="dxa"/>
          </w:tcPr>
          <w:p w14:paraId="42C0F0DB" w14:textId="6B01C321" w:rsidR="00F733EB" w:rsidRPr="00F733EB" w:rsidRDefault="00F733EB" w:rsidP="009778C3">
            <w:pPr>
              <w:jc w:val="right"/>
              <w:rPr>
                <w:rFonts w:ascii="Arial" w:hAnsi="Arial" w:cs="Arial"/>
                <w:sz w:val="22"/>
                <w:szCs w:val="22"/>
              </w:rPr>
            </w:pPr>
            <w:r w:rsidRPr="00F733EB">
              <w:rPr>
                <w:rFonts w:ascii="Arial" w:hAnsi="Arial" w:cs="Arial"/>
                <w:sz w:val="22"/>
                <w:szCs w:val="22"/>
              </w:rPr>
              <w:t>7.65%</w:t>
            </w:r>
          </w:p>
        </w:tc>
      </w:tr>
    </w:tbl>
    <w:p w14:paraId="2112C8C7" w14:textId="77777777" w:rsidR="009F40C7" w:rsidRDefault="009F40C7" w:rsidP="0055590C">
      <w:pPr>
        <w:rPr>
          <w:rFonts w:ascii="Arial" w:hAnsi="Arial" w:cs="Arial"/>
          <w:sz w:val="22"/>
          <w:szCs w:val="22"/>
        </w:rPr>
      </w:pPr>
    </w:p>
    <w:p w14:paraId="55D0DBA3" w14:textId="77777777" w:rsidR="006147A7" w:rsidRPr="00FF2039" w:rsidRDefault="006147A7" w:rsidP="0055590C">
      <w:pPr>
        <w:rPr>
          <w:rFonts w:ascii="Arial" w:hAnsi="Arial" w:cs="Arial"/>
          <w:sz w:val="22"/>
          <w:szCs w:val="22"/>
        </w:rPr>
      </w:pPr>
    </w:p>
    <w:p w14:paraId="04923649" w14:textId="69863237" w:rsidR="00820730" w:rsidRPr="009778C3" w:rsidRDefault="00820730" w:rsidP="005238FD">
      <w:pPr>
        <w:pStyle w:val="ListParagraph"/>
        <w:numPr>
          <w:ilvl w:val="0"/>
          <w:numId w:val="7"/>
        </w:numPr>
        <w:jc w:val="both"/>
        <w:rPr>
          <w:rFonts w:ascii="Arial" w:hAnsi="Arial" w:cs="Arial"/>
          <w:b/>
          <w:sz w:val="22"/>
          <w:szCs w:val="22"/>
        </w:rPr>
      </w:pPr>
      <w:r w:rsidRPr="009778C3">
        <w:rPr>
          <w:rFonts w:ascii="Arial" w:hAnsi="Arial" w:cs="Arial"/>
          <w:b/>
          <w:sz w:val="22"/>
          <w:szCs w:val="22"/>
        </w:rPr>
        <w:lastRenderedPageBreak/>
        <w:t>Health Insurance</w:t>
      </w:r>
      <w:r w:rsidR="00C91AAC" w:rsidRPr="009778C3">
        <w:rPr>
          <w:rFonts w:ascii="Arial" w:hAnsi="Arial" w:cs="Arial"/>
          <w:b/>
          <w:sz w:val="22"/>
          <w:szCs w:val="22"/>
        </w:rPr>
        <w:t>, ICI,</w:t>
      </w:r>
      <w:r w:rsidRPr="009778C3">
        <w:rPr>
          <w:rFonts w:ascii="Arial" w:hAnsi="Arial" w:cs="Arial"/>
          <w:b/>
          <w:sz w:val="22"/>
          <w:szCs w:val="22"/>
        </w:rPr>
        <w:t xml:space="preserve"> </w:t>
      </w:r>
      <w:r w:rsidR="00FB0DBF" w:rsidRPr="009778C3">
        <w:rPr>
          <w:rFonts w:ascii="Arial" w:hAnsi="Arial" w:cs="Arial"/>
          <w:b/>
          <w:sz w:val="22"/>
          <w:szCs w:val="22"/>
        </w:rPr>
        <w:t>and Retirement</w:t>
      </w:r>
    </w:p>
    <w:p w14:paraId="0492364A" w14:textId="77777777" w:rsidR="00820730" w:rsidRPr="00FF2039" w:rsidRDefault="00820730" w:rsidP="003478FE">
      <w:pPr>
        <w:spacing w:line="120" w:lineRule="auto"/>
        <w:jc w:val="both"/>
        <w:rPr>
          <w:rFonts w:ascii="Arial" w:hAnsi="Arial" w:cs="Arial"/>
          <w:sz w:val="22"/>
          <w:szCs w:val="22"/>
        </w:rPr>
      </w:pPr>
    </w:p>
    <w:p w14:paraId="6C4F983E" w14:textId="77777777" w:rsidR="00C91AAC" w:rsidRPr="00FF2039" w:rsidRDefault="00C91AAC" w:rsidP="000B6B99">
      <w:pPr>
        <w:ind w:firstLine="720"/>
        <w:jc w:val="both"/>
        <w:rPr>
          <w:rFonts w:ascii="Arial" w:hAnsi="Arial" w:cs="Arial"/>
          <w:sz w:val="22"/>
          <w:szCs w:val="22"/>
        </w:rPr>
      </w:pPr>
      <w:r w:rsidRPr="00FF2039">
        <w:rPr>
          <w:rFonts w:ascii="Arial" w:hAnsi="Arial" w:cs="Arial"/>
          <w:sz w:val="22"/>
          <w:szCs w:val="22"/>
        </w:rPr>
        <w:t>Effective January 1, 2017:</w:t>
      </w:r>
    </w:p>
    <w:p w14:paraId="7ECF7B70" w14:textId="5FF8A96F" w:rsidR="009F40C7" w:rsidRPr="009F40C7" w:rsidRDefault="00C91AAC" w:rsidP="009F40C7">
      <w:pPr>
        <w:pStyle w:val="ListParagraph"/>
        <w:numPr>
          <w:ilvl w:val="0"/>
          <w:numId w:val="8"/>
        </w:numPr>
        <w:jc w:val="both"/>
        <w:rPr>
          <w:rFonts w:ascii="Arial" w:hAnsi="Arial" w:cs="Arial"/>
          <w:sz w:val="22"/>
          <w:szCs w:val="22"/>
        </w:rPr>
      </w:pPr>
      <w:r w:rsidRPr="00FF2039">
        <w:rPr>
          <w:rFonts w:ascii="Arial" w:hAnsi="Arial" w:cs="Arial"/>
          <w:sz w:val="22"/>
          <w:szCs w:val="22"/>
        </w:rPr>
        <w:t xml:space="preserve">Health Insurance premiums for Gundersen will increase by 2% and Health Traditions will increase 4.03%.   </w:t>
      </w:r>
    </w:p>
    <w:p w14:paraId="71DECBFB" w14:textId="77777777" w:rsidR="00C91AAC" w:rsidRPr="00FF2039" w:rsidRDefault="00C91AAC" w:rsidP="000B6B99">
      <w:pPr>
        <w:pStyle w:val="ListParagraph"/>
        <w:numPr>
          <w:ilvl w:val="0"/>
          <w:numId w:val="8"/>
        </w:numPr>
        <w:jc w:val="both"/>
        <w:rPr>
          <w:rFonts w:ascii="Arial" w:hAnsi="Arial" w:cs="Arial"/>
          <w:sz w:val="22"/>
          <w:szCs w:val="22"/>
        </w:rPr>
      </w:pPr>
      <w:r w:rsidRPr="00FF2039">
        <w:rPr>
          <w:rFonts w:ascii="Arial" w:hAnsi="Arial" w:cs="Arial"/>
          <w:sz w:val="22"/>
          <w:szCs w:val="22"/>
        </w:rPr>
        <w:t xml:space="preserve">Income Continuation insurance will increase by 20%. </w:t>
      </w:r>
    </w:p>
    <w:p w14:paraId="1D64EC86" w14:textId="600B6727" w:rsidR="00C91AAC" w:rsidRPr="00FF2039" w:rsidRDefault="009778C3" w:rsidP="000B6B99">
      <w:pPr>
        <w:pStyle w:val="ListParagraph"/>
        <w:numPr>
          <w:ilvl w:val="0"/>
          <w:numId w:val="8"/>
        </w:numPr>
        <w:jc w:val="both"/>
        <w:rPr>
          <w:rFonts w:ascii="Arial" w:hAnsi="Arial" w:cs="Arial"/>
          <w:sz w:val="22"/>
          <w:szCs w:val="22"/>
        </w:rPr>
      </w:pPr>
      <w:r>
        <w:rPr>
          <w:rFonts w:ascii="Arial" w:hAnsi="Arial" w:cs="Arial"/>
          <w:sz w:val="22"/>
          <w:szCs w:val="22"/>
        </w:rPr>
        <w:t xml:space="preserve">Employee </w:t>
      </w:r>
      <w:r w:rsidR="006B1A4D">
        <w:rPr>
          <w:rFonts w:ascii="Arial" w:hAnsi="Arial" w:cs="Arial"/>
          <w:sz w:val="22"/>
          <w:szCs w:val="22"/>
        </w:rPr>
        <w:t xml:space="preserve">and Employer </w:t>
      </w:r>
      <w:r>
        <w:rPr>
          <w:rFonts w:ascii="Arial" w:hAnsi="Arial" w:cs="Arial"/>
          <w:sz w:val="22"/>
          <w:szCs w:val="22"/>
        </w:rPr>
        <w:t xml:space="preserve">retirement contribution </w:t>
      </w:r>
      <w:r w:rsidR="006B1A4D">
        <w:rPr>
          <w:rFonts w:ascii="Arial" w:hAnsi="Arial" w:cs="Arial"/>
          <w:sz w:val="22"/>
          <w:szCs w:val="22"/>
        </w:rPr>
        <w:t>rates will increase by 0.20%.</w:t>
      </w:r>
    </w:p>
    <w:p w14:paraId="0492364C" w14:textId="77777777" w:rsidR="00820730" w:rsidRPr="00FF2039" w:rsidRDefault="00820730" w:rsidP="00C91AAC">
      <w:pPr>
        <w:ind w:left="720"/>
        <w:jc w:val="both"/>
        <w:rPr>
          <w:rFonts w:ascii="Arial" w:hAnsi="Arial" w:cs="Arial"/>
          <w:sz w:val="22"/>
          <w:szCs w:val="22"/>
        </w:rPr>
      </w:pPr>
    </w:p>
    <w:p w14:paraId="14562ECE" w14:textId="46AC53AA" w:rsidR="005238FD" w:rsidRPr="009778C3" w:rsidRDefault="004F562F" w:rsidP="005238FD">
      <w:pPr>
        <w:pStyle w:val="ListParagraph"/>
        <w:numPr>
          <w:ilvl w:val="0"/>
          <w:numId w:val="7"/>
        </w:numPr>
        <w:jc w:val="both"/>
        <w:rPr>
          <w:rFonts w:ascii="Arial" w:hAnsi="Arial" w:cs="Arial"/>
          <w:b/>
          <w:sz w:val="22"/>
          <w:szCs w:val="22"/>
        </w:rPr>
      </w:pPr>
      <w:r w:rsidRPr="009778C3">
        <w:rPr>
          <w:rFonts w:ascii="Arial" w:hAnsi="Arial" w:cs="Arial"/>
          <w:b/>
          <w:sz w:val="22"/>
          <w:szCs w:val="22"/>
        </w:rPr>
        <w:t>Compensation</w:t>
      </w:r>
      <w:r w:rsidR="00E314C0" w:rsidRPr="009778C3">
        <w:rPr>
          <w:rFonts w:ascii="Arial" w:hAnsi="Arial" w:cs="Arial"/>
          <w:b/>
          <w:sz w:val="22"/>
          <w:szCs w:val="22"/>
        </w:rPr>
        <w:t xml:space="preserve"> Plan</w:t>
      </w:r>
    </w:p>
    <w:p w14:paraId="3754AE37" w14:textId="77777777" w:rsidR="005238FD" w:rsidRPr="00FF2039" w:rsidRDefault="005238FD" w:rsidP="005238FD">
      <w:pPr>
        <w:pStyle w:val="ListParagraph"/>
        <w:jc w:val="both"/>
        <w:rPr>
          <w:rFonts w:ascii="Arial" w:hAnsi="Arial" w:cs="Arial"/>
          <w:b/>
          <w:sz w:val="22"/>
          <w:szCs w:val="22"/>
          <w:u w:val="single"/>
        </w:rPr>
      </w:pPr>
    </w:p>
    <w:p w14:paraId="016E7FED" w14:textId="034B52CF" w:rsidR="00C91AAC" w:rsidRPr="00FF2039" w:rsidRDefault="00C91AAC" w:rsidP="007F26ED">
      <w:pPr>
        <w:ind w:left="720"/>
        <w:jc w:val="both"/>
        <w:rPr>
          <w:rFonts w:ascii="Arial" w:hAnsi="Arial" w:cs="Arial"/>
          <w:sz w:val="22"/>
          <w:szCs w:val="22"/>
        </w:rPr>
      </w:pPr>
      <w:r w:rsidRPr="00FF2039">
        <w:rPr>
          <w:rFonts w:ascii="Arial" w:hAnsi="Arial" w:cs="Arial"/>
          <w:sz w:val="22"/>
          <w:szCs w:val="22"/>
        </w:rPr>
        <w:t xml:space="preserve">A 2% compensation plan (1% state-funded and </w:t>
      </w:r>
      <w:r w:rsidR="009778C3">
        <w:rPr>
          <w:rFonts w:ascii="Arial" w:hAnsi="Arial" w:cs="Arial"/>
          <w:sz w:val="22"/>
          <w:szCs w:val="22"/>
        </w:rPr>
        <w:t xml:space="preserve">a 1% UWL </w:t>
      </w:r>
      <w:r w:rsidRPr="00FF2039">
        <w:rPr>
          <w:rFonts w:ascii="Arial" w:hAnsi="Arial" w:cs="Arial"/>
          <w:sz w:val="22"/>
          <w:szCs w:val="22"/>
        </w:rPr>
        <w:t>funded) will be included in all budgets for FY17-18. The planning assumptions for the compensation funded by the state are based on a 1% adjustment for all staff. The compensation funded by UWL will be bas</w:t>
      </w:r>
      <w:r w:rsidR="009778C3">
        <w:rPr>
          <w:rFonts w:ascii="Arial" w:hAnsi="Arial" w:cs="Arial"/>
          <w:sz w:val="22"/>
          <w:szCs w:val="22"/>
        </w:rPr>
        <w:t>ed on an additional 1% for all Graduate A</w:t>
      </w:r>
      <w:r w:rsidR="00F733EB">
        <w:rPr>
          <w:rFonts w:ascii="Arial" w:hAnsi="Arial" w:cs="Arial"/>
          <w:sz w:val="22"/>
          <w:szCs w:val="22"/>
        </w:rPr>
        <w:t xml:space="preserve">ssistant positions, </w:t>
      </w:r>
      <w:r w:rsidRPr="00FF2039">
        <w:rPr>
          <w:rFonts w:ascii="Arial" w:hAnsi="Arial" w:cs="Arial"/>
          <w:sz w:val="22"/>
          <w:szCs w:val="22"/>
        </w:rPr>
        <w:t>for Non-Instructional Academic Staff below 100% of their CUPA comparison</w:t>
      </w:r>
      <w:r w:rsidR="00F733EB">
        <w:rPr>
          <w:rFonts w:ascii="Arial" w:hAnsi="Arial" w:cs="Arial"/>
          <w:sz w:val="22"/>
          <w:szCs w:val="22"/>
        </w:rPr>
        <w:t xml:space="preserve"> and a 1% pool for all Instructional positions to be allocated per the approved PTS model</w:t>
      </w:r>
      <w:r w:rsidRPr="00FF2039">
        <w:rPr>
          <w:rFonts w:ascii="Arial" w:hAnsi="Arial" w:cs="Arial"/>
          <w:sz w:val="22"/>
          <w:szCs w:val="22"/>
        </w:rPr>
        <w:t>. For University Staff, the additional 1% will be applied for the following occupational groups: Administrative</w:t>
      </w:r>
      <w:r w:rsidR="009778C3">
        <w:rPr>
          <w:rFonts w:ascii="Arial" w:hAnsi="Arial" w:cs="Arial"/>
          <w:sz w:val="22"/>
          <w:szCs w:val="22"/>
        </w:rPr>
        <w:t xml:space="preserve"> Support</w:t>
      </w:r>
      <w:r w:rsidRPr="00FF2039">
        <w:rPr>
          <w:rFonts w:ascii="Arial" w:hAnsi="Arial" w:cs="Arial"/>
          <w:sz w:val="22"/>
          <w:szCs w:val="22"/>
        </w:rPr>
        <w:t xml:space="preserve">, Human Resources, Custodial/Grounds, and Facilities. </w:t>
      </w:r>
      <w:r w:rsidR="009778C3">
        <w:rPr>
          <w:rFonts w:ascii="Arial" w:hAnsi="Arial" w:cs="Arial"/>
          <w:sz w:val="22"/>
          <w:szCs w:val="22"/>
        </w:rPr>
        <w:t xml:space="preserve">University Staff in occupational groups for Financial Services, Information Technology, Medical, Police and Power Plant will have the additional 1% compensation plan built into the FY19 budget. </w:t>
      </w:r>
    </w:p>
    <w:p w14:paraId="0492364F" w14:textId="77777777" w:rsidR="00243A35" w:rsidRPr="00FF2039" w:rsidRDefault="00243A35" w:rsidP="004F562F">
      <w:pPr>
        <w:jc w:val="both"/>
        <w:rPr>
          <w:rFonts w:ascii="Arial" w:hAnsi="Arial" w:cs="Arial"/>
          <w:sz w:val="22"/>
          <w:szCs w:val="22"/>
        </w:rPr>
      </w:pPr>
    </w:p>
    <w:p w14:paraId="04923650" w14:textId="2AE40B8E" w:rsidR="00820730" w:rsidRPr="009778C3" w:rsidRDefault="00820730" w:rsidP="005238FD">
      <w:pPr>
        <w:pStyle w:val="ListParagraph"/>
        <w:numPr>
          <w:ilvl w:val="0"/>
          <w:numId w:val="7"/>
        </w:numPr>
        <w:jc w:val="both"/>
        <w:rPr>
          <w:rFonts w:ascii="Arial" w:hAnsi="Arial" w:cs="Arial"/>
          <w:sz w:val="22"/>
          <w:szCs w:val="22"/>
        </w:rPr>
      </w:pPr>
      <w:r w:rsidRPr="009778C3">
        <w:rPr>
          <w:rFonts w:ascii="Arial" w:hAnsi="Arial" w:cs="Arial"/>
          <w:b/>
          <w:sz w:val="22"/>
          <w:szCs w:val="22"/>
        </w:rPr>
        <w:t>Student Help</w:t>
      </w:r>
    </w:p>
    <w:p w14:paraId="04923651" w14:textId="77777777" w:rsidR="00820730" w:rsidRPr="00FF2039" w:rsidRDefault="00820730" w:rsidP="0001475D">
      <w:pPr>
        <w:ind w:left="288"/>
        <w:jc w:val="both"/>
        <w:rPr>
          <w:rFonts w:ascii="Arial" w:hAnsi="Arial" w:cs="Arial"/>
          <w:sz w:val="22"/>
          <w:szCs w:val="22"/>
        </w:rPr>
      </w:pPr>
    </w:p>
    <w:p w14:paraId="04923652" w14:textId="05C2F9BF" w:rsidR="009A15CB" w:rsidRPr="00FF2039" w:rsidRDefault="00820730" w:rsidP="000B6B99">
      <w:pPr>
        <w:ind w:left="720"/>
        <w:jc w:val="both"/>
        <w:rPr>
          <w:rFonts w:ascii="Arial" w:hAnsi="Arial" w:cs="Arial"/>
          <w:sz w:val="22"/>
          <w:szCs w:val="22"/>
        </w:rPr>
      </w:pPr>
      <w:r w:rsidRPr="00FF2039">
        <w:rPr>
          <w:rFonts w:ascii="Arial" w:hAnsi="Arial" w:cs="Arial"/>
          <w:sz w:val="22"/>
          <w:szCs w:val="22"/>
        </w:rPr>
        <w:t>The student help minimum rate is $7.25 per hour. The stu</w:t>
      </w:r>
      <w:r w:rsidR="00206D59" w:rsidRPr="00FF2039">
        <w:rPr>
          <w:rFonts w:ascii="Arial" w:hAnsi="Arial" w:cs="Arial"/>
          <w:sz w:val="22"/>
          <w:szCs w:val="22"/>
        </w:rPr>
        <w:t>den</w:t>
      </w:r>
      <w:r w:rsidR="00D97705" w:rsidRPr="00FF2039">
        <w:rPr>
          <w:rFonts w:ascii="Arial" w:hAnsi="Arial" w:cs="Arial"/>
          <w:sz w:val="22"/>
          <w:szCs w:val="22"/>
        </w:rPr>
        <w:t xml:space="preserve">t payment schedule </w:t>
      </w:r>
      <w:r w:rsidR="00F733EB">
        <w:rPr>
          <w:rFonts w:ascii="Arial" w:hAnsi="Arial" w:cs="Arial"/>
          <w:sz w:val="22"/>
          <w:szCs w:val="22"/>
        </w:rPr>
        <w:t xml:space="preserve">in a department </w:t>
      </w:r>
      <w:r w:rsidR="00D97705" w:rsidRPr="00FF2039">
        <w:rPr>
          <w:rFonts w:ascii="Arial" w:hAnsi="Arial" w:cs="Arial"/>
          <w:sz w:val="22"/>
          <w:szCs w:val="22"/>
        </w:rPr>
        <w:t xml:space="preserve">for </w:t>
      </w:r>
      <w:r w:rsidR="004F562F" w:rsidRPr="00FF2039">
        <w:rPr>
          <w:rFonts w:ascii="Arial" w:hAnsi="Arial" w:cs="Arial"/>
          <w:sz w:val="22"/>
          <w:szCs w:val="22"/>
        </w:rPr>
        <w:t>FY2017-18</w:t>
      </w:r>
      <w:r w:rsidR="00206D59" w:rsidRPr="00FF2039">
        <w:rPr>
          <w:rFonts w:ascii="Arial" w:hAnsi="Arial" w:cs="Arial"/>
          <w:sz w:val="22"/>
          <w:szCs w:val="22"/>
        </w:rPr>
        <w:t xml:space="preserve"> </w:t>
      </w:r>
      <w:r w:rsidRPr="00FF2039">
        <w:rPr>
          <w:rFonts w:ascii="Arial" w:hAnsi="Arial" w:cs="Arial"/>
          <w:sz w:val="22"/>
          <w:szCs w:val="22"/>
        </w:rPr>
        <w:t xml:space="preserve">should </w:t>
      </w:r>
      <w:r w:rsidR="004F562F" w:rsidRPr="00FF2039">
        <w:rPr>
          <w:rFonts w:ascii="Arial" w:hAnsi="Arial" w:cs="Arial"/>
          <w:sz w:val="22"/>
          <w:szCs w:val="22"/>
        </w:rPr>
        <w:t>remain constant from FY2016-17</w:t>
      </w:r>
      <w:r w:rsidRPr="00FF2039">
        <w:rPr>
          <w:rFonts w:ascii="Arial" w:hAnsi="Arial" w:cs="Arial"/>
          <w:sz w:val="22"/>
          <w:szCs w:val="22"/>
        </w:rPr>
        <w:t>.</w:t>
      </w:r>
      <w:r w:rsidR="009778C3">
        <w:rPr>
          <w:rFonts w:ascii="Arial" w:hAnsi="Arial" w:cs="Arial"/>
          <w:sz w:val="22"/>
          <w:szCs w:val="22"/>
        </w:rPr>
        <w:t xml:space="preserve"> For more information regarding pay scales for student help positions, please visit the Human Resources website. </w:t>
      </w:r>
    </w:p>
    <w:p w14:paraId="7EE0F474" w14:textId="77777777" w:rsidR="0001430A" w:rsidRPr="00FF2039" w:rsidRDefault="0001430A" w:rsidP="005238FD">
      <w:pPr>
        <w:jc w:val="both"/>
        <w:rPr>
          <w:rFonts w:ascii="Arial" w:hAnsi="Arial" w:cs="Arial"/>
          <w:sz w:val="22"/>
          <w:szCs w:val="22"/>
        </w:rPr>
      </w:pPr>
    </w:p>
    <w:p w14:paraId="04923654" w14:textId="264E5D02" w:rsidR="00820730" w:rsidRPr="009778C3" w:rsidRDefault="00820730" w:rsidP="005238FD">
      <w:pPr>
        <w:pStyle w:val="ListParagraph"/>
        <w:numPr>
          <w:ilvl w:val="0"/>
          <w:numId w:val="7"/>
        </w:numPr>
        <w:jc w:val="both"/>
        <w:rPr>
          <w:rFonts w:ascii="Arial" w:hAnsi="Arial" w:cs="Arial"/>
          <w:b/>
          <w:sz w:val="22"/>
          <w:szCs w:val="22"/>
        </w:rPr>
      </w:pPr>
      <w:r w:rsidRPr="009778C3">
        <w:rPr>
          <w:rFonts w:ascii="Arial" w:hAnsi="Arial" w:cs="Arial"/>
          <w:b/>
          <w:sz w:val="22"/>
          <w:szCs w:val="22"/>
        </w:rPr>
        <w:t>Graduate Assistants</w:t>
      </w:r>
    </w:p>
    <w:p w14:paraId="04923655" w14:textId="77777777" w:rsidR="00820730" w:rsidRPr="00FF2039" w:rsidRDefault="00820730" w:rsidP="00E57C3F">
      <w:pPr>
        <w:ind w:left="288"/>
        <w:jc w:val="both"/>
        <w:rPr>
          <w:rFonts w:ascii="Arial" w:hAnsi="Arial" w:cs="Arial"/>
          <w:sz w:val="22"/>
          <w:szCs w:val="22"/>
        </w:rPr>
      </w:pPr>
    </w:p>
    <w:p w14:paraId="377B854E" w14:textId="66F2C95E" w:rsidR="00F925A3" w:rsidRPr="00FF2039" w:rsidRDefault="009778C3" w:rsidP="00C91AAC">
      <w:pPr>
        <w:ind w:left="720"/>
        <w:jc w:val="both"/>
        <w:rPr>
          <w:rFonts w:ascii="Arial" w:hAnsi="Arial" w:cs="Arial"/>
          <w:sz w:val="22"/>
          <w:szCs w:val="22"/>
        </w:rPr>
      </w:pPr>
      <w:r>
        <w:rPr>
          <w:rFonts w:ascii="Arial" w:hAnsi="Arial" w:cs="Arial"/>
          <w:sz w:val="22"/>
          <w:szCs w:val="22"/>
        </w:rPr>
        <w:t>Graduate a</w:t>
      </w:r>
      <w:r w:rsidR="00820730" w:rsidRPr="00FF2039">
        <w:rPr>
          <w:rFonts w:ascii="Arial" w:hAnsi="Arial" w:cs="Arial"/>
          <w:sz w:val="22"/>
          <w:szCs w:val="22"/>
        </w:rPr>
        <w:t>ssistantships</w:t>
      </w:r>
      <w:r w:rsidR="00AF329F" w:rsidRPr="00FF2039">
        <w:rPr>
          <w:rFonts w:ascii="Arial" w:hAnsi="Arial" w:cs="Arial"/>
          <w:sz w:val="22"/>
          <w:szCs w:val="22"/>
        </w:rPr>
        <w:t xml:space="preserve"> (GA’s)</w:t>
      </w:r>
      <w:r w:rsidR="00820730" w:rsidRPr="00FF2039">
        <w:rPr>
          <w:rFonts w:ascii="Arial" w:hAnsi="Arial" w:cs="Arial"/>
          <w:sz w:val="22"/>
          <w:szCs w:val="22"/>
        </w:rPr>
        <w:t xml:space="preserve"> may be offered from 33% for 14 hours work per week up to 50% for 20</w:t>
      </w:r>
      <w:r>
        <w:rPr>
          <w:rFonts w:ascii="Arial" w:hAnsi="Arial" w:cs="Arial"/>
          <w:sz w:val="22"/>
          <w:szCs w:val="22"/>
        </w:rPr>
        <w:t xml:space="preserve"> hours per week.  Stipends for graduate a</w:t>
      </w:r>
      <w:r w:rsidR="00820730" w:rsidRPr="00FF2039">
        <w:rPr>
          <w:rFonts w:ascii="Arial" w:hAnsi="Arial" w:cs="Arial"/>
          <w:sz w:val="22"/>
          <w:szCs w:val="22"/>
        </w:rPr>
        <w:t>ssistantships are based upon the amounts scheduled for the period during which the assistantship begins</w:t>
      </w:r>
      <w:r w:rsidR="00F925A3" w:rsidRPr="00FF2039">
        <w:rPr>
          <w:rFonts w:ascii="Arial" w:hAnsi="Arial" w:cs="Arial"/>
          <w:sz w:val="22"/>
          <w:szCs w:val="22"/>
        </w:rPr>
        <w:t>.</w:t>
      </w:r>
      <w:r w:rsidR="00C91AAC" w:rsidRPr="00FF2039">
        <w:rPr>
          <w:rFonts w:ascii="Arial" w:hAnsi="Arial" w:cs="Arial"/>
          <w:sz w:val="22"/>
          <w:szCs w:val="22"/>
        </w:rPr>
        <w:t xml:space="preserve"> The following rates include a 2% compensation plan for all graduate assistant positions.</w:t>
      </w:r>
    </w:p>
    <w:p w14:paraId="04923657" w14:textId="1FD3FFFC" w:rsidR="00820730" w:rsidRPr="00FF2039" w:rsidRDefault="00820730" w:rsidP="0001430A">
      <w:pPr>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1523"/>
        <w:gridCol w:w="1815"/>
        <w:gridCol w:w="1800"/>
      </w:tblGrid>
      <w:tr w:rsidR="001D2038" w:rsidRPr="00FF2039" w14:paraId="5B311C45" w14:textId="77777777" w:rsidTr="005238FD">
        <w:trPr>
          <w:trHeight w:val="242"/>
          <w:jc w:val="center"/>
        </w:trPr>
        <w:tc>
          <w:tcPr>
            <w:tcW w:w="5138" w:type="dxa"/>
            <w:gridSpan w:val="3"/>
          </w:tcPr>
          <w:p w14:paraId="1C17E176" w14:textId="5EEB8B68" w:rsidR="001D2038" w:rsidRPr="00FF2039" w:rsidRDefault="001D2038" w:rsidP="003F0839">
            <w:pPr>
              <w:jc w:val="center"/>
              <w:rPr>
                <w:rFonts w:ascii="Arial" w:hAnsi="Arial" w:cs="Arial"/>
                <w:b/>
                <w:sz w:val="22"/>
                <w:szCs w:val="22"/>
              </w:rPr>
            </w:pPr>
            <w:r w:rsidRPr="00FF2039">
              <w:rPr>
                <w:rFonts w:ascii="Arial" w:hAnsi="Arial" w:cs="Arial"/>
                <w:b/>
                <w:sz w:val="22"/>
                <w:szCs w:val="22"/>
              </w:rPr>
              <w:t xml:space="preserve">Estimated </w:t>
            </w:r>
            <w:r w:rsidR="00AF329F" w:rsidRPr="00FF2039">
              <w:rPr>
                <w:rFonts w:ascii="Arial" w:hAnsi="Arial" w:cs="Arial"/>
                <w:b/>
                <w:sz w:val="22"/>
                <w:szCs w:val="22"/>
              </w:rPr>
              <w:t xml:space="preserve">GA </w:t>
            </w:r>
            <w:r w:rsidRPr="00FF2039">
              <w:rPr>
                <w:rFonts w:ascii="Arial" w:hAnsi="Arial" w:cs="Arial"/>
                <w:b/>
                <w:sz w:val="22"/>
                <w:szCs w:val="22"/>
              </w:rPr>
              <w:t>Rates for FY201</w:t>
            </w:r>
            <w:r w:rsidR="00F733EB">
              <w:rPr>
                <w:rFonts w:ascii="Arial" w:hAnsi="Arial" w:cs="Arial"/>
                <w:b/>
                <w:sz w:val="22"/>
                <w:szCs w:val="22"/>
              </w:rPr>
              <w:t>8</w:t>
            </w:r>
          </w:p>
        </w:tc>
      </w:tr>
      <w:tr w:rsidR="001D2038" w:rsidRPr="00FF2039" w14:paraId="6CEEC001" w14:textId="77777777" w:rsidTr="005238FD">
        <w:trPr>
          <w:jc w:val="center"/>
        </w:trPr>
        <w:tc>
          <w:tcPr>
            <w:tcW w:w="1523" w:type="dxa"/>
          </w:tcPr>
          <w:p w14:paraId="53CBBDA8" w14:textId="53164A84" w:rsidR="001D2038" w:rsidRPr="0030338A" w:rsidRDefault="001D2038" w:rsidP="005238FD">
            <w:pPr>
              <w:jc w:val="center"/>
              <w:rPr>
                <w:rFonts w:ascii="Arial" w:hAnsi="Arial" w:cs="Arial"/>
                <w:sz w:val="22"/>
                <w:szCs w:val="22"/>
              </w:rPr>
            </w:pPr>
            <w:r w:rsidRPr="0030338A">
              <w:rPr>
                <w:rFonts w:ascii="Arial" w:hAnsi="Arial" w:cs="Arial"/>
                <w:sz w:val="22"/>
                <w:szCs w:val="22"/>
              </w:rPr>
              <w:t>FTE</w:t>
            </w:r>
          </w:p>
        </w:tc>
        <w:tc>
          <w:tcPr>
            <w:tcW w:w="1815" w:type="dxa"/>
          </w:tcPr>
          <w:p w14:paraId="061669F2" w14:textId="523B181F" w:rsidR="001D2038" w:rsidRPr="0030338A" w:rsidRDefault="001D2038" w:rsidP="005238FD">
            <w:pPr>
              <w:jc w:val="center"/>
              <w:rPr>
                <w:rFonts w:ascii="Arial" w:hAnsi="Arial" w:cs="Arial"/>
                <w:sz w:val="22"/>
                <w:szCs w:val="22"/>
              </w:rPr>
            </w:pPr>
            <w:r w:rsidRPr="0030338A">
              <w:rPr>
                <w:rFonts w:ascii="Arial" w:hAnsi="Arial" w:cs="Arial"/>
                <w:sz w:val="22"/>
                <w:szCs w:val="22"/>
              </w:rPr>
              <w:t>Academic</w:t>
            </w:r>
            <w:r w:rsidR="0030338A">
              <w:rPr>
                <w:rFonts w:ascii="Arial" w:hAnsi="Arial" w:cs="Arial"/>
                <w:sz w:val="22"/>
                <w:szCs w:val="22"/>
              </w:rPr>
              <w:t xml:space="preserve"> Year</w:t>
            </w:r>
          </w:p>
        </w:tc>
        <w:tc>
          <w:tcPr>
            <w:tcW w:w="1800" w:type="dxa"/>
          </w:tcPr>
          <w:p w14:paraId="24EB2B74" w14:textId="40194D6E" w:rsidR="001D2038" w:rsidRPr="0030338A" w:rsidRDefault="001D2038" w:rsidP="005238FD">
            <w:pPr>
              <w:jc w:val="center"/>
              <w:rPr>
                <w:rFonts w:ascii="Arial" w:hAnsi="Arial" w:cs="Arial"/>
                <w:sz w:val="22"/>
                <w:szCs w:val="22"/>
              </w:rPr>
            </w:pPr>
            <w:r w:rsidRPr="0030338A">
              <w:rPr>
                <w:rFonts w:ascii="Arial" w:hAnsi="Arial" w:cs="Arial"/>
                <w:sz w:val="22"/>
                <w:szCs w:val="22"/>
              </w:rPr>
              <w:t>Semester</w:t>
            </w:r>
          </w:p>
        </w:tc>
      </w:tr>
      <w:tr w:rsidR="001D2038" w:rsidRPr="00FF2039" w14:paraId="2F819140" w14:textId="77777777" w:rsidTr="005238FD">
        <w:trPr>
          <w:jc w:val="center"/>
        </w:trPr>
        <w:tc>
          <w:tcPr>
            <w:tcW w:w="1523" w:type="dxa"/>
          </w:tcPr>
          <w:p w14:paraId="78193DD2" w14:textId="260E3A85" w:rsidR="001D2038" w:rsidRPr="00FF2039" w:rsidRDefault="001D2038" w:rsidP="005238FD">
            <w:pPr>
              <w:jc w:val="right"/>
              <w:rPr>
                <w:rFonts w:ascii="Arial" w:hAnsi="Arial" w:cs="Arial"/>
                <w:sz w:val="22"/>
                <w:szCs w:val="22"/>
              </w:rPr>
            </w:pPr>
            <w:r w:rsidRPr="00FF2039">
              <w:rPr>
                <w:rFonts w:ascii="Arial" w:hAnsi="Arial" w:cs="Arial"/>
                <w:sz w:val="22"/>
                <w:szCs w:val="22"/>
              </w:rPr>
              <w:t>33%</w:t>
            </w:r>
          </w:p>
        </w:tc>
        <w:tc>
          <w:tcPr>
            <w:tcW w:w="1815" w:type="dxa"/>
          </w:tcPr>
          <w:p w14:paraId="1E48CF6A" w14:textId="0FDDCF36" w:rsidR="001D2038" w:rsidRPr="00FF2039" w:rsidRDefault="001D2038" w:rsidP="005238FD">
            <w:pPr>
              <w:jc w:val="right"/>
              <w:rPr>
                <w:rFonts w:ascii="Arial" w:hAnsi="Arial" w:cs="Arial"/>
                <w:sz w:val="22"/>
                <w:szCs w:val="22"/>
              </w:rPr>
            </w:pPr>
            <w:r w:rsidRPr="00FF2039">
              <w:rPr>
                <w:rFonts w:ascii="Arial" w:hAnsi="Arial" w:cs="Arial"/>
                <w:sz w:val="22"/>
                <w:szCs w:val="22"/>
              </w:rPr>
              <w:t>$7,091</w:t>
            </w:r>
          </w:p>
        </w:tc>
        <w:tc>
          <w:tcPr>
            <w:tcW w:w="1800" w:type="dxa"/>
          </w:tcPr>
          <w:p w14:paraId="6A49E275" w14:textId="6F80BAF6" w:rsidR="001D2038" w:rsidRPr="00FF2039" w:rsidRDefault="001D2038" w:rsidP="005238FD">
            <w:pPr>
              <w:jc w:val="right"/>
              <w:rPr>
                <w:rFonts w:ascii="Arial" w:hAnsi="Arial" w:cs="Arial"/>
                <w:sz w:val="22"/>
                <w:szCs w:val="22"/>
              </w:rPr>
            </w:pPr>
            <w:r w:rsidRPr="00FF2039">
              <w:rPr>
                <w:rFonts w:ascii="Arial" w:hAnsi="Arial" w:cs="Arial"/>
                <w:sz w:val="22"/>
                <w:szCs w:val="22"/>
              </w:rPr>
              <w:t>$3,546</w:t>
            </w:r>
          </w:p>
        </w:tc>
      </w:tr>
      <w:tr w:rsidR="001D2038" w:rsidRPr="00FF2039" w14:paraId="218CD1E5" w14:textId="77777777" w:rsidTr="005238FD">
        <w:trPr>
          <w:jc w:val="center"/>
        </w:trPr>
        <w:tc>
          <w:tcPr>
            <w:tcW w:w="1523" w:type="dxa"/>
          </w:tcPr>
          <w:p w14:paraId="51DBF8FD" w14:textId="25853B4B" w:rsidR="001D2038" w:rsidRPr="00FF2039" w:rsidRDefault="001D2038" w:rsidP="005238FD">
            <w:pPr>
              <w:jc w:val="right"/>
              <w:rPr>
                <w:rFonts w:ascii="Arial" w:hAnsi="Arial" w:cs="Arial"/>
                <w:sz w:val="22"/>
                <w:szCs w:val="22"/>
              </w:rPr>
            </w:pPr>
            <w:r w:rsidRPr="00FF2039">
              <w:rPr>
                <w:rFonts w:ascii="Arial" w:hAnsi="Arial" w:cs="Arial"/>
                <w:sz w:val="22"/>
                <w:szCs w:val="22"/>
              </w:rPr>
              <w:t>50%</w:t>
            </w:r>
          </w:p>
        </w:tc>
        <w:tc>
          <w:tcPr>
            <w:tcW w:w="1815" w:type="dxa"/>
          </w:tcPr>
          <w:p w14:paraId="18AE0990" w14:textId="7C544DB7" w:rsidR="001D2038" w:rsidRPr="00FF2039" w:rsidRDefault="001D2038" w:rsidP="005238FD">
            <w:pPr>
              <w:jc w:val="right"/>
              <w:rPr>
                <w:rFonts w:ascii="Arial" w:hAnsi="Arial" w:cs="Arial"/>
                <w:sz w:val="22"/>
                <w:szCs w:val="22"/>
              </w:rPr>
            </w:pPr>
            <w:r w:rsidRPr="00FF2039">
              <w:rPr>
                <w:rFonts w:ascii="Arial" w:hAnsi="Arial" w:cs="Arial"/>
                <w:sz w:val="22"/>
                <w:szCs w:val="22"/>
              </w:rPr>
              <w:t>$10,745</w:t>
            </w:r>
          </w:p>
        </w:tc>
        <w:tc>
          <w:tcPr>
            <w:tcW w:w="1800" w:type="dxa"/>
          </w:tcPr>
          <w:p w14:paraId="67B18D76" w14:textId="42CD7B46" w:rsidR="001D2038" w:rsidRPr="00FF2039" w:rsidRDefault="001D2038" w:rsidP="005238FD">
            <w:pPr>
              <w:jc w:val="right"/>
              <w:rPr>
                <w:rFonts w:ascii="Arial" w:hAnsi="Arial" w:cs="Arial"/>
                <w:sz w:val="22"/>
                <w:szCs w:val="22"/>
              </w:rPr>
            </w:pPr>
            <w:r w:rsidRPr="00FF2039">
              <w:rPr>
                <w:rFonts w:ascii="Arial" w:hAnsi="Arial" w:cs="Arial"/>
                <w:sz w:val="22"/>
                <w:szCs w:val="22"/>
              </w:rPr>
              <w:t>$5,373</w:t>
            </w:r>
          </w:p>
        </w:tc>
      </w:tr>
      <w:tr w:rsidR="001D2038" w:rsidRPr="00FF2039" w14:paraId="61D517EE" w14:textId="77777777" w:rsidTr="005238FD">
        <w:trPr>
          <w:jc w:val="center"/>
        </w:trPr>
        <w:tc>
          <w:tcPr>
            <w:tcW w:w="1523" w:type="dxa"/>
          </w:tcPr>
          <w:p w14:paraId="2C2FE4FA" w14:textId="11A05AC4" w:rsidR="001D2038" w:rsidRPr="00FF2039" w:rsidRDefault="0030338A" w:rsidP="005238FD">
            <w:pPr>
              <w:jc w:val="right"/>
              <w:rPr>
                <w:rFonts w:ascii="Arial" w:hAnsi="Arial" w:cs="Arial"/>
                <w:sz w:val="22"/>
                <w:szCs w:val="22"/>
              </w:rPr>
            </w:pPr>
            <w:r>
              <w:rPr>
                <w:rFonts w:ascii="Arial" w:hAnsi="Arial" w:cs="Arial"/>
                <w:sz w:val="22"/>
                <w:szCs w:val="22"/>
              </w:rPr>
              <w:t xml:space="preserve">100% </w:t>
            </w:r>
          </w:p>
        </w:tc>
        <w:tc>
          <w:tcPr>
            <w:tcW w:w="1815" w:type="dxa"/>
          </w:tcPr>
          <w:p w14:paraId="325CF27E" w14:textId="43E05645" w:rsidR="001D2038" w:rsidRPr="00FF2039" w:rsidRDefault="001D2038" w:rsidP="005238FD">
            <w:pPr>
              <w:jc w:val="right"/>
              <w:rPr>
                <w:rFonts w:ascii="Arial" w:hAnsi="Arial" w:cs="Arial"/>
                <w:sz w:val="22"/>
                <w:szCs w:val="22"/>
              </w:rPr>
            </w:pPr>
            <w:r w:rsidRPr="00FF2039">
              <w:rPr>
                <w:rFonts w:ascii="Arial" w:hAnsi="Arial" w:cs="Arial"/>
                <w:sz w:val="22"/>
                <w:szCs w:val="22"/>
              </w:rPr>
              <w:t>$21,489</w:t>
            </w:r>
          </w:p>
        </w:tc>
        <w:tc>
          <w:tcPr>
            <w:tcW w:w="1800" w:type="dxa"/>
          </w:tcPr>
          <w:p w14:paraId="32CF9D5F" w14:textId="072E4A3E" w:rsidR="001D2038" w:rsidRPr="00FF2039" w:rsidRDefault="001D2038" w:rsidP="005238FD">
            <w:pPr>
              <w:jc w:val="right"/>
              <w:rPr>
                <w:rFonts w:ascii="Arial" w:hAnsi="Arial" w:cs="Arial"/>
                <w:sz w:val="22"/>
                <w:szCs w:val="22"/>
              </w:rPr>
            </w:pPr>
          </w:p>
        </w:tc>
      </w:tr>
    </w:tbl>
    <w:p w14:paraId="4FB8F2CD" w14:textId="24CF374D" w:rsidR="001D2038" w:rsidRPr="00FF2039" w:rsidRDefault="001D2038" w:rsidP="00B05C7A">
      <w:pPr>
        <w:jc w:val="both"/>
        <w:rPr>
          <w:rFonts w:ascii="Arial" w:hAnsi="Arial" w:cs="Arial"/>
          <w:sz w:val="22"/>
          <w:szCs w:val="22"/>
        </w:rPr>
      </w:pPr>
    </w:p>
    <w:p w14:paraId="25C36D0B" w14:textId="00C4B185" w:rsidR="005238FD" w:rsidRPr="009778C3" w:rsidRDefault="005238FD" w:rsidP="005238FD">
      <w:pPr>
        <w:pStyle w:val="ListParagraph"/>
        <w:numPr>
          <w:ilvl w:val="0"/>
          <w:numId w:val="7"/>
        </w:numPr>
        <w:jc w:val="both"/>
        <w:rPr>
          <w:rFonts w:ascii="Arial" w:hAnsi="Arial" w:cs="Arial"/>
          <w:b/>
          <w:sz w:val="22"/>
          <w:szCs w:val="22"/>
        </w:rPr>
      </w:pPr>
      <w:r w:rsidRPr="009778C3">
        <w:rPr>
          <w:rFonts w:ascii="Arial" w:hAnsi="Arial" w:cs="Arial"/>
          <w:b/>
          <w:sz w:val="22"/>
          <w:szCs w:val="22"/>
        </w:rPr>
        <w:t>Fair Labor Standards Act (FLSA) Considerations</w:t>
      </w:r>
    </w:p>
    <w:p w14:paraId="2159C449" w14:textId="77777777" w:rsidR="005238FD" w:rsidRPr="00FF2039" w:rsidRDefault="005238FD" w:rsidP="005238FD">
      <w:pPr>
        <w:pStyle w:val="ListParagraph"/>
        <w:jc w:val="both"/>
        <w:rPr>
          <w:rFonts w:ascii="Arial" w:hAnsi="Arial" w:cs="Arial"/>
          <w:sz w:val="22"/>
          <w:szCs w:val="22"/>
        </w:rPr>
      </w:pPr>
    </w:p>
    <w:p w14:paraId="2A1A2003" w14:textId="1E336FE2" w:rsidR="00C91AAC" w:rsidRPr="00FF2039" w:rsidRDefault="00C91AAC" w:rsidP="007F26ED">
      <w:pPr>
        <w:ind w:left="720"/>
        <w:jc w:val="both"/>
        <w:rPr>
          <w:rFonts w:ascii="Arial" w:hAnsi="Arial" w:cs="Arial"/>
          <w:sz w:val="22"/>
          <w:szCs w:val="22"/>
        </w:rPr>
      </w:pPr>
      <w:r w:rsidRPr="00FF2039">
        <w:rPr>
          <w:rFonts w:ascii="Arial" w:hAnsi="Arial" w:cs="Arial"/>
          <w:sz w:val="22"/>
          <w:szCs w:val="22"/>
        </w:rPr>
        <w:t xml:space="preserve">Effective December 1, 2016, the U.S. Department of Labor (DOL) has announced changes to FLSA, raising the salary threshold required to qualify for exemption from overtime to $47,476 per year, an increase from $23,600 per year. Employees making less than $47,476 will be eligible for overtime pay. UWL is implementing a </w:t>
      </w:r>
      <w:r w:rsidR="00F64903" w:rsidRPr="00FF2039">
        <w:rPr>
          <w:rFonts w:ascii="Arial" w:hAnsi="Arial" w:cs="Arial"/>
          <w:sz w:val="22"/>
          <w:szCs w:val="22"/>
        </w:rPr>
        <w:t xml:space="preserve">campus policy to allow up </w:t>
      </w:r>
      <w:r w:rsidR="00F64903" w:rsidRPr="00F733EB">
        <w:rPr>
          <w:rFonts w:ascii="Arial" w:hAnsi="Arial" w:cs="Arial"/>
          <w:sz w:val="22"/>
          <w:szCs w:val="22"/>
        </w:rPr>
        <w:t>to 80</w:t>
      </w:r>
      <w:r w:rsidRPr="00F733EB">
        <w:rPr>
          <w:rFonts w:ascii="Arial" w:hAnsi="Arial" w:cs="Arial"/>
          <w:sz w:val="22"/>
          <w:szCs w:val="22"/>
        </w:rPr>
        <w:t xml:space="preserve"> hours</w:t>
      </w:r>
      <w:r w:rsidRPr="00FF2039">
        <w:rPr>
          <w:rFonts w:ascii="Arial" w:hAnsi="Arial" w:cs="Arial"/>
          <w:sz w:val="22"/>
          <w:szCs w:val="22"/>
        </w:rPr>
        <w:t xml:space="preserve"> of </w:t>
      </w:r>
      <w:r w:rsidR="00F64903" w:rsidRPr="00FF2039">
        <w:rPr>
          <w:rFonts w:ascii="Arial" w:hAnsi="Arial" w:cs="Arial"/>
          <w:sz w:val="22"/>
          <w:szCs w:val="22"/>
        </w:rPr>
        <w:t xml:space="preserve">worked </w:t>
      </w:r>
      <w:r w:rsidRPr="00FF2039">
        <w:rPr>
          <w:rFonts w:ascii="Arial" w:hAnsi="Arial" w:cs="Arial"/>
          <w:sz w:val="22"/>
          <w:szCs w:val="22"/>
        </w:rPr>
        <w:t>overtime per year, with supervisor approval, at a rate of 1.5 times their regular rate for these Academic Staff and previously exempt University Staff individuals below the threshold.</w:t>
      </w:r>
    </w:p>
    <w:p w14:paraId="474AE0DE" w14:textId="77777777" w:rsidR="00C91AAC" w:rsidRPr="00FF2039" w:rsidRDefault="00C91AAC" w:rsidP="00C91AAC">
      <w:pPr>
        <w:pStyle w:val="ListParagraph"/>
        <w:ind w:left="1440"/>
        <w:jc w:val="both"/>
        <w:rPr>
          <w:rFonts w:ascii="Arial" w:hAnsi="Arial" w:cs="Arial"/>
          <w:sz w:val="22"/>
          <w:szCs w:val="22"/>
        </w:rPr>
      </w:pPr>
    </w:p>
    <w:p w14:paraId="307B0A5A" w14:textId="12FDB640" w:rsidR="00520296" w:rsidRDefault="00C91AAC" w:rsidP="009F40C7">
      <w:pPr>
        <w:ind w:left="720"/>
        <w:jc w:val="both"/>
        <w:rPr>
          <w:rFonts w:ascii="Arial" w:hAnsi="Arial" w:cs="Arial"/>
          <w:sz w:val="22"/>
          <w:szCs w:val="22"/>
        </w:rPr>
      </w:pPr>
      <w:r w:rsidRPr="00FF2039">
        <w:rPr>
          <w:rFonts w:ascii="Arial" w:hAnsi="Arial" w:cs="Arial"/>
          <w:sz w:val="22"/>
          <w:szCs w:val="22"/>
        </w:rPr>
        <w:t xml:space="preserve">UWL has </w:t>
      </w:r>
      <w:r w:rsidR="0030338A">
        <w:rPr>
          <w:rFonts w:ascii="Arial" w:hAnsi="Arial" w:cs="Arial"/>
          <w:sz w:val="22"/>
          <w:szCs w:val="22"/>
        </w:rPr>
        <w:t>adopted a</w:t>
      </w:r>
      <w:r w:rsidRPr="00FF2039">
        <w:rPr>
          <w:rFonts w:ascii="Arial" w:hAnsi="Arial" w:cs="Arial"/>
          <w:sz w:val="22"/>
          <w:szCs w:val="22"/>
        </w:rPr>
        <w:t xml:space="preserve"> university-wide approach to this policy change and budget increases for overtime are not permitted. Any approved overtime will be funded using a unit’s existing resources with vacancy savings, student help savings or PR cash balances.</w:t>
      </w:r>
      <w:r w:rsidR="00F64903" w:rsidRPr="00FF2039">
        <w:rPr>
          <w:rFonts w:ascii="Arial" w:hAnsi="Arial" w:cs="Arial"/>
          <w:sz w:val="22"/>
          <w:szCs w:val="22"/>
        </w:rPr>
        <w:t xml:space="preserve"> </w:t>
      </w:r>
      <w:r w:rsidR="00F64903" w:rsidRPr="00F733EB">
        <w:rPr>
          <w:rFonts w:ascii="Arial" w:hAnsi="Arial" w:cs="Arial"/>
          <w:sz w:val="22"/>
          <w:szCs w:val="22"/>
        </w:rPr>
        <w:t>The use of S&amp;E will not be permissible to fund overtime.</w:t>
      </w:r>
      <w:r w:rsidRPr="00F733EB">
        <w:rPr>
          <w:rFonts w:ascii="Arial" w:hAnsi="Arial" w:cs="Arial"/>
          <w:sz w:val="22"/>
          <w:szCs w:val="22"/>
        </w:rPr>
        <w:t xml:space="preserve"> </w:t>
      </w:r>
      <w:r w:rsidR="0030338A">
        <w:rPr>
          <w:rFonts w:ascii="Arial" w:hAnsi="Arial" w:cs="Arial"/>
          <w:sz w:val="22"/>
          <w:szCs w:val="22"/>
        </w:rPr>
        <w:t>The u</w:t>
      </w:r>
      <w:r w:rsidRPr="00FF2039">
        <w:rPr>
          <w:rFonts w:ascii="Arial" w:hAnsi="Arial" w:cs="Arial"/>
          <w:sz w:val="22"/>
          <w:szCs w:val="22"/>
        </w:rPr>
        <w:t xml:space="preserve">niversity is not raising employees up to the new threshold so units should not build in any base increases to raise their employees up to the $47,476 minimum. In addition, units should not build </w:t>
      </w:r>
      <w:r w:rsidRPr="00FF2039">
        <w:rPr>
          <w:rFonts w:ascii="Arial" w:hAnsi="Arial" w:cs="Arial"/>
          <w:sz w:val="22"/>
          <w:szCs w:val="22"/>
        </w:rPr>
        <w:lastRenderedPageBreak/>
        <w:t>in any new budget allocations for</w:t>
      </w:r>
      <w:r w:rsidR="0030338A">
        <w:rPr>
          <w:rFonts w:ascii="Arial" w:hAnsi="Arial" w:cs="Arial"/>
          <w:sz w:val="22"/>
          <w:szCs w:val="22"/>
        </w:rPr>
        <w:t xml:space="preserve"> potential overtime costs. The u</w:t>
      </w:r>
      <w:r w:rsidRPr="00FF2039">
        <w:rPr>
          <w:rFonts w:ascii="Arial" w:hAnsi="Arial" w:cs="Arial"/>
          <w:sz w:val="22"/>
          <w:szCs w:val="22"/>
        </w:rPr>
        <w:t xml:space="preserve">niversity is </w:t>
      </w:r>
      <w:r w:rsidR="0030338A">
        <w:rPr>
          <w:rFonts w:ascii="Arial" w:hAnsi="Arial" w:cs="Arial"/>
          <w:sz w:val="22"/>
          <w:szCs w:val="22"/>
        </w:rPr>
        <w:t>managing</w:t>
      </w:r>
      <w:r w:rsidRPr="00FF2039">
        <w:rPr>
          <w:rFonts w:ascii="Arial" w:hAnsi="Arial" w:cs="Arial"/>
          <w:sz w:val="22"/>
          <w:szCs w:val="22"/>
        </w:rPr>
        <w:t xml:space="preserve"> the fiscal implications related to the FLSA threshold change on a cost neutral basis and with consistency across the units and funding sources. </w:t>
      </w:r>
    </w:p>
    <w:p w14:paraId="1D3EF305" w14:textId="77777777" w:rsidR="0030338A" w:rsidRDefault="0030338A" w:rsidP="009F40C7">
      <w:pPr>
        <w:ind w:left="720"/>
        <w:jc w:val="both"/>
        <w:rPr>
          <w:rFonts w:ascii="Arial" w:hAnsi="Arial" w:cs="Arial"/>
          <w:sz w:val="22"/>
          <w:szCs w:val="22"/>
        </w:rPr>
      </w:pPr>
    </w:p>
    <w:p w14:paraId="07D1D760" w14:textId="413B3065" w:rsidR="00520296" w:rsidRPr="00FF2039" w:rsidRDefault="00520296" w:rsidP="007F26ED">
      <w:pPr>
        <w:ind w:left="720"/>
        <w:jc w:val="both"/>
        <w:rPr>
          <w:rFonts w:ascii="Arial" w:hAnsi="Arial" w:cs="Arial"/>
          <w:sz w:val="22"/>
          <w:szCs w:val="22"/>
        </w:rPr>
      </w:pPr>
      <w:r>
        <w:rPr>
          <w:rFonts w:ascii="Arial" w:hAnsi="Arial" w:cs="Arial"/>
          <w:sz w:val="22"/>
          <w:szCs w:val="22"/>
        </w:rPr>
        <w:t xml:space="preserve">The Budget Office and Human Resources will work with </w:t>
      </w:r>
      <w:r w:rsidR="0030338A">
        <w:rPr>
          <w:rFonts w:ascii="Arial" w:hAnsi="Arial" w:cs="Arial"/>
          <w:sz w:val="22"/>
          <w:szCs w:val="22"/>
        </w:rPr>
        <w:t>business m</w:t>
      </w:r>
      <w:r>
        <w:rPr>
          <w:rFonts w:ascii="Arial" w:hAnsi="Arial" w:cs="Arial"/>
          <w:sz w:val="22"/>
          <w:szCs w:val="22"/>
        </w:rPr>
        <w:t xml:space="preserve">anagers and department heads </w:t>
      </w:r>
      <w:r w:rsidR="0030338A">
        <w:rPr>
          <w:rFonts w:ascii="Arial" w:hAnsi="Arial" w:cs="Arial"/>
          <w:sz w:val="22"/>
          <w:szCs w:val="22"/>
        </w:rPr>
        <w:t>to</w:t>
      </w:r>
      <w:r>
        <w:rPr>
          <w:rFonts w:ascii="Arial" w:hAnsi="Arial" w:cs="Arial"/>
          <w:sz w:val="22"/>
          <w:szCs w:val="22"/>
        </w:rPr>
        <w:t xml:space="preserve"> establish a process </w:t>
      </w:r>
      <w:r w:rsidR="0030338A">
        <w:rPr>
          <w:rFonts w:ascii="Arial" w:hAnsi="Arial" w:cs="Arial"/>
          <w:sz w:val="22"/>
          <w:szCs w:val="22"/>
        </w:rPr>
        <w:t xml:space="preserve">for tracking employee </w:t>
      </w:r>
      <w:r>
        <w:rPr>
          <w:rFonts w:ascii="Arial" w:hAnsi="Arial" w:cs="Arial"/>
          <w:sz w:val="22"/>
          <w:szCs w:val="22"/>
        </w:rPr>
        <w:t xml:space="preserve">overtime </w:t>
      </w:r>
      <w:r w:rsidR="0030338A">
        <w:rPr>
          <w:rFonts w:ascii="Arial" w:hAnsi="Arial" w:cs="Arial"/>
          <w:sz w:val="22"/>
          <w:szCs w:val="22"/>
        </w:rPr>
        <w:t>for</w:t>
      </w:r>
      <w:r>
        <w:rPr>
          <w:rFonts w:ascii="Arial" w:hAnsi="Arial" w:cs="Arial"/>
          <w:sz w:val="22"/>
          <w:szCs w:val="22"/>
        </w:rPr>
        <w:t xml:space="preserve"> departments </w:t>
      </w:r>
      <w:r w:rsidR="0030338A">
        <w:rPr>
          <w:rFonts w:ascii="Arial" w:hAnsi="Arial" w:cs="Arial"/>
          <w:sz w:val="22"/>
          <w:szCs w:val="22"/>
        </w:rPr>
        <w:t xml:space="preserve">and confirming the </w:t>
      </w:r>
      <w:r>
        <w:rPr>
          <w:rFonts w:ascii="Arial" w:hAnsi="Arial" w:cs="Arial"/>
          <w:sz w:val="22"/>
          <w:szCs w:val="22"/>
        </w:rPr>
        <w:t xml:space="preserve">funding source. </w:t>
      </w:r>
    </w:p>
    <w:p w14:paraId="273D422A" w14:textId="77777777" w:rsidR="00520296" w:rsidRPr="00FF2039" w:rsidRDefault="00520296" w:rsidP="005238FD">
      <w:pPr>
        <w:jc w:val="both"/>
        <w:rPr>
          <w:rFonts w:ascii="Arial" w:hAnsi="Arial" w:cs="Arial"/>
          <w:sz w:val="22"/>
          <w:szCs w:val="22"/>
        </w:rPr>
      </w:pPr>
    </w:p>
    <w:p w14:paraId="340031D9" w14:textId="77777777" w:rsidR="000B6B99" w:rsidRPr="009778C3" w:rsidRDefault="000B6B99" w:rsidP="000B6B99">
      <w:pPr>
        <w:pStyle w:val="ListParagraph"/>
        <w:numPr>
          <w:ilvl w:val="0"/>
          <w:numId w:val="9"/>
        </w:numPr>
        <w:jc w:val="both"/>
        <w:rPr>
          <w:rFonts w:ascii="Arial" w:hAnsi="Arial" w:cs="Arial"/>
          <w:b/>
          <w:sz w:val="22"/>
          <w:szCs w:val="22"/>
        </w:rPr>
      </w:pPr>
      <w:r w:rsidRPr="009778C3">
        <w:rPr>
          <w:rFonts w:ascii="Arial" w:hAnsi="Arial" w:cs="Arial"/>
          <w:b/>
          <w:sz w:val="22"/>
          <w:szCs w:val="22"/>
        </w:rPr>
        <w:t>Terminal Banked Leave Assessment</w:t>
      </w:r>
    </w:p>
    <w:p w14:paraId="5EB36BB4" w14:textId="77777777" w:rsidR="005238FD" w:rsidRPr="00FF2039" w:rsidRDefault="005238FD" w:rsidP="005238FD">
      <w:pPr>
        <w:pStyle w:val="ListParagraph"/>
        <w:jc w:val="both"/>
        <w:rPr>
          <w:rFonts w:ascii="Arial" w:hAnsi="Arial" w:cs="Arial"/>
          <w:b/>
          <w:sz w:val="22"/>
          <w:szCs w:val="22"/>
        </w:rPr>
      </w:pPr>
    </w:p>
    <w:p w14:paraId="0492365F" w14:textId="3749A327" w:rsidR="00094006" w:rsidRPr="00FF2039" w:rsidRDefault="00094006" w:rsidP="000B6B99">
      <w:pPr>
        <w:ind w:left="720"/>
        <w:jc w:val="both"/>
        <w:rPr>
          <w:rFonts w:ascii="Arial" w:hAnsi="Arial" w:cs="Arial"/>
          <w:b/>
          <w:sz w:val="22"/>
          <w:szCs w:val="22"/>
        </w:rPr>
      </w:pPr>
      <w:r w:rsidRPr="00FF2039">
        <w:rPr>
          <w:rFonts w:ascii="Arial" w:hAnsi="Arial" w:cs="Arial"/>
          <w:sz w:val="22"/>
          <w:szCs w:val="22"/>
        </w:rPr>
        <w:t>Terminal Banked Leave assessment (ALRA) should be bui</w:t>
      </w:r>
      <w:r w:rsidR="000B6B99" w:rsidRPr="00FF2039">
        <w:rPr>
          <w:rFonts w:ascii="Arial" w:hAnsi="Arial" w:cs="Arial"/>
          <w:sz w:val="22"/>
          <w:szCs w:val="22"/>
        </w:rPr>
        <w:t>lt into the budget for 2017-18</w:t>
      </w:r>
      <w:r w:rsidR="000B6B99" w:rsidRPr="00F733EB">
        <w:rPr>
          <w:rFonts w:ascii="Arial" w:hAnsi="Arial" w:cs="Arial"/>
          <w:sz w:val="22"/>
          <w:szCs w:val="22"/>
        </w:rPr>
        <w:t>, with the projected amount based on prior year actuals.</w:t>
      </w:r>
      <w:r w:rsidR="00F733EB">
        <w:rPr>
          <w:rFonts w:ascii="Arial" w:hAnsi="Arial" w:cs="Arial"/>
          <w:sz w:val="22"/>
          <w:szCs w:val="22"/>
        </w:rPr>
        <w:t xml:space="preserve"> </w:t>
      </w:r>
      <w:r w:rsidR="00F733EB" w:rsidRPr="00C168AB">
        <w:rPr>
          <w:rFonts w:ascii="Arial" w:hAnsi="Arial" w:cs="Arial"/>
          <w:sz w:val="22"/>
          <w:szCs w:val="22"/>
        </w:rPr>
        <w:t>This equates to 0.18% of the University Staff salary and 0.16% of the Academic Staff salary in a particular account.</w:t>
      </w:r>
    </w:p>
    <w:p w14:paraId="211F3E13" w14:textId="77777777" w:rsidR="000E6316" w:rsidRPr="00FF2039" w:rsidRDefault="000E6316" w:rsidP="00B05C7A">
      <w:pPr>
        <w:pStyle w:val="ListParagraph"/>
        <w:ind w:left="1440"/>
        <w:jc w:val="both"/>
        <w:rPr>
          <w:rFonts w:ascii="Arial" w:hAnsi="Arial" w:cs="Arial"/>
          <w:sz w:val="22"/>
          <w:szCs w:val="22"/>
        </w:rPr>
      </w:pPr>
    </w:p>
    <w:p w14:paraId="4CB9341B" w14:textId="6AABC3AE" w:rsidR="000B6B99" w:rsidRPr="009778C3" w:rsidRDefault="000B6B99" w:rsidP="000B6B99">
      <w:pPr>
        <w:pStyle w:val="ListParagraph"/>
        <w:numPr>
          <w:ilvl w:val="0"/>
          <w:numId w:val="9"/>
        </w:numPr>
        <w:jc w:val="both"/>
        <w:rPr>
          <w:rFonts w:ascii="Arial" w:hAnsi="Arial" w:cs="Arial"/>
          <w:b/>
          <w:sz w:val="22"/>
          <w:szCs w:val="22"/>
        </w:rPr>
      </w:pPr>
      <w:r w:rsidRPr="009778C3">
        <w:rPr>
          <w:rFonts w:ascii="Arial" w:hAnsi="Arial" w:cs="Arial"/>
          <w:b/>
          <w:sz w:val="22"/>
          <w:szCs w:val="22"/>
        </w:rPr>
        <w:t>Supply &amp; Expense Budgets</w:t>
      </w:r>
    </w:p>
    <w:p w14:paraId="5A7EDAC0" w14:textId="77777777" w:rsidR="000B6B99" w:rsidRPr="00FF2039" w:rsidRDefault="000B6B99" w:rsidP="000B6B99">
      <w:pPr>
        <w:pStyle w:val="ListParagraph"/>
        <w:jc w:val="both"/>
        <w:rPr>
          <w:rFonts w:ascii="Arial" w:hAnsi="Arial" w:cs="Arial"/>
          <w:b/>
          <w:sz w:val="22"/>
          <w:szCs w:val="22"/>
          <w:u w:val="single"/>
        </w:rPr>
      </w:pPr>
    </w:p>
    <w:p w14:paraId="04923660" w14:textId="42AB4B7A" w:rsidR="00996814" w:rsidRPr="00FF2039" w:rsidRDefault="00094006" w:rsidP="000B6B99">
      <w:pPr>
        <w:pStyle w:val="ListParagraph"/>
        <w:jc w:val="both"/>
        <w:rPr>
          <w:rFonts w:ascii="Arial" w:hAnsi="Arial" w:cs="Arial"/>
          <w:sz w:val="22"/>
          <w:szCs w:val="22"/>
          <w:highlight w:val="green"/>
        </w:rPr>
      </w:pPr>
      <w:r w:rsidRPr="00FF2039">
        <w:rPr>
          <w:rFonts w:ascii="Arial" w:hAnsi="Arial" w:cs="Arial"/>
          <w:sz w:val="22"/>
          <w:szCs w:val="22"/>
        </w:rPr>
        <w:t>Supply and expense budgets should be budgeted by the c</w:t>
      </w:r>
      <w:r w:rsidRPr="00F733EB">
        <w:rPr>
          <w:rFonts w:ascii="Arial" w:hAnsi="Arial" w:cs="Arial"/>
          <w:sz w:val="22"/>
          <w:szCs w:val="22"/>
        </w:rPr>
        <w:t xml:space="preserve">lass code detail and explanations provided for any adjustments from the previous year. </w:t>
      </w:r>
      <w:r w:rsidR="0030338A">
        <w:rPr>
          <w:rFonts w:ascii="Arial" w:hAnsi="Arial" w:cs="Arial"/>
          <w:sz w:val="22"/>
          <w:szCs w:val="22"/>
        </w:rPr>
        <w:t>For the c</w:t>
      </w:r>
      <w:r w:rsidR="00F733EB" w:rsidRPr="00F733EB">
        <w:rPr>
          <w:rFonts w:ascii="Arial" w:hAnsi="Arial" w:cs="Arial"/>
          <w:sz w:val="22"/>
          <w:szCs w:val="22"/>
        </w:rPr>
        <w:t>olleges, t</w:t>
      </w:r>
      <w:r w:rsidR="000B6B99" w:rsidRPr="00F733EB">
        <w:rPr>
          <w:rFonts w:ascii="Arial" w:hAnsi="Arial" w:cs="Arial"/>
          <w:sz w:val="22"/>
          <w:szCs w:val="22"/>
        </w:rPr>
        <w:t>his</w:t>
      </w:r>
      <w:r w:rsidR="00F733EB" w:rsidRPr="00F733EB">
        <w:rPr>
          <w:rFonts w:ascii="Arial" w:hAnsi="Arial" w:cs="Arial"/>
          <w:sz w:val="22"/>
          <w:szCs w:val="22"/>
        </w:rPr>
        <w:t xml:space="preserve"> detailed</w:t>
      </w:r>
      <w:r w:rsidR="000B6B99" w:rsidRPr="00F733EB">
        <w:rPr>
          <w:rFonts w:ascii="Arial" w:hAnsi="Arial" w:cs="Arial"/>
          <w:sz w:val="22"/>
          <w:szCs w:val="22"/>
        </w:rPr>
        <w:t xml:space="preserve"> information will be collected from the </w:t>
      </w:r>
      <w:r w:rsidR="0030338A">
        <w:rPr>
          <w:rFonts w:ascii="Arial" w:hAnsi="Arial" w:cs="Arial"/>
          <w:sz w:val="22"/>
          <w:szCs w:val="22"/>
        </w:rPr>
        <w:t>a</w:t>
      </w:r>
      <w:r w:rsidR="00F733EB" w:rsidRPr="00F733EB">
        <w:rPr>
          <w:rFonts w:ascii="Arial" w:hAnsi="Arial" w:cs="Arial"/>
          <w:sz w:val="22"/>
          <w:szCs w:val="22"/>
        </w:rPr>
        <w:t xml:space="preserve">cademic </w:t>
      </w:r>
      <w:r w:rsidR="007F26ED">
        <w:rPr>
          <w:rFonts w:ascii="Arial" w:hAnsi="Arial" w:cs="Arial"/>
          <w:sz w:val="22"/>
          <w:szCs w:val="22"/>
        </w:rPr>
        <w:t>departments between April–</w:t>
      </w:r>
      <w:r w:rsidR="000B6B99" w:rsidRPr="00F733EB">
        <w:rPr>
          <w:rFonts w:ascii="Arial" w:hAnsi="Arial" w:cs="Arial"/>
          <w:sz w:val="22"/>
          <w:szCs w:val="22"/>
        </w:rPr>
        <w:t>June, with the need for the details to match the</w:t>
      </w:r>
      <w:r w:rsidR="00F733EB" w:rsidRPr="00F733EB">
        <w:rPr>
          <w:rFonts w:ascii="Arial" w:hAnsi="Arial" w:cs="Arial"/>
          <w:sz w:val="22"/>
          <w:szCs w:val="22"/>
        </w:rPr>
        <w:t xml:space="preserve"> departmental</w:t>
      </w:r>
      <w:r w:rsidR="000B6B99" w:rsidRPr="00F733EB">
        <w:rPr>
          <w:rFonts w:ascii="Arial" w:hAnsi="Arial" w:cs="Arial"/>
          <w:sz w:val="22"/>
          <w:szCs w:val="22"/>
        </w:rPr>
        <w:t xml:space="preserve"> totals submitted </w:t>
      </w:r>
      <w:r w:rsidR="00F733EB" w:rsidRPr="00F733EB">
        <w:rPr>
          <w:rFonts w:ascii="Arial" w:hAnsi="Arial" w:cs="Arial"/>
          <w:sz w:val="22"/>
          <w:szCs w:val="22"/>
        </w:rPr>
        <w:t>f</w:t>
      </w:r>
      <w:r w:rsidR="0030338A">
        <w:rPr>
          <w:rFonts w:ascii="Arial" w:hAnsi="Arial" w:cs="Arial"/>
          <w:sz w:val="22"/>
          <w:szCs w:val="22"/>
        </w:rPr>
        <w:t>or the Redbook budget. For non-c</w:t>
      </w:r>
      <w:r w:rsidR="00F733EB" w:rsidRPr="00F733EB">
        <w:rPr>
          <w:rFonts w:ascii="Arial" w:hAnsi="Arial" w:cs="Arial"/>
          <w:sz w:val="22"/>
          <w:szCs w:val="22"/>
        </w:rPr>
        <w:t xml:space="preserve">ollege units, class code detail for S&amp;E is due to the Budget Office upon completion of the FY18 budget. </w:t>
      </w:r>
      <w:r w:rsidR="000B6B99" w:rsidRPr="00F733EB">
        <w:rPr>
          <w:rFonts w:ascii="Arial" w:hAnsi="Arial" w:cs="Arial"/>
          <w:sz w:val="22"/>
          <w:szCs w:val="22"/>
        </w:rPr>
        <w:t xml:space="preserve"> </w:t>
      </w:r>
    </w:p>
    <w:p w14:paraId="04923661" w14:textId="038351F5" w:rsidR="00455C44" w:rsidRPr="000B6B99" w:rsidRDefault="00455C44" w:rsidP="005238FD">
      <w:pPr>
        <w:ind w:firstLine="45"/>
        <w:rPr>
          <w:rFonts w:ascii="Arial" w:hAnsi="Arial" w:cs="Arial"/>
          <w:sz w:val="20"/>
          <w:szCs w:val="20"/>
        </w:rPr>
      </w:pPr>
    </w:p>
    <w:p w14:paraId="04923665" w14:textId="5AF7D787" w:rsidR="006A4980" w:rsidRPr="009778C3" w:rsidRDefault="00F733EB" w:rsidP="00F733EB">
      <w:pPr>
        <w:pStyle w:val="ListParagraph"/>
        <w:numPr>
          <w:ilvl w:val="0"/>
          <w:numId w:val="9"/>
        </w:numPr>
        <w:rPr>
          <w:rFonts w:ascii="Arial" w:hAnsi="Arial" w:cs="Arial"/>
          <w:b/>
          <w:sz w:val="22"/>
          <w:szCs w:val="22"/>
        </w:rPr>
      </w:pPr>
      <w:r w:rsidRPr="009778C3">
        <w:rPr>
          <w:rFonts w:ascii="Arial" w:hAnsi="Arial" w:cs="Arial"/>
          <w:b/>
          <w:sz w:val="22"/>
          <w:szCs w:val="22"/>
        </w:rPr>
        <w:t>PR Balances and Spend Plans</w:t>
      </w:r>
    </w:p>
    <w:p w14:paraId="512030AA" w14:textId="77777777" w:rsidR="00F733EB" w:rsidRDefault="00F733EB" w:rsidP="007F26ED">
      <w:pPr>
        <w:ind w:left="360"/>
        <w:rPr>
          <w:rFonts w:ascii="Arial" w:hAnsi="Arial" w:cs="Arial"/>
          <w:sz w:val="20"/>
          <w:szCs w:val="20"/>
        </w:rPr>
      </w:pPr>
    </w:p>
    <w:p w14:paraId="606E9EAE" w14:textId="6213D3F2" w:rsidR="007F26ED" w:rsidRDefault="0030338A" w:rsidP="007F26ED">
      <w:pPr>
        <w:pStyle w:val="Default"/>
        <w:ind w:left="720"/>
        <w:jc w:val="both"/>
        <w:rPr>
          <w:rFonts w:ascii="Arial" w:hAnsi="Arial" w:cs="Arial"/>
          <w:sz w:val="22"/>
          <w:szCs w:val="22"/>
        </w:rPr>
      </w:pPr>
      <w:r>
        <w:rPr>
          <w:rFonts w:ascii="Arial" w:hAnsi="Arial" w:cs="Arial"/>
          <w:sz w:val="22"/>
          <w:szCs w:val="22"/>
        </w:rPr>
        <w:t>Board of Regents Policy 21-6 requires institutions to report annually on program revenue balances at fiscal year-end for each fund category by level of commitment. The Budget Office will provide departments with fiscal year-end reports for all account balances in the program revenue fund categories above the university’s 10% policy threshold. A five-year expenditure plan and related justification is required to be submitted by July 15</w:t>
      </w:r>
      <w:r w:rsidRPr="0030338A">
        <w:rPr>
          <w:rFonts w:ascii="Arial" w:hAnsi="Arial" w:cs="Arial"/>
          <w:sz w:val="22"/>
          <w:szCs w:val="22"/>
          <w:vertAlign w:val="superscript"/>
        </w:rPr>
        <w:t>th</w:t>
      </w:r>
      <w:r>
        <w:rPr>
          <w:rFonts w:ascii="Arial" w:hAnsi="Arial" w:cs="Arial"/>
          <w:sz w:val="22"/>
          <w:szCs w:val="22"/>
        </w:rPr>
        <w:t xml:space="preserve"> of each fiscal year for account balances exceeding the threshold for the purpose of reducing the balance below the 10% threshold and ensuring compliance with the policy. Accounts with program revenue balances below $10,000 that exceed the policy threshold are not required to submit an expenditure plan. The Budget Office will review the status of cash balances quarterly and as part of the annual budget process to ensure Program Revenue balances are being expended according to submitted plans. </w:t>
      </w:r>
    </w:p>
    <w:p w14:paraId="18E84658" w14:textId="77777777" w:rsidR="007F26ED" w:rsidRPr="007F26ED" w:rsidRDefault="007F26ED" w:rsidP="007F26ED">
      <w:pPr>
        <w:ind w:left="720"/>
        <w:rPr>
          <w:rFonts w:ascii="Arial" w:hAnsi="Arial" w:cs="Arial"/>
          <w:sz w:val="20"/>
          <w:szCs w:val="20"/>
        </w:rPr>
      </w:pPr>
    </w:p>
    <w:sectPr w:rsidR="007F26ED" w:rsidRPr="007F26ED" w:rsidSect="000E6316">
      <w:head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D5370" w14:textId="77777777" w:rsidR="00162FEE" w:rsidRDefault="00162FEE" w:rsidP="00FE5517">
      <w:r>
        <w:separator/>
      </w:r>
    </w:p>
  </w:endnote>
  <w:endnote w:type="continuationSeparator" w:id="0">
    <w:p w14:paraId="505BCD81" w14:textId="77777777" w:rsidR="00162FEE" w:rsidRDefault="00162FEE" w:rsidP="00FE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72EF4" w14:textId="77777777" w:rsidR="00162FEE" w:rsidRDefault="00162FEE" w:rsidP="00FE5517">
      <w:r>
        <w:separator/>
      </w:r>
    </w:p>
  </w:footnote>
  <w:footnote w:type="continuationSeparator" w:id="0">
    <w:p w14:paraId="2DDD0484" w14:textId="77777777" w:rsidR="00162FEE" w:rsidRDefault="00162FEE" w:rsidP="00FE5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E67F3" w14:textId="0F22916B" w:rsidR="00F925A3" w:rsidRDefault="00F925A3" w:rsidP="000E6316">
    <w:pPr>
      <w:pStyle w:val="Header"/>
      <w:jc w:val="center"/>
    </w:pPr>
  </w:p>
  <w:p w14:paraId="4A0C2961" w14:textId="77777777" w:rsidR="00F925A3" w:rsidRDefault="00F925A3" w:rsidP="000E631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D73E0" w14:textId="534917C6" w:rsidR="00F925A3" w:rsidRDefault="00F925A3" w:rsidP="000E6316">
    <w:pPr>
      <w:pStyle w:val="Header"/>
      <w:jc w:val="center"/>
    </w:pPr>
    <w:r>
      <w:rPr>
        <w:noProof/>
      </w:rPr>
      <w:drawing>
        <wp:inline distT="114300" distB="114300" distL="114300" distR="114300" wp14:anchorId="0535BFA6" wp14:editId="7A06005E">
          <wp:extent cx="2686050" cy="44767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686050" cy="447675"/>
                  </a:xfrm>
                  <a:prstGeom prst="rect">
                    <a:avLst/>
                  </a:prstGeom>
                  <a:ln/>
                </pic:spPr>
              </pic:pic>
            </a:graphicData>
          </a:graphic>
        </wp:inline>
      </w:drawing>
    </w:r>
  </w:p>
  <w:p w14:paraId="3621EA10" w14:textId="77777777" w:rsidR="00F925A3" w:rsidRDefault="00F925A3" w:rsidP="000E631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45AD3"/>
    <w:multiLevelType w:val="hybridMultilevel"/>
    <w:tmpl w:val="1070D5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D9865FD"/>
    <w:multiLevelType w:val="hybridMultilevel"/>
    <w:tmpl w:val="BEF8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11E6B"/>
    <w:multiLevelType w:val="hybridMultilevel"/>
    <w:tmpl w:val="05BC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147CD"/>
    <w:multiLevelType w:val="hybridMultilevel"/>
    <w:tmpl w:val="AE243E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4D960DE"/>
    <w:multiLevelType w:val="hybridMultilevel"/>
    <w:tmpl w:val="75580AE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2211F"/>
    <w:multiLevelType w:val="hybridMultilevel"/>
    <w:tmpl w:val="7E68E7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3E022D"/>
    <w:multiLevelType w:val="hybridMultilevel"/>
    <w:tmpl w:val="5EEE4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491584A"/>
    <w:multiLevelType w:val="hybridMultilevel"/>
    <w:tmpl w:val="6F687D88"/>
    <w:lvl w:ilvl="0" w:tplc="42A2B2FA">
      <w:start w:val="1"/>
      <w:numFmt w:val="decimal"/>
      <w:lvlText w:val="%1."/>
      <w:lvlJc w:val="left"/>
      <w:pPr>
        <w:ind w:left="720" w:hanging="360"/>
      </w:pPr>
      <w:rPr>
        <w:b/>
      </w:rPr>
    </w:lvl>
    <w:lvl w:ilvl="1" w:tplc="3BD25E3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D56D0"/>
    <w:multiLevelType w:val="hybridMultilevel"/>
    <w:tmpl w:val="F0DEF40A"/>
    <w:lvl w:ilvl="0" w:tplc="64383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8"/>
  </w:num>
  <w:num w:numId="5">
    <w:abstractNumId w:val="5"/>
  </w:num>
  <w:num w:numId="6">
    <w:abstractNumId w:val="6"/>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31"/>
    <w:rsid w:val="000006ED"/>
    <w:rsid w:val="0001430A"/>
    <w:rsid w:val="0001475D"/>
    <w:rsid w:val="000238FC"/>
    <w:rsid w:val="00041F14"/>
    <w:rsid w:val="000430B7"/>
    <w:rsid w:val="00044BFD"/>
    <w:rsid w:val="000450EA"/>
    <w:rsid w:val="000535E8"/>
    <w:rsid w:val="00057D08"/>
    <w:rsid w:val="0006530F"/>
    <w:rsid w:val="00065DB3"/>
    <w:rsid w:val="0008003E"/>
    <w:rsid w:val="00085222"/>
    <w:rsid w:val="00094006"/>
    <w:rsid w:val="00094275"/>
    <w:rsid w:val="000957A9"/>
    <w:rsid w:val="000A73F9"/>
    <w:rsid w:val="000B0286"/>
    <w:rsid w:val="000B6B99"/>
    <w:rsid w:val="000B7D65"/>
    <w:rsid w:val="000C1B09"/>
    <w:rsid w:val="000D031B"/>
    <w:rsid w:val="000E6316"/>
    <w:rsid w:val="000F4AA5"/>
    <w:rsid w:val="001036F4"/>
    <w:rsid w:val="00115B40"/>
    <w:rsid w:val="00123635"/>
    <w:rsid w:val="00151140"/>
    <w:rsid w:val="00151278"/>
    <w:rsid w:val="00155874"/>
    <w:rsid w:val="00162FEE"/>
    <w:rsid w:val="00163E35"/>
    <w:rsid w:val="00163FF3"/>
    <w:rsid w:val="0017627E"/>
    <w:rsid w:val="001812B9"/>
    <w:rsid w:val="00191302"/>
    <w:rsid w:val="001923C4"/>
    <w:rsid w:val="001A0FD0"/>
    <w:rsid w:val="001A53F3"/>
    <w:rsid w:val="001A611F"/>
    <w:rsid w:val="001C095A"/>
    <w:rsid w:val="001C3398"/>
    <w:rsid w:val="001C3E7B"/>
    <w:rsid w:val="001C579D"/>
    <w:rsid w:val="001C728F"/>
    <w:rsid w:val="001D2038"/>
    <w:rsid w:val="001D2DB0"/>
    <w:rsid w:val="001E20E9"/>
    <w:rsid w:val="001E6B31"/>
    <w:rsid w:val="001F69D1"/>
    <w:rsid w:val="00206D59"/>
    <w:rsid w:val="00213946"/>
    <w:rsid w:val="00225021"/>
    <w:rsid w:val="002267B1"/>
    <w:rsid w:val="00227090"/>
    <w:rsid w:val="00234B4C"/>
    <w:rsid w:val="00243A35"/>
    <w:rsid w:val="00254E13"/>
    <w:rsid w:val="00260D00"/>
    <w:rsid w:val="00263747"/>
    <w:rsid w:val="002646F3"/>
    <w:rsid w:val="00270F9D"/>
    <w:rsid w:val="002765A0"/>
    <w:rsid w:val="0027672B"/>
    <w:rsid w:val="00277E93"/>
    <w:rsid w:val="00285652"/>
    <w:rsid w:val="002B141A"/>
    <w:rsid w:val="002B6DC5"/>
    <w:rsid w:val="002D0D3A"/>
    <w:rsid w:val="002D2D66"/>
    <w:rsid w:val="002D5A97"/>
    <w:rsid w:val="002D6135"/>
    <w:rsid w:val="002F3AA1"/>
    <w:rsid w:val="002F76D8"/>
    <w:rsid w:val="0030225E"/>
    <w:rsid w:val="0030338A"/>
    <w:rsid w:val="00307BD2"/>
    <w:rsid w:val="00311D06"/>
    <w:rsid w:val="003263D7"/>
    <w:rsid w:val="00337865"/>
    <w:rsid w:val="00337F9B"/>
    <w:rsid w:val="003478FE"/>
    <w:rsid w:val="003520EA"/>
    <w:rsid w:val="00374D4F"/>
    <w:rsid w:val="00383CB7"/>
    <w:rsid w:val="003A1E90"/>
    <w:rsid w:val="003A2654"/>
    <w:rsid w:val="003B565E"/>
    <w:rsid w:val="003C1286"/>
    <w:rsid w:val="003C523F"/>
    <w:rsid w:val="003D1F1E"/>
    <w:rsid w:val="003D625D"/>
    <w:rsid w:val="003F0839"/>
    <w:rsid w:val="003F0EC0"/>
    <w:rsid w:val="003F47EB"/>
    <w:rsid w:val="003F4E70"/>
    <w:rsid w:val="00401DC6"/>
    <w:rsid w:val="00402BB5"/>
    <w:rsid w:val="004055CB"/>
    <w:rsid w:val="0040676D"/>
    <w:rsid w:val="004109BF"/>
    <w:rsid w:val="004111F4"/>
    <w:rsid w:val="0041157F"/>
    <w:rsid w:val="00414BEE"/>
    <w:rsid w:val="00416E40"/>
    <w:rsid w:val="0042573A"/>
    <w:rsid w:val="00435167"/>
    <w:rsid w:val="004354D6"/>
    <w:rsid w:val="004530C5"/>
    <w:rsid w:val="004542B4"/>
    <w:rsid w:val="00455C44"/>
    <w:rsid w:val="0046710D"/>
    <w:rsid w:val="00477E0C"/>
    <w:rsid w:val="00483F4A"/>
    <w:rsid w:val="0049519D"/>
    <w:rsid w:val="00497325"/>
    <w:rsid w:val="004A4BF7"/>
    <w:rsid w:val="004B1E94"/>
    <w:rsid w:val="004B48EE"/>
    <w:rsid w:val="004B52FF"/>
    <w:rsid w:val="004B56D1"/>
    <w:rsid w:val="004C1612"/>
    <w:rsid w:val="004C718E"/>
    <w:rsid w:val="004D674F"/>
    <w:rsid w:val="004E1AB4"/>
    <w:rsid w:val="004E1CC3"/>
    <w:rsid w:val="004F3B21"/>
    <w:rsid w:val="004F562F"/>
    <w:rsid w:val="0050298E"/>
    <w:rsid w:val="00505AD6"/>
    <w:rsid w:val="00512F55"/>
    <w:rsid w:val="005174B5"/>
    <w:rsid w:val="00520296"/>
    <w:rsid w:val="005238FD"/>
    <w:rsid w:val="00525868"/>
    <w:rsid w:val="005271F3"/>
    <w:rsid w:val="00531998"/>
    <w:rsid w:val="00535C07"/>
    <w:rsid w:val="0053796E"/>
    <w:rsid w:val="00537B8D"/>
    <w:rsid w:val="00544323"/>
    <w:rsid w:val="005461E9"/>
    <w:rsid w:val="00546845"/>
    <w:rsid w:val="0055590C"/>
    <w:rsid w:val="00562A01"/>
    <w:rsid w:val="0056618D"/>
    <w:rsid w:val="00570385"/>
    <w:rsid w:val="005749F2"/>
    <w:rsid w:val="00574DF0"/>
    <w:rsid w:val="005859F7"/>
    <w:rsid w:val="005A36CC"/>
    <w:rsid w:val="005B40B1"/>
    <w:rsid w:val="005B483E"/>
    <w:rsid w:val="005C0B56"/>
    <w:rsid w:val="005C138B"/>
    <w:rsid w:val="005E554A"/>
    <w:rsid w:val="005E7E4B"/>
    <w:rsid w:val="005F0AB8"/>
    <w:rsid w:val="005F0DC5"/>
    <w:rsid w:val="005F1638"/>
    <w:rsid w:val="0060276B"/>
    <w:rsid w:val="00603A25"/>
    <w:rsid w:val="006147A7"/>
    <w:rsid w:val="00626149"/>
    <w:rsid w:val="00630CAD"/>
    <w:rsid w:val="0063195E"/>
    <w:rsid w:val="0063683E"/>
    <w:rsid w:val="006448A0"/>
    <w:rsid w:val="00646810"/>
    <w:rsid w:val="00653579"/>
    <w:rsid w:val="00660D7B"/>
    <w:rsid w:val="00663ECB"/>
    <w:rsid w:val="00667788"/>
    <w:rsid w:val="006723B2"/>
    <w:rsid w:val="00677CAB"/>
    <w:rsid w:val="0068697F"/>
    <w:rsid w:val="006A4980"/>
    <w:rsid w:val="006A651E"/>
    <w:rsid w:val="006A71FE"/>
    <w:rsid w:val="006B1A4D"/>
    <w:rsid w:val="006B5C90"/>
    <w:rsid w:val="006C2718"/>
    <w:rsid w:val="006D575C"/>
    <w:rsid w:val="006E5F07"/>
    <w:rsid w:val="006F4125"/>
    <w:rsid w:val="006F4879"/>
    <w:rsid w:val="006F7F84"/>
    <w:rsid w:val="00715FDB"/>
    <w:rsid w:val="007170EA"/>
    <w:rsid w:val="007215E3"/>
    <w:rsid w:val="007376B2"/>
    <w:rsid w:val="00747384"/>
    <w:rsid w:val="00750827"/>
    <w:rsid w:val="007607AB"/>
    <w:rsid w:val="0076095C"/>
    <w:rsid w:val="007628F3"/>
    <w:rsid w:val="00762D66"/>
    <w:rsid w:val="0077206A"/>
    <w:rsid w:val="00773A61"/>
    <w:rsid w:val="00791BD2"/>
    <w:rsid w:val="007964F8"/>
    <w:rsid w:val="007B4997"/>
    <w:rsid w:val="007B5354"/>
    <w:rsid w:val="007B7131"/>
    <w:rsid w:val="007C23BF"/>
    <w:rsid w:val="007C2F20"/>
    <w:rsid w:val="007C3B0C"/>
    <w:rsid w:val="007C6041"/>
    <w:rsid w:val="007D733F"/>
    <w:rsid w:val="007D73AB"/>
    <w:rsid w:val="007E137C"/>
    <w:rsid w:val="007F26ED"/>
    <w:rsid w:val="008160F8"/>
    <w:rsid w:val="00820730"/>
    <w:rsid w:val="00821ED8"/>
    <w:rsid w:val="008310E4"/>
    <w:rsid w:val="00834690"/>
    <w:rsid w:val="00843368"/>
    <w:rsid w:val="00862B5E"/>
    <w:rsid w:val="00870D3A"/>
    <w:rsid w:val="00873866"/>
    <w:rsid w:val="00875158"/>
    <w:rsid w:val="00877C7F"/>
    <w:rsid w:val="00880000"/>
    <w:rsid w:val="0088098C"/>
    <w:rsid w:val="00892797"/>
    <w:rsid w:val="008964DD"/>
    <w:rsid w:val="008D0C77"/>
    <w:rsid w:val="008D0F5D"/>
    <w:rsid w:val="008D4242"/>
    <w:rsid w:val="008D65FC"/>
    <w:rsid w:val="008E1DBA"/>
    <w:rsid w:val="008E3287"/>
    <w:rsid w:val="008E72F4"/>
    <w:rsid w:val="00904B30"/>
    <w:rsid w:val="009060A4"/>
    <w:rsid w:val="00911A76"/>
    <w:rsid w:val="00912988"/>
    <w:rsid w:val="00916884"/>
    <w:rsid w:val="00916C13"/>
    <w:rsid w:val="009272AE"/>
    <w:rsid w:val="0093176E"/>
    <w:rsid w:val="00931CAF"/>
    <w:rsid w:val="00934A9C"/>
    <w:rsid w:val="00937EE4"/>
    <w:rsid w:val="0094686A"/>
    <w:rsid w:val="00952043"/>
    <w:rsid w:val="0095259D"/>
    <w:rsid w:val="009527BC"/>
    <w:rsid w:val="00964F22"/>
    <w:rsid w:val="0097110D"/>
    <w:rsid w:val="00975ABE"/>
    <w:rsid w:val="00977051"/>
    <w:rsid w:val="009778C3"/>
    <w:rsid w:val="009804A8"/>
    <w:rsid w:val="00996814"/>
    <w:rsid w:val="009A15CB"/>
    <w:rsid w:val="009A3EF8"/>
    <w:rsid w:val="009B28AA"/>
    <w:rsid w:val="009C6320"/>
    <w:rsid w:val="009E2930"/>
    <w:rsid w:val="009F17B1"/>
    <w:rsid w:val="009F23BD"/>
    <w:rsid w:val="009F40C7"/>
    <w:rsid w:val="009F6CC4"/>
    <w:rsid w:val="00A01FF3"/>
    <w:rsid w:val="00A05C2D"/>
    <w:rsid w:val="00A10443"/>
    <w:rsid w:val="00A339D0"/>
    <w:rsid w:val="00A35DF5"/>
    <w:rsid w:val="00A4664D"/>
    <w:rsid w:val="00A47225"/>
    <w:rsid w:val="00A502A2"/>
    <w:rsid w:val="00A51824"/>
    <w:rsid w:val="00A56F78"/>
    <w:rsid w:val="00A7242D"/>
    <w:rsid w:val="00A75E21"/>
    <w:rsid w:val="00A77EC1"/>
    <w:rsid w:val="00A85F27"/>
    <w:rsid w:val="00A96195"/>
    <w:rsid w:val="00A9688C"/>
    <w:rsid w:val="00A97CDC"/>
    <w:rsid w:val="00AC2C31"/>
    <w:rsid w:val="00AD73E8"/>
    <w:rsid w:val="00AD7428"/>
    <w:rsid w:val="00AE17E1"/>
    <w:rsid w:val="00AE5D3A"/>
    <w:rsid w:val="00AF329F"/>
    <w:rsid w:val="00AF776B"/>
    <w:rsid w:val="00B01634"/>
    <w:rsid w:val="00B05C7A"/>
    <w:rsid w:val="00B103EA"/>
    <w:rsid w:val="00B14219"/>
    <w:rsid w:val="00B329F9"/>
    <w:rsid w:val="00B3329E"/>
    <w:rsid w:val="00B3697F"/>
    <w:rsid w:val="00B5074E"/>
    <w:rsid w:val="00B5265F"/>
    <w:rsid w:val="00B635EE"/>
    <w:rsid w:val="00B64475"/>
    <w:rsid w:val="00B7054D"/>
    <w:rsid w:val="00B71023"/>
    <w:rsid w:val="00B75013"/>
    <w:rsid w:val="00B75940"/>
    <w:rsid w:val="00B8155F"/>
    <w:rsid w:val="00B81B65"/>
    <w:rsid w:val="00B85D7A"/>
    <w:rsid w:val="00B91EE3"/>
    <w:rsid w:val="00B95032"/>
    <w:rsid w:val="00BA019B"/>
    <w:rsid w:val="00BB5CC1"/>
    <w:rsid w:val="00BC26BD"/>
    <w:rsid w:val="00BC74F9"/>
    <w:rsid w:val="00BD0C9A"/>
    <w:rsid w:val="00BD7DD3"/>
    <w:rsid w:val="00BE3191"/>
    <w:rsid w:val="00BE3CE8"/>
    <w:rsid w:val="00BF3464"/>
    <w:rsid w:val="00BF7266"/>
    <w:rsid w:val="00C0486D"/>
    <w:rsid w:val="00C04A0C"/>
    <w:rsid w:val="00C060EE"/>
    <w:rsid w:val="00C071B5"/>
    <w:rsid w:val="00C10B9C"/>
    <w:rsid w:val="00C133C3"/>
    <w:rsid w:val="00C1659F"/>
    <w:rsid w:val="00C217D9"/>
    <w:rsid w:val="00C31F34"/>
    <w:rsid w:val="00C34DCC"/>
    <w:rsid w:val="00C36045"/>
    <w:rsid w:val="00C4351E"/>
    <w:rsid w:val="00C435F6"/>
    <w:rsid w:val="00C64D29"/>
    <w:rsid w:val="00C663FF"/>
    <w:rsid w:val="00C67A89"/>
    <w:rsid w:val="00C758CA"/>
    <w:rsid w:val="00C7754A"/>
    <w:rsid w:val="00C777F1"/>
    <w:rsid w:val="00C80C4B"/>
    <w:rsid w:val="00C917CE"/>
    <w:rsid w:val="00C91AAC"/>
    <w:rsid w:val="00C926FF"/>
    <w:rsid w:val="00C93D8F"/>
    <w:rsid w:val="00C93DA2"/>
    <w:rsid w:val="00CA0D94"/>
    <w:rsid w:val="00CA2BF0"/>
    <w:rsid w:val="00CA35B0"/>
    <w:rsid w:val="00CA396F"/>
    <w:rsid w:val="00CA704D"/>
    <w:rsid w:val="00CB2388"/>
    <w:rsid w:val="00CB6BBC"/>
    <w:rsid w:val="00CD15F2"/>
    <w:rsid w:val="00CD36BC"/>
    <w:rsid w:val="00CD718A"/>
    <w:rsid w:val="00CF1256"/>
    <w:rsid w:val="00CF3D21"/>
    <w:rsid w:val="00CF7ACE"/>
    <w:rsid w:val="00D0502F"/>
    <w:rsid w:val="00D063E7"/>
    <w:rsid w:val="00D10E96"/>
    <w:rsid w:val="00D13937"/>
    <w:rsid w:val="00D15677"/>
    <w:rsid w:val="00D16D80"/>
    <w:rsid w:val="00D17584"/>
    <w:rsid w:val="00D20027"/>
    <w:rsid w:val="00D20CDE"/>
    <w:rsid w:val="00D23B7A"/>
    <w:rsid w:val="00D324F9"/>
    <w:rsid w:val="00D32FE2"/>
    <w:rsid w:val="00D40124"/>
    <w:rsid w:val="00D40E4C"/>
    <w:rsid w:val="00D51C08"/>
    <w:rsid w:val="00D61E33"/>
    <w:rsid w:val="00D63212"/>
    <w:rsid w:val="00D63BF6"/>
    <w:rsid w:val="00D67921"/>
    <w:rsid w:val="00D73BAD"/>
    <w:rsid w:val="00D75F23"/>
    <w:rsid w:val="00D77702"/>
    <w:rsid w:val="00D91A95"/>
    <w:rsid w:val="00D97106"/>
    <w:rsid w:val="00D97134"/>
    <w:rsid w:val="00D97705"/>
    <w:rsid w:val="00D97B98"/>
    <w:rsid w:val="00DB0660"/>
    <w:rsid w:val="00DB79BC"/>
    <w:rsid w:val="00DD2176"/>
    <w:rsid w:val="00DD7955"/>
    <w:rsid w:val="00DE6A12"/>
    <w:rsid w:val="00E041E3"/>
    <w:rsid w:val="00E042B1"/>
    <w:rsid w:val="00E2760A"/>
    <w:rsid w:val="00E314C0"/>
    <w:rsid w:val="00E32B4A"/>
    <w:rsid w:val="00E337C4"/>
    <w:rsid w:val="00E41FE2"/>
    <w:rsid w:val="00E44126"/>
    <w:rsid w:val="00E46AD0"/>
    <w:rsid w:val="00E55175"/>
    <w:rsid w:val="00E57C3F"/>
    <w:rsid w:val="00E60BDC"/>
    <w:rsid w:val="00E75C10"/>
    <w:rsid w:val="00E77C8B"/>
    <w:rsid w:val="00E87D59"/>
    <w:rsid w:val="00E91F0B"/>
    <w:rsid w:val="00E93831"/>
    <w:rsid w:val="00E943D6"/>
    <w:rsid w:val="00EA34DA"/>
    <w:rsid w:val="00EA6D24"/>
    <w:rsid w:val="00EC1F8E"/>
    <w:rsid w:val="00EC5F3F"/>
    <w:rsid w:val="00ED2950"/>
    <w:rsid w:val="00ED7BC1"/>
    <w:rsid w:val="00EE1F3E"/>
    <w:rsid w:val="00EE20AD"/>
    <w:rsid w:val="00EE6119"/>
    <w:rsid w:val="00F1628F"/>
    <w:rsid w:val="00F20B2D"/>
    <w:rsid w:val="00F223F9"/>
    <w:rsid w:val="00F25E08"/>
    <w:rsid w:val="00F32D38"/>
    <w:rsid w:val="00F3393A"/>
    <w:rsid w:val="00F40B91"/>
    <w:rsid w:val="00F462D8"/>
    <w:rsid w:val="00F46FF1"/>
    <w:rsid w:val="00F6027D"/>
    <w:rsid w:val="00F6470F"/>
    <w:rsid w:val="00F64903"/>
    <w:rsid w:val="00F733EB"/>
    <w:rsid w:val="00F8154A"/>
    <w:rsid w:val="00F835D4"/>
    <w:rsid w:val="00F90484"/>
    <w:rsid w:val="00F920C4"/>
    <w:rsid w:val="00F925A3"/>
    <w:rsid w:val="00F97037"/>
    <w:rsid w:val="00FA3505"/>
    <w:rsid w:val="00FA6900"/>
    <w:rsid w:val="00FB0DBF"/>
    <w:rsid w:val="00FB41AD"/>
    <w:rsid w:val="00FC7075"/>
    <w:rsid w:val="00FE4486"/>
    <w:rsid w:val="00FE5517"/>
    <w:rsid w:val="00FF2039"/>
    <w:rsid w:val="00FF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923633"/>
  <w15:docId w15:val="{D63AE737-9D75-4242-B4ED-AAC3C0B4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5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131"/>
    <w:pPr>
      <w:ind w:left="720"/>
      <w:contextualSpacing/>
    </w:pPr>
  </w:style>
  <w:style w:type="paragraph" w:styleId="FootnoteText">
    <w:name w:val="footnote text"/>
    <w:basedOn w:val="Normal"/>
    <w:link w:val="FootnoteTextChar"/>
    <w:uiPriority w:val="99"/>
    <w:rsid w:val="00FE5517"/>
    <w:rPr>
      <w:sz w:val="20"/>
      <w:szCs w:val="20"/>
    </w:rPr>
  </w:style>
  <w:style w:type="character" w:customStyle="1" w:styleId="FootnoteTextChar">
    <w:name w:val="Footnote Text Char"/>
    <w:basedOn w:val="DefaultParagraphFont"/>
    <w:link w:val="FootnoteText"/>
    <w:uiPriority w:val="99"/>
    <w:locked/>
    <w:rsid w:val="00FE5517"/>
    <w:rPr>
      <w:rFonts w:cs="Times New Roman"/>
    </w:rPr>
  </w:style>
  <w:style w:type="character" w:styleId="FootnoteReference">
    <w:name w:val="footnote reference"/>
    <w:basedOn w:val="DefaultParagraphFont"/>
    <w:uiPriority w:val="99"/>
    <w:rsid w:val="00FE5517"/>
    <w:rPr>
      <w:rFonts w:cs="Times New Roman"/>
      <w:vertAlign w:val="superscript"/>
    </w:rPr>
  </w:style>
  <w:style w:type="paragraph" w:styleId="BalloonText">
    <w:name w:val="Balloon Text"/>
    <w:basedOn w:val="Normal"/>
    <w:link w:val="BalloonTextChar"/>
    <w:uiPriority w:val="99"/>
    <w:rsid w:val="00626149"/>
    <w:rPr>
      <w:rFonts w:ascii="Tahoma" w:hAnsi="Tahoma" w:cs="Tahoma"/>
      <w:sz w:val="16"/>
      <w:szCs w:val="16"/>
    </w:rPr>
  </w:style>
  <w:style w:type="character" w:customStyle="1" w:styleId="BalloonTextChar">
    <w:name w:val="Balloon Text Char"/>
    <w:basedOn w:val="DefaultParagraphFont"/>
    <w:link w:val="BalloonText"/>
    <w:uiPriority w:val="99"/>
    <w:locked/>
    <w:rsid w:val="00626149"/>
    <w:rPr>
      <w:rFonts w:ascii="Tahoma" w:hAnsi="Tahoma" w:cs="Tahoma"/>
      <w:sz w:val="16"/>
      <w:szCs w:val="16"/>
    </w:rPr>
  </w:style>
  <w:style w:type="table" w:styleId="TableGrid">
    <w:name w:val="Table Grid"/>
    <w:basedOn w:val="TableNormal"/>
    <w:uiPriority w:val="99"/>
    <w:rsid w:val="000653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B9C"/>
    <w:pPr>
      <w:autoSpaceDE w:val="0"/>
      <w:autoSpaceDN w:val="0"/>
      <w:adjustRightInd w:val="0"/>
    </w:pPr>
    <w:rPr>
      <w:color w:val="000000"/>
      <w:sz w:val="24"/>
      <w:szCs w:val="24"/>
    </w:rPr>
  </w:style>
  <w:style w:type="paragraph" w:styleId="Header">
    <w:name w:val="header"/>
    <w:basedOn w:val="Normal"/>
    <w:link w:val="HeaderChar"/>
    <w:uiPriority w:val="99"/>
    <w:unhideWhenUsed/>
    <w:rsid w:val="00F925A3"/>
    <w:pPr>
      <w:tabs>
        <w:tab w:val="center" w:pos="4680"/>
        <w:tab w:val="right" w:pos="9360"/>
      </w:tabs>
    </w:pPr>
  </w:style>
  <w:style w:type="character" w:customStyle="1" w:styleId="HeaderChar">
    <w:name w:val="Header Char"/>
    <w:basedOn w:val="DefaultParagraphFont"/>
    <w:link w:val="Header"/>
    <w:uiPriority w:val="99"/>
    <w:rsid w:val="00F925A3"/>
    <w:rPr>
      <w:sz w:val="24"/>
      <w:szCs w:val="24"/>
    </w:rPr>
  </w:style>
  <w:style w:type="paragraph" w:styleId="Footer">
    <w:name w:val="footer"/>
    <w:basedOn w:val="Normal"/>
    <w:link w:val="FooterChar"/>
    <w:uiPriority w:val="99"/>
    <w:unhideWhenUsed/>
    <w:rsid w:val="00F925A3"/>
    <w:pPr>
      <w:tabs>
        <w:tab w:val="center" w:pos="4680"/>
        <w:tab w:val="right" w:pos="9360"/>
      </w:tabs>
    </w:pPr>
  </w:style>
  <w:style w:type="character" w:customStyle="1" w:styleId="FooterChar">
    <w:name w:val="Footer Char"/>
    <w:basedOn w:val="DefaultParagraphFont"/>
    <w:link w:val="Footer"/>
    <w:uiPriority w:val="99"/>
    <w:rsid w:val="00F925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55933">
      <w:marLeft w:val="0"/>
      <w:marRight w:val="0"/>
      <w:marTop w:val="0"/>
      <w:marBottom w:val="0"/>
      <w:divBdr>
        <w:top w:val="none" w:sz="0" w:space="0" w:color="auto"/>
        <w:left w:val="none" w:sz="0" w:space="0" w:color="auto"/>
        <w:bottom w:val="none" w:sz="0" w:space="0" w:color="auto"/>
        <w:right w:val="none" w:sz="0" w:space="0" w:color="auto"/>
      </w:divBdr>
    </w:div>
    <w:div w:id="262155934">
      <w:marLeft w:val="0"/>
      <w:marRight w:val="0"/>
      <w:marTop w:val="0"/>
      <w:marBottom w:val="0"/>
      <w:divBdr>
        <w:top w:val="none" w:sz="0" w:space="0" w:color="auto"/>
        <w:left w:val="none" w:sz="0" w:space="0" w:color="auto"/>
        <w:bottom w:val="none" w:sz="0" w:space="0" w:color="auto"/>
        <w:right w:val="none" w:sz="0" w:space="0" w:color="auto"/>
      </w:divBdr>
    </w:div>
    <w:div w:id="262155935">
      <w:marLeft w:val="0"/>
      <w:marRight w:val="0"/>
      <w:marTop w:val="0"/>
      <w:marBottom w:val="0"/>
      <w:divBdr>
        <w:top w:val="none" w:sz="0" w:space="0" w:color="auto"/>
        <w:left w:val="none" w:sz="0" w:space="0" w:color="auto"/>
        <w:bottom w:val="none" w:sz="0" w:space="0" w:color="auto"/>
        <w:right w:val="none" w:sz="0" w:space="0" w:color="auto"/>
      </w:divBdr>
    </w:div>
    <w:div w:id="262155936">
      <w:marLeft w:val="0"/>
      <w:marRight w:val="0"/>
      <w:marTop w:val="0"/>
      <w:marBottom w:val="0"/>
      <w:divBdr>
        <w:top w:val="none" w:sz="0" w:space="0" w:color="auto"/>
        <w:left w:val="none" w:sz="0" w:space="0" w:color="auto"/>
        <w:bottom w:val="none" w:sz="0" w:space="0" w:color="auto"/>
        <w:right w:val="none" w:sz="0" w:space="0" w:color="auto"/>
      </w:divBdr>
    </w:div>
    <w:div w:id="262155937">
      <w:marLeft w:val="0"/>
      <w:marRight w:val="0"/>
      <w:marTop w:val="0"/>
      <w:marBottom w:val="0"/>
      <w:divBdr>
        <w:top w:val="none" w:sz="0" w:space="0" w:color="auto"/>
        <w:left w:val="none" w:sz="0" w:space="0" w:color="auto"/>
        <w:bottom w:val="none" w:sz="0" w:space="0" w:color="auto"/>
        <w:right w:val="none" w:sz="0" w:space="0" w:color="auto"/>
      </w:divBdr>
    </w:div>
    <w:div w:id="262155938">
      <w:marLeft w:val="0"/>
      <w:marRight w:val="0"/>
      <w:marTop w:val="0"/>
      <w:marBottom w:val="0"/>
      <w:divBdr>
        <w:top w:val="none" w:sz="0" w:space="0" w:color="auto"/>
        <w:left w:val="none" w:sz="0" w:space="0" w:color="auto"/>
        <w:bottom w:val="none" w:sz="0" w:space="0" w:color="auto"/>
        <w:right w:val="none" w:sz="0" w:space="0" w:color="auto"/>
      </w:divBdr>
    </w:div>
    <w:div w:id="262155939">
      <w:marLeft w:val="0"/>
      <w:marRight w:val="0"/>
      <w:marTop w:val="0"/>
      <w:marBottom w:val="0"/>
      <w:divBdr>
        <w:top w:val="none" w:sz="0" w:space="0" w:color="auto"/>
        <w:left w:val="none" w:sz="0" w:space="0" w:color="auto"/>
        <w:bottom w:val="none" w:sz="0" w:space="0" w:color="auto"/>
        <w:right w:val="none" w:sz="0" w:space="0" w:color="auto"/>
      </w:divBdr>
    </w:div>
    <w:div w:id="262155940">
      <w:marLeft w:val="0"/>
      <w:marRight w:val="0"/>
      <w:marTop w:val="0"/>
      <w:marBottom w:val="0"/>
      <w:divBdr>
        <w:top w:val="none" w:sz="0" w:space="0" w:color="auto"/>
        <w:left w:val="none" w:sz="0" w:space="0" w:color="auto"/>
        <w:bottom w:val="none" w:sz="0" w:space="0" w:color="auto"/>
        <w:right w:val="none" w:sz="0" w:space="0" w:color="auto"/>
      </w:divBdr>
    </w:div>
    <w:div w:id="965896289">
      <w:bodyDiv w:val="1"/>
      <w:marLeft w:val="0"/>
      <w:marRight w:val="0"/>
      <w:marTop w:val="0"/>
      <w:marBottom w:val="0"/>
      <w:divBdr>
        <w:top w:val="none" w:sz="0" w:space="0" w:color="auto"/>
        <w:left w:val="none" w:sz="0" w:space="0" w:color="auto"/>
        <w:bottom w:val="none" w:sz="0" w:space="0" w:color="auto"/>
        <w:right w:val="none" w:sz="0" w:space="0" w:color="auto"/>
      </w:divBdr>
    </w:div>
    <w:div w:id="21344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TaxCatchAll xmlns="5ea28995-8b9e-4f64-9914-9bc46bbb117a"/>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TaxKeywordTaxHTField xmlns="5ea28995-8b9e-4f64-9914-9bc46bbb117a">
      <Terms xmlns="http://schemas.microsoft.com/office/infopath/2007/PartnerControls"/>
    </TaxKeywordTaxHTField>
    <_dlc_DocId xmlns="5ea28995-8b9e-4f64-9914-9bc46bbb117a">BUDGET-18609323-11981</_dlc_DocId>
    <_dlc_DocIdUrl xmlns="5ea28995-8b9e-4f64-9914-9bc46bbb117a">
      <Url>https://uwlax.sharepoint.com/sites/budget-office/_layouts/15/DocIdRedir.aspx?ID=BUDGET-18609323-11981</Url>
      <Description>BUDGET-18609323-11981</Description>
    </_dlc_DocIdUrl>
    <SharedWithUsers xmlns="5ea28995-8b9e-4f64-9914-9bc46bbb117a">
      <UserInfo>
        <DisplayName>Mark R Haakenson</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E610E39D96C344A4903BDB47513A1B" ma:contentTypeVersion="15" ma:contentTypeDescription="Create a new document." ma:contentTypeScope="" ma:versionID="e16284677e3f2b585ec380469da20a9b">
  <xsd:schema xmlns:xsd="http://www.w3.org/2001/XMLSchema" xmlns:xs="http://www.w3.org/2001/XMLSchema" xmlns:p="http://schemas.microsoft.com/office/2006/metadata/properties" xmlns:ns1="http://schemas.microsoft.com/sharepoint/v3" xmlns:ns2="5ea28995-8b9e-4f64-9914-9bc46bbb117a" xmlns:ns3="http://schemas.microsoft.com/sharepoint/v4" targetNamespace="http://schemas.microsoft.com/office/2006/metadata/properties" ma:root="true" ma:fieldsID="cb1307427389d05e5a3d2e97852d48bf" ns1:_="" ns2:_="" ns3:_="">
    <xsd:import namespace="http://schemas.microsoft.com/sharepoint/v3"/>
    <xsd:import namespace="5ea28995-8b9e-4f64-9914-9bc46bbb117a"/>
    <xsd:import namespace="http://schemas.microsoft.com/sharepoint/v4"/>
    <xsd:element name="properties">
      <xsd:complexType>
        <xsd:sequence>
          <xsd:element name="documentManagement">
            <xsd:complexType>
              <xsd:all>
                <xsd:element ref="ns2:SharedWithUsers" minOccurs="0"/>
                <xsd:element ref="ns2:SharedWithDetails" minOccurs="0"/>
                <xsd:element ref="ns1:AverageRating" minOccurs="0"/>
                <xsd:element ref="ns1:RatingCount" minOccurs="0"/>
                <xsd:element ref="ns1:RatedBy" minOccurs="0"/>
                <xsd:element ref="ns1:Ratings" minOccurs="0"/>
                <xsd:element ref="ns1:LikesCount" minOccurs="0"/>
                <xsd:element ref="ns1:LikedBy" minOccurs="0"/>
                <xsd:element ref="ns2:TaxKeywordTaxHTField" minOccurs="0"/>
                <xsd:element ref="ns2:TaxCatchAll" minOccurs="0"/>
                <xsd:element ref="ns2:_dlc_DocId" minOccurs="0"/>
                <xsd:element ref="ns2:_dlc_DocIdUrl" minOccurs="0"/>
                <xsd:element ref="ns2:_dlc_DocIdPersistId" minOccurs="0"/>
                <xsd:element ref="ns3:IconOverlay"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a28995-8b9e-4f64-9914-9bc46bbb11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7" nillable="true" ma:taxonomy="true" ma:internalName="TaxKeywordTaxHTField" ma:taxonomyFieldName="TaxKeyword" ma:displayName="Enterprise Keywords" ma:fieldId="{23f27201-bee3-471e-b2e7-b64fd8b7ca38}" ma:taxonomyMulti="true" ma:sspId="c74f3122-44b1-41ea-91ad-831baa7c83ae"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632ed90c-f00c-4295-88f4-47d234c099f6}" ma:internalName="TaxCatchAll" ma:showField="CatchAllData" ma:web="5ea28995-8b9e-4f64-9914-9bc46bbb117a">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9A0CD0-4C37-4436-A4E1-3F98213292AB}">
  <ds:schemaRefs>
    <ds:schemaRef ds:uri="http://schemas.microsoft.com/sharepoint/events"/>
  </ds:schemaRefs>
</ds:datastoreItem>
</file>

<file path=customXml/itemProps2.xml><?xml version="1.0" encoding="utf-8"?>
<ds:datastoreItem xmlns:ds="http://schemas.openxmlformats.org/officeDocument/2006/customXml" ds:itemID="{6408BAB4-5158-42D2-A614-3E2B226C1631}">
  <ds:schemaRefs>
    <ds:schemaRef ds:uri="http://schemas.microsoft.com/sharepoint/v3/contenttype/forms"/>
  </ds:schemaRefs>
</ds:datastoreItem>
</file>

<file path=customXml/itemProps3.xml><?xml version="1.0" encoding="utf-8"?>
<ds:datastoreItem xmlns:ds="http://schemas.openxmlformats.org/officeDocument/2006/customXml" ds:itemID="{FADA5D1E-9707-471C-B136-3760A3EA5233}">
  <ds:schemaRefs>
    <ds:schemaRef ds:uri="http://purl.org/dc/dcmitype/"/>
    <ds:schemaRef ds:uri="5ea28995-8b9e-4f64-9914-9bc46bbb117a"/>
    <ds:schemaRef ds:uri="http://schemas.microsoft.com/sharepoint/v3"/>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F8825CC0-D5C7-4DED-B1E2-BF7A6D243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a28995-8b9e-4f64-9914-9bc46bbb117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University of Wisconsin-La Crosse</vt:lpstr>
    </vt:vector>
  </TitlesOfParts>
  <Company>UW System Administration</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Wisconsin-La Crosse</dc:title>
  <dc:creator>Renee</dc:creator>
  <cp:keywords/>
  <cp:lastModifiedBy>Stanley Kristin M</cp:lastModifiedBy>
  <cp:revision>5</cp:revision>
  <cp:lastPrinted>2016-09-13T00:58:00Z</cp:lastPrinted>
  <dcterms:created xsi:type="dcterms:W3CDTF">2016-11-06T21:16:00Z</dcterms:created>
  <dcterms:modified xsi:type="dcterms:W3CDTF">2016-11-11T19:16:00Z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0x0101007FE610E39D96C344A4903BDB47513A1B</vt:lpwstr>
  </property>
  <property fmtid="{D5CDD505-2E9C-101B-9397-08002B2CF9AE}" pid="3" name="_dlc_DocIdItemGuid">
    <vt:lpwstr>62614800-d068-4c30-a2c6-f592b1606f52</vt:lpwstr>
  </property>
  <property fmtid="{D5CDD505-2E9C-101B-9397-08002B2CF9AE}" pid="4" name="TaxKeyword">
    <vt:lpwstr/>
  </property>
</Properties>
</file>