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ABFF8" w14:textId="77777777" w:rsidR="00710EF3" w:rsidRDefault="00710EF3" w:rsidP="00720B94">
      <w:pPr>
        <w:pStyle w:val="Title"/>
        <w:jc w:val="center"/>
      </w:pPr>
    </w:p>
    <w:p w14:paraId="5FC88054" w14:textId="77777777" w:rsidR="000A7553" w:rsidRPr="000A7553" w:rsidRDefault="000A7553" w:rsidP="00720B94"/>
    <w:p w14:paraId="166F346F" w14:textId="1CA16D4C" w:rsidR="004065A0" w:rsidRPr="00720B94" w:rsidRDefault="00D00235" w:rsidP="00720B94">
      <w:pPr>
        <w:pStyle w:val="Title"/>
        <w:jc w:val="center"/>
      </w:pPr>
      <w:r w:rsidRPr="00720B94">
        <w:rPr>
          <w:noProof/>
        </w:rPr>
        <w:drawing>
          <wp:inline distT="0" distB="0" distL="0" distR="0" wp14:anchorId="0AA02C5B" wp14:editId="2C54BC9E">
            <wp:extent cx="2178502" cy="1441450"/>
            <wp:effectExtent l="0" t="0" r="0" b="6350"/>
            <wp:docPr id="1" name="Picture 1" descr="UW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WL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86449" cy="1446708"/>
                    </a:xfrm>
                    <a:prstGeom prst="rect">
                      <a:avLst/>
                    </a:prstGeom>
                    <a:noFill/>
                    <a:ln>
                      <a:noFill/>
                    </a:ln>
                  </pic:spPr>
                </pic:pic>
              </a:graphicData>
            </a:graphic>
          </wp:inline>
        </w:drawing>
      </w:r>
    </w:p>
    <w:p w14:paraId="6893A9F0" w14:textId="77777777" w:rsidR="00137194" w:rsidRPr="00720B94" w:rsidRDefault="00137194" w:rsidP="00720B94">
      <w:pPr>
        <w:pStyle w:val="Title"/>
        <w:jc w:val="center"/>
      </w:pPr>
    </w:p>
    <w:p w14:paraId="54B085CD" w14:textId="00FFA5A0" w:rsidR="00A51FEB" w:rsidRPr="00720B94" w:rsidRDefault="00204793" w:rsidP="00720B94">
      <w:pPr>
        <w:pStyle w:val="Title"/>
        <w:jc w:val="center"/>
      </w:pPr>
      <w:r w:rsidRPr="00720B94">
        <w:t>Biosafety</w:t>
      </w:r>
      <w:r w:rsidR="00CC0C72" w:rsidRPr="00720B94">
        <w:t xml:space="preserve"> Manual</w:t>
      </w:r>
    </w:p>
    <w:p w14:paraId="6A819396" w14:textId="77777777" w:rsidR="00A51FEB" w:rsidRPr="00720B94" w:rsidRDefault="00A51FEB" w:rsidP="00720B94">
      <w:pPr>
        <w:rPr>
          <w:sz w:val="56"/>
          <w:szCs w:val="56"/>
        </w:rPr>
      </w:pPr>
    </w:p>
    <w:p w14:paraId="544D2650" w14:textId="20202375" w:rsidR="004065A0" w:rsidRPr="00720B94" w:rsidRDefault="007F474B" w:rsidP="00720B94">
      <w:pPr>
        <w:jc w:val="center"/>
      </w:pPr>
      <w:r w:rsidRPr="00720B94">
        <w:rPr>
          <w:noProof/>
        </w:rPr>
        <w:drawing>
          <wp:inline distT="0" distB="0" distL="0" distR="0" wp14:anchorId="37148783" wp14:editId="44B11406">
            <wp:extent cx="2413590" cy="2413590"/>
            <wp:effectExtent l="0" t="0" r="6350" b="0"/>
            <wp:docPr id="2" name="Picture 2" descr="Biological hazard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ological hazard - Wikipedi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18728" cy="2418728"/>
                    </a:xfrm>
                    <a:prstGeom prst="rect">
                      <a:avLst/>
                    </a:prstGeom>
                    <a:noFill/>
                    <a:ln>
                      <a:noFill/>
                    </a:ln>
                  </pic:spPr>
                </pic:pic>
              </a:graphicData>
            </a:graphic>
          </wp:inline>
        </w:drawing>
      </w:r>
    </w:p>
    <w:p w14:paraId="0EB27881" w14:textId="77777777" w:rsidR="00217D88" w:rsidRPr="00720B94" w:rsidRDefault="00217D88" w:rsidP="00720B94">
      <w:pPr>
        <w:pStyle w:val="Title"/>
        <w:jc w:val="center"/>
      </w:pPr>
    </w:p>
    <w:p w14:paraId="429C1C23" w14:textId="77777777" w:rsidR="00217D88" w:rsidRPr="00720B94" w:rsidRDefault="004065A0" w:rsidP="00720B94">
      <w:pPr>
        <w:pStyle w:val="Title"/>
        <w:jc w:val="center"/>
      </w:pPr>
      <w:r w:rsidRPr="00720B94">
        <w:t>Institutional Biosafety Committee</w:t>
      </w:r>
      <w:r w:rsidR="00217D88" w:rsidRPr="00720B94">
        <w:t xml:space="preserve"> (IBC)</w:t>
      </w:r>
    </w:p>
    <w:p w14:paraId="6022B951" w14:textId="2AF69C0E" w:rsidR="00CC0C72" w:rsidRPr="00720B94" w:rsidRDefault="00D54DED" w:rsidP="00720B94">
      <w:pPr>
        <w:pStyle w:val="Title"/>
        <w:jc w:val="center"/>
      </w:pPr>
      <w:r w:rsidRPr="00720B94">
        <w:t>University of Wisconsin-La Crosse</w:t>
      </w:r>
      <w:r w:rsidR="00CC0C72" w:rsidRPr="00720B94">
        <w:br w:type="page"/>
      </w:r>
    </w:p>
    <w:sdt>
      <w:sdtPr>
        <w:rPr>
          <w:rFonts w:ascii="Arial" w:eastAsiaTheme="minorEastAsia" w:hAnsi="Arial" w:cstheme="minorBidi"/>
          <w:color w:val="auto"/>
          <w:sz w:val="22"/>
          <w:szCs w:val="22"/>
        </w:rPr>
        <w:id w:val="-454721080"/>
        <w:docPartObj>
          <w:docPartGallery w:val="Table of Contents"/>
          <w:docPartUnique/>
        </w:docPartObj>
      </w:sdtPr>
      <w:sdtContent>
        <w:p w14:paraId="5D7A88C0" w14:textId="0248CB39" w:rsidR="00123FF6" w:rsidRPr="00720B94" w:rsidRDefault="73171BD9" w:rsidP="00720B94">
          <w:pPr>
            <w:pStyle w:val="TOCHeading"/>
          </w:pPr>
          <w:r w:rsidRPr="00720B94">
            <w:t xml:space="preserve">Table of </w:t>
          </w:r>
          <w:r w:rsidR="00123FF6" w:rsidRPr="00720B94">
            <w:t>Contents</w:t>
          </w:r>
        </w:p>
        <w:p w14:paraId="1D53F031" w14:textId="0ABD8F49" w:rsidR="00505339" w:rsidRPr="00720B94" w:rsidRDefault="00123FF6" w:rsidP="00720B94">
          <w:pPr>
            <w:pStyle w:val="TOC1"/>
            <w:rPr>
              <w:rFonts w:asciiTheme="minorHAnsi" w:eastAsiaTheme="minorEastAsia" w:hAnsiTheme="minorHAnsi"/>
              <w:noProof/>
              <w:kern w:val="2"/>
              <w:sz w:val="24"/>
              <w:szCs w:val="24"/>
              <w14:ligatures w14:val="standardContextual"/>
            </w:rPr>
          </w:pPr>
          <w:r w:rsidRPr="00720B94">
            <w:fldChar w:fldCharType="begin"/>
          </w:r>
          <w:r w:rsidRPr="00720B94">
            <w:instrText xml:space="preserve"> TOC \o "1-3" \h \z \u </w:instrText>
          </w:r>
          <w:r w:rsidRPr="00720B94">
            <w:fldChar w:fldCharType="separate"/>
          </w:r>
          <w:hyperlink w:anchor="_Toc192509308" w:history="1">
            <w:r w:rsidR="00505339" w:rsidRPr="00126E87">
              <w:rPr>
                <w:rStyle w:val="Hyperlink"/>
                <w:noProof/>
                <w:color w:val="auto"/>
              </w:rPr>
              <w:t>Introduction</w:t>
            </w:r>
            <w:r w:rsidR="00505339" w:rsidRPr="00720B94">
              <w:rPr>
                <w:noProof/>
                <w:webHidden/>
              </w:rPr>
              <w:tab/>
            </w:r>
            <w:r w:rsidR="00505339" w:rsidRPr="00720B94">
              <w:rPr>
                <w:noProof/>
                <w:webHidden/>
              </w:rPr>
              <w:fldChar w:fldCharType="begin"/>
            </w:r>
            <w:r w:rsidR="00505339" w:rsidRPr="00720B94">
              <w:rPr>
                <w:noProof/>
                <w:webHidden/>
              </w:rPr>
              <w:instrText xml:space="preserve"> PAGEREF _Toc192509308 \h </w:instrText>
            </w:r>
            <w:r w:rsidR="00505339" w:rsidRPr="00720B94">
              <w:rPr>
                <w:noProof/>
                <w:webHidden/>
              </w:rPr>
            </w:r>
            <w:r w:rsidR="00505339" w:rsidRPr="00720B94">
              <w:rPr>
                <w:noProof/>
                <w:webHidden/>
              </w:rPr>
              <w:fldChar w:fldCharType="separate"/>
            </w:r>
            <w:r w:rsidR="00A247F7">
              <w:rPr>
                <w:noProof/>
                <w:webHidden/>
              </w:rPr>
              <w:t>6</w:t>
            </w:r>
            <w:r w:rsidR="00505339" w:rsidRPr="00720B94">
              <w:rPr>
                <w:noProof/>
                <w:webHidden/>
              </w:rPr>
              <w:fldChar w:fldCharType="end"/>
            </w:r>
          </w:hyperlink>
        </w:p>
        <w:p w14:paraId="383259EC" w14:textId="770A24EA" w:rsidR="00505339" w:rsidRPr="00720B94" w:rsidRDefault="00505339" w:rsidP="00720B94">
          <w:pPr>
            <w:pStyle w:val="TOC1"/>
            <w:rPr>
              <w:rFonts w:asciiTheme="minorHAnsi" w:eastAsiaTheme="minorEastAsia" w:hAnsiTheme="minorHAnsi"/>
              <w:noProof/>
              <w:kern w:val="2"/>
              <w:sz w:val="24"/>
              <w:szCs w:val="24"/>
              <w14:ligatures w14:val="standardContextual"/>
            </w:rPr>
          </w:pPr>
          <w:hyperlink w:anchor="_Toc192509309" w:history="1">
            <w:r w:rsidRPr="00126E87">
              <w:rPr>
                <w:rStyle w:val="Hyperlink"/>
                <w:noProof/>
                <w:color w:val="auto"/>
              </w:rPr>
              <w:t>Contacts</w:t>
            </w:r>
            <w:r w:rsidRPr="00720B94">
              <w:rPr>
                <w:noProof/>
                <w:webHidden/>
              </w:rPr>
              <w:tab/>
            </w:r>
            <w:r w:rsidRPr="00720B94">
              <w:rPr>
                <w:noProof/>
                <w:webHidden/>
              </w:rPr>
              <w:fldChar w:fldCharType="begin"/>
            </w:r>
            <w:r w:rsidRPr="00720B94">
              <w:rPr>
                <w:noProof/>
                <w:webHidden/>
              </w:rPr>
              <w:instrText xml:space="preserve"> PAGEREF _Toc192509309 \h </w:instrText>
            </w:r>
            <w:r w:rsidRPr="00720B94">
              <w:rPr>
                <w:noProof/>
                <w:webHidden/>
              </w:rPr>
            </w:r>
            <w:r w:rsidRPr="00720B94">
              <w:rPr>
                <w:noProof/>
                <w:webHidden/>
              </w:rPr>
              <w:fldChar w:fldCharType="separate"/>
            </w:r>
            <w:r w:rsidR="00A247F7">
              <w:rPr>
                <w:noProof/>
                <w:webHidden/>
              </w:rPr>
              <w:t>6</w:t>
            </w:r>
            <w:r w:rsidRPr="00720B94">
              <w:rPr>
                <w:noProof/>
                <w:webHidden/>
              </w:rPr>
              <w:fldChar w:fldCharType="end"/>
            </w:r>
          </w:hyperlink>
        </w:p>
        <w:p w14:paraId="7EB08F91" w14:textId="6B315617" w:rsidR="00505339" w:rsidRPr="00720B94" w:rsidRDefault="00505339" w:rsidP="00720B94">
          <w:pPr>
            <w:pStyle w:val="TOC1"/>
            <w:rPr>
              <w:rFonts w:asciiTheme="minorHAnsi" w:eastAsiaTheme="minorEastAsia" w:hAnsiTheme="minorHAnsi"/>
              <w:noProof/>
              <w:kern w:val="2"/>
              <w:sz w:val="24"/>
              <w:szCs w:val="24"/>
              <w14:ligatures w14:val="standardContextual"/>
            </w:rPr>
          </w:pPr>
          <w:hyperlink w:anchor="_Toc192509310" w:history="1">
            <w:r w:rsidRPr="00126E87">
              <w:rPr>
                <w:rStyle w:val="Hyperlink"/>
                <w:noProof/>
                <w:color w:val="auto"/>
              </w:rPr>
              <w:t>Institutional Biosafety Committee (IBC) Statement of Purpose</w:t>
            </w:r>
            <w:r w:rsidRPr="00720B94">
              <w:rPr>
                <w:noProof/>
                <w:webHidden/>
              </w:rPr>
              <w:tab/>
            </w:r>
            <w:r w:rsidRPr="00720B94">
              <w:rPr>
                <w:noProof/>
                <w:webHidden/>
              </w:rPr>
              <w:fldChar w:fldCharType="begin"/>
            </w:r>
            <w:r w:rsidRPr="00720B94">
              <w:rPr>
                <w:noProof/>
                <w:webHidden/>
              </w:rPr>
              <w:instrText xml:space="preserve"> PAGEREF _Toc192509310 \h </w:instrText>
            </w:r>
            <w:r w:rsidRPr="00720B94">
              <w:rPr>
                <w:noProof/>
                <w:webHidden/>
              </w:rPr>
            </w:r>
            <w:r w:rsidRPr="00720B94">
              <w:rPr>
                <w:noProof/>
                <w:webHidden/>
              </w:rPr>
              <w:fldChar w:fldCharType="separate"/>
            </w:r>
            <w:r w:rsidR="00A247F7">
              <w:rPr>
                <w:noProof/>
                <w:webHidden/>
              </w:rPr>
              <w:t>6</w:t>
            </w:r>
            <w:r w:rsidRPr="00720B94">
              <w:rPr>
                <w:noProof/>
                <w:webHidden/>
              </w:rPr>
              <w:fldChar w:fldCharType="end"/>
            </w:r>
          </w:hyperlink>
        </w:p>
        <w:p w14:paraId="5680AFE6" w14:textId="21BDCA36" w:rsidR="00505339" w:rsidRPr="00720B94" w:rsidRDefault="00505339" w:rsidP="00720B94">
          <w:pPr>
            <w:pStyle w:val="TOC1"/>
            <w:rPr>
              <w:rFonts w:asciiTheme="minorHAnsi" w:eastAsiaTheme="minorEastAsia" w:hAnsiTheme="minorHAnsi"/>
              <w:noProof/>
              <w:kern w:val="2"/>
              <w:sz w:val="24"/>
              <w:szCs w:val="24"/>
              <w14:ligatures w14:val="standardContextual"/>
            </w:rPr>
          </w:pPr>
          <w:hyperlink w:anchor="_Toc192509311" w:history="1">
            <w:r w:rsidRPr="00126E87">
              <w:rPr>
                <w:rStyle w:val="Hyperlink"/>
                <w:noProof/>
                <w:color w:val="auto"/>
              </w:rPr>
              <w:t>IBC Responsibilities</w:t>
            </w:r>
            <w:r w:rsidRPr="00720B94">
              <w:rPr>
                <w:noProof/>
                <w:webHidden/>
              </w:rPr>
              <w:tab/>
            </w:r>
            <w:r w:rsidRPr="00720B94">
              <w:rPr>
                <w:noProof/>
                <w:webHidden/>
              </w:rPr>
              <w:fldChar w:fldCharType="begin"/>
            </w:r>
            <w:r w:rsidRPr="00720B94">
              <w:rPr>
                <w:noProof/>
                <w:webHidden/>
              </w:rPr>
              <w:instrText xml:space="preserve"> PAGEREF _Toc192509311 \h </w:instrText>
            </w:r>
            <w:r w:rsidRPr="00720B94">
              <w:rPr>
                <w:noProof/>
                <w:webHidden/>
              </w:rPr>
            </w:r>
            <w:r w:rsidRPr="00720B94">
              <w:rPr>
                <w:noProof/>
                <w:webHidden/>
              </w:rPr>
              <w:fldChar w:fldCharType="separate"/>
            </w:r>
            <w:r w:rsidR="00A247F7">
              <w:rPr>
                <w:noProof/>
                <w:webHidden/>
              </w:rPr>
              <w:t>7</w:t>
            </w:r>
            <w:r w:rsidRPr="00720B94">
              <w:rPr>
                <w:noProof/>
                <w:webHidden/>
              </w:rPr>
              <w:fldChar w:fldCharType="end"/>
            </w:r>
          </w:hyperlink>
        </w:p>
        <w:p w14:paraId="21E8FF12" w14:textId="5E1BB2E4" w:rsidR="00505339" w:rsidRPr="00720B94" w:rsidRDefault="00505339" w:rsidP="00720B94">
          <w:pPr>
            <w:pStyle w:val="TOC2"/>
            <w:rPr>
              <w:rFonts w:asciiTheme="minorHAnsi" w:eastAsiaTheme="minorEastAsia" w:hAnsiTheme="minorHAnsi"/>
              <w:noProof/>
              <w:kern w:val="2"/>
              <w:sz w:val="24"/>
              <w:szCs w:val="24"/>
              <w14:ligatures w14:val="standardContextual"/>
            </w:rPr>
          </w:pPr>
          <w:hyperlink w:anchor="_Toc192509312" w:history="1">
            <w:r w:rsidRPr="00126E87">
              <w:rPr>
                <w:rStyle w:val="Hyperlink"/>
                <w:noProof/>
                <w:color w:val="auto"/>
              </w:rPr>
              <w:t>Appointment Process &amp; Length of Service</w:t>
            </w:r>
            <w:r w:rsidRPr="00720B94">
              <w:rPr>
                <w:noProof/>
                <w:webHidden/>
              </w:rPr>
              <w:tab/>
            </w:r>
            <w:r w:rsidRPr="00720B94">
              <w:rPr>
                <w:noProof/>
                <w:webHidden/>
              </w:rPr>
              <w:fldChar w:fldCharType="begin"/>
            </w:r>
            <w:r w:rsidRPr="00720B94">
              <w:rPr>
                <w:noProof/>
                <w:webHidden/>
              </w:rPr>
              <w:instrText xml:space="preserve"> PAGEREF _Toc192509312 \h </w:instrText>
            </w:r>
            <w:r w:rsidRPr="00720B94">
              <w:rPr>
                <w:noProof/>
                <w:webHidden/>
              </w:rPr>
            </w:r>
            <w:r w:rsidRPr="00720B94">
              <w:rPr>
                <w:noProof/>
                <w:webHidden/>
              </w:rPr>
              <w:fldChar w:fldCharType="separate"/>
            </w:r>
            <w:r w:rsidR="00A247F7">
              <w:rPr>
                <w:noProof/>
                <w:webHidden/>
              </w:rPr>
              <w:t>8</w:t>
            </w:r>
            <w:r w:rsidRPr="00720B94">
              <w:rPr>
                <w:noProof/>
                <w:webHidden/>
              </w:rPr>
              <w:fldChar w:fldCharType="end"/>
            </w:r>
          </w:hyperlink>
        </w:p>
        <w:p w14:paraId="028E1A54" w14:textId="1E09591C" w:rsidR="00505339" w:rsidRPr="00720B94" w:rsidRDefault="00505339" w:rsidP="00720B94">
          <w:pPr>
            <w:pStyle w:val="TOC2"/>
            <w:rPr>
              <w:rFonts w:asciiTheme="minorHAnsi" w:eastAsiaTheme="minorEastAsia" w:hAnsiTheme="minorHAnsi"/>
              <w:noProof/>
              <w:kern w:val="2"/>
              <w:sz w:val="24"/>
              <w:szCs w:val="24"/>
              <w14:ligatures w14:val="standardContextual"/>
            </w:rPr>
          </w:pPr>
          <w:hyperlink w:anchor="_Toc192509313" w:history="1">
            <w:r w:rsidRPr="009F65B4">
              <w:rPr>
                <w:rStyle w:val="Hyperlink"/>
                <w:noProof/>
                <w:color w:val="auto"/>
              </w:rPr>
              <w:t>IBC Membership</w:t>
            </w:r>
            <w:r w:rsidRPr="00720B94">
              <w:rPr>
                <w:noProof/>
                <w:webHidden/>
              </w:rPr>
              <w:tab/>
            </w:r>
            <w:r w:rsidRPr="00720B94">
              <w:rPr>
                <w:noProof/>
                <w:webHidden/>
              </w:rPr>
              <w:fldChar w:fldCharType="begin"/>
            </w:r>
            <w:r w:rsidRPr="00720B94">
              <w:rPr>
                <w:noProof/>
                <w:webHidden/>
              </w:rPr>
              <w:instrText xml:space="preserve"> PAGEREF _Toc192509313 \h </w:instrText>
            </w:r>
            <w:r w:rsidRPr="00720B94">
              <w:rPr>
                <w:noProof/>
                <w:webHidden/>
              </w:rPr>
            </w:r>
            <w:r w:rsidRPr="00720B94">
              <w:rPr>
                <w:noProof/>
                <w:webHidden/>
              </w:rPr>
              <w:fldChar w:fldCharType="separate"/>
            </w:r>
            <w:r w:rsidR="00A247F7">
              <w:rPr>
                <w:noProof/>
                <w:webHidden/>
              </w:rPr>
              <w:t>8</w:t>
            </w:r>
            <w:r w:rsidRPr="00720B94">
              <w:rPr>
                <w:noProof/>
                <w:webHidden/>
              </w:rPr>
              <w:fldChar w:fldCharType="end"/>
            </w:r>
          </w:hyperlink>
        </w:p>
        <w:p w14:paraId="2094B241" w14:textId="56865623" w:rsidR="00505339" w:rsidRPr="00720B94" w:rsidRDefault="00505339" w:rsidP="00720B94">
          <w:pPr>
            <w:pStyle w:val="TOC2"/>
            <w:rPr>
              <w:rFonts w:asciiTheme="minorHAnsi" w:eastAsiaTheme="minorEastAsia" w:hAnsiTheme="minorHAnsi"/>
              <w:noProof/>
              <w:kern w:val="2"/>
              <w:sz w:val="24"/>
              <w:szCs w:val="24"/>
              <w14:ligatures w14:val="standardContextual"/>
            </w:rPr>
          </w:pPr>
          <w:hyperlink w:anchor="_Toc192509314" w:history="1">
            <w:r w:rsidRPr="009F65B4">
              <w:rPr>
                <w:rStyle w:val="Hyperlink"/>
                <w:noProof/>
                <w:color w:val="auto"/>
              </w:rPr>
              <w:t>Research Requiring IBC Protocol Approval</w:t>
            </w:r>
            <w:r w:rsidRPr="00720B94">
              <w:rPr>
                <w:noProof/>
                <w:webHidden/>
              </w:rPr>
              <w:tab/>
            </w:r>
            <w:r w:rsidRPr="00720B94">
              <w:rPr>
                <w:noProof/>
                <w:webHidden/>
              </w:rPr>
              <w:fldChar w:fldCharType="begin"/>
            </w:r>
            <w:r w:rsidRPr="00720B94">
              <w:rPr>
                <w:noProof/>
                <w:webHidden/>
              </w:rPr>
              <w:instrText xml:space="preserve"> PAGEREF _Toc192509314 \h </w:instrText>
            </w:r>
            <w:r w:rsidRPr="00720B94">
              <w:rPr>
                <w:noProof/>
                <w:webHidden/>
              </w:rPr>
            </w:r>
            <w:r w:rsidRPr="00720B94">
              <w:rPr>
                <w:noProof/>
                <w:webHidden/>
              </w:rPr>
              <w:fldChar w:fldCharType="separate"/>
            </w:r>
            <w:r w:rsidR="00A247F7">
              <w:rPr>
                <w:noProof/>
                <w:webHidden/>
              </w:rPr>
              <w:t>8</w:t>
            </w:r>
            <w:r w:rsidRPr="00720B94">
              <w:rPr>
                <w:noProof/>
                <w:webHidden/>
              </w:rPr>
              <w:fldChar w:fldCharType="end"/>
            </w:r>
          </w:hyperlink>
        </w:p>
        <w:p w14:paraId="038721C4" w14:textId="6A139689" w:rsidR="00505339" w:rsidRPr="00720B94" w:rsidRDefault="00505339" w:rsidP="00720B94">
          <w:pPr>
            <w:pStyle w:val="TOC2"/>
            <w:rPr>
              <w:rFonts w:asciiTheme="minorHAnsi" w:eastAsiaTheme="minorEastAsia" w:hAnsiTheme="minorHAnsi"/>
              <w:noProof/>
              <w:kern w:val="2"/>
              <w:sz w:val="24"/>
              <w:szCs w:val="24"/>
              <w14:ligatures w14:val="standardContextual"/>
            </w:rPr>
          </w:pPr>
          <w:hyperlink w:anchor="_Toc192509315" w:history="1">
            <w:r w:rsidRPr="009F65B4">
              <w:rPr>
                <w:rStyle w:val="Hyperlink"/>
                <w:noProof/>
                <w:color w:val="auto"/>
              </w:rPr>
              <w:t>Exempt Activities</w:t>
            </w:r>
            <w:r w:rsidRPr="00720B94">
              <w:rPr>
                <w:noProof/>
                <w:webHidden/>
              </w:rPr>
              <w:tab/>
            </w:r>
            <w:r w:rsidRPr="00720B94">
              <w:rPr>
                <w:noProof/>
                <w:webHidden/>
              </w:rPr>
              <w:fldChar w:fldCharType="begin"/>
            </w:r>
            <w:r w:rsidRPr="00720B94">
              <w:rPr>
                <w:noProof/>
                <w:webHidden/>
              </w:rPr>
              <w:instrText xml:space="preserve"> PAGEREF _Toc192509315 \h </w:instrText>
            </w:r>
            <w:r w:rsidRPr="00720B94">
              <w:rPr>
                <w:noProof/>
                <w:webHidden/>
              </w:rPr>
            </w:r>
            <w:r w:rsidRPr="00720B94">
              <w:rPr>
                <w:noProof/>
                <w:webHidden/>
              </w:rPr>
              <w:fldChar w:fldCharType="separate"/>
            </w:r>
            <w:r w:rsidR="00A247F7">
              <w:rPr>
                <w:noProof/>
                <w:webHidden/>
              </w:rPr>
              <w:t>9</w:t>
            </w:r>
            <w:r w:rsidRPr="00720B94">
              <w:rPr>
                <w:noProof/>
                <w:webHidden/>
              </w:rPr>
              <w:fldChar w:fldCharType="end"/>
            </w:r>
          </w:hyperlink>
        </w:p>
        <w:p w14:paraId="7226FE84" w14:textId="1874FF8C" w:rsidR="00505339" w:rsidRPr="00720B94" w:rsidRDefault="00505339" w:rsidP="00720B94">
          <w:pPr>
            <w:pStyle w:val="TOC2"/>
            <w:rPr>
              <w:rFonts w:asciiTheme="minorHAnsi" w:eastAsiaTheme="minorEastAsia" w:hAnsiTheme="minorHAnsi"/>
              <w:noProof/>
              <w:kern w:val="2"/>
              <w:sz w:val="24"/>
              <w:szCs w:val="24"/>
              <w14:ligatures w14:val="standardContextual"/>
            </w:rPr>
          </w:pPr>
          <w:hyperlink w:anchor="_Toc192509316" w:history="1">
            <w:r w:rsidRPr="009F65B4">
              <w:rPr>
                <w:rStyle w:val="Hyperlink"/>
                <w:noProof/>
                <w:color w:val="auto"/>
              </w:rPr>
              <w:t>Meeting Procedures &amp; Protocol Review</w:t>
            </w:r>
            <w:r w:rsidRPr="00720B94">
              <w:rPr>
                <w:noProof/>
                <w:webHidden/>
              </w:rPr>
              <w:tab/>
            </w:r>
            <w:r w:rsidRPr="00720B94">
              <w:rPr>
                <w:noProof/>
                <w:webHidden/>
              </w:rPr>
              <w:fldChar w:fldCharType="begin"/>
            </w:r>
            <w:r w:rsidRPr="00720B94">
              <w:rPr>
                <w:noProof/>
                <w:webHidden/>
              </w:rPr>
              <w:instrText xml:space="preserve"> PAGEREF _Toc192509316 \h </w:instrText>
            </w:r>
            <w:r w:rsidRPr="00720B94">
              <w:rPr>
                <w:noProof/>
                <w:webHidden/>
              </w:rPr>
            </w:r>
            <w:r w:rsidRPr="00720B94">
              <w:rPr>
                <w:noProof/>
                <w:webHidden/>
              </w:rPr>
              <w:fldChar w:fldCharType="separate"/>
            </w:r>
            <w:r w:rsidR="00A247F7">
              <w:rPr>
                <w:noProof/>
                <w:webHidden/>
              </w:rPr>
              <w:t>9</w:t>
            </w:r>
            <w:r w:rsidRPr="00720B94">
              <w:rPr>
                <w:noProof/>
                <w:webHidden/>
              </w:rPr>
              <w:fldChar w:fldCharType="end"/>
            </w:r>
          </w:hyperlink>
        </w:p>
        <w:p w14:paraId="5CFF157F" w14:textId="4D03CDFF" w:rsidR="00505339" w:rsidRPr="00720B94" w:rsidRDefault="00505339" w:rsidP="00720B94">
          <w:pPr>
            <w:pStyle w:val="TOC3"/>
            <w:tabs>
              <w:tab w:val="right" w:leader="dot" w:pos="10070"/>
            </w:tabs>
            <w:rPr>
              <w:rFonts w:asciiTheme="minorHAnsi" w:eastAsiaTheme="minorEastAsia" w:hAnsiTheme="minorHAnsi"/>
              <w:noProof/>
              <w:kern w:val="2"/>
              <w:sz w:val="24"/>
              <w:szCs w:val="24"/>
              <w14:ligatures w14:val="standardContextual"/>
            </w:rPr>
          </w:pPr>
          <w:hyperlink w:anchor="_Toc192509317" w:history="1">
            <w:r w:rsidRPr="009F65B4">
              <w:rPr>
                <w:rStyle w:val="Hyperlink"/>
                <w:noProof/>
                <w:color w:val="auto"/>
              </w:rPr>
              <w:t>Protocol Administrative Pre-Review</w:t>
            </w:r>
            <w:r w:rsidRPr="00720B94">
              <w:rPr>
                <w:noProof/>
                <w:webHidden/>
              </w:rPr>
              <w:tab/>
            </w:r>
            <w:r w:rsidRPr="00720B94">
              <w:rPr>
                <w:noProof/>
                <w:webHidden/>
              </w:rPr>
              <w:fldChar w:fldCharType="begin"/>
            </w:r>
            <w:r w:rsidRPr="00720B94">
              <w:rPr>
                <w:noProof/>
                <w:webHidden/>
              </w:rPr>
              <w:instrText xml:space="preserve"> PAGEREF _Toc192509317 \h </w:instrText>
            </w:r>
            <w:r w:rsidRPr="00720B94">
              <w:rPr>
                <w:noProof/>
                <w:webHidden/>
              </w:rPr>
            </w:r>
            <w:r w:rsidRPr="00720B94">
              <w:rPr>
                <w:noProof/>
                <w:webHidden/>
              </w:rPr>
              <w:fldChar w:fldCharType="separate"/>
            </w:r>
            <w:r w:rsidR="00A247F7">
              <w:rPr>
                <w:noProof/>
                <w:webHidden/>
              </w:rPr>
              <w:t>9</w:t>
            </w:r>
            <w:r w:rsidRPr="00720B94">
              <w:rPr>
                <w:noProof/>
                <w:webHidden/>
              </w:rPr>
              <w:fldChar w:fldCharType="end"/>
            </w:r>
          </w:hyperlink>
        </w:p>
        <w:p w14:paraId="40E8999B" w14:textId="4CF04181" w:rsidR="00505339" w:rsidRPr="00720B94" w:rsidRDefault="00505339" w:rsidP="00720B94">
          <w:pPr>
            <w:pStyle w:val="TOC3"/>
            <w:tabs>
              <w:tab w:val="right" w:leader="dot" w:pos="10070"/>
            </w:tabs>
            <w:rPr>
              <w:rFonts w:asciiTheme="minorHAnsi" w:eastAsiaTheme="minorEastAsia" w:hAnsiTheme="minorHAnsi"/>
              <w:noProof/>
              <w:kern w:val="2"/>
              <w:sz w:val="24"/>
              <w:szCs w:val="24"/>
              <w14:ligatures w14:val="standardContextual"/>
            </w:rPr>
          </w:pPr>
          <w:hyperlink w:anchor="_Toc192509318" w:history="1">
            <w:r w:rsidRPr="009F65B4">
              <w:rPr>
                <w:rStyle w:val="Hyperlink"/>
                <w:noProof/>
                <w:color w:val="auto"/>
              </w:rPr>
              <w:t>Protocol Primary Review</w:t>
            </w:r>
            <w:r w:rsidRPr="00720B94">
              <w:rPr>
                <w:noProof/>
                <w:webHidden/>
              </w:rPr>
              <w:tab/>
            </w:r>
            <w:r w:rsidRPr="00720B94">
              <w:rPr>
                <w:noProof/>
                <w:webHidden/>
              </w:rPr>
              <w:fldChar w:fldCharType="begin"/>
            </w:r>
            <w:r w:rsidRPr="00720B94">
              <w:rPr>
                <w:noProof/>
                <w:webHidden/>
              </w:rPr>
              <w:instrText xml:space="preserve"> PAGEREF _Toc192509318 \h </w:instrText>
            </w:r>
            <w:r w:rsidRPr="00720B94">
              <w:rPr>
                <w:noProof/>
                <w:webHidden/>
              </w:rPr>
            </w:r>
            <w:r w:rsidRPr="00720B94">
              <w:rPr>
                <w:noProof/>
                <w:webHidden/>
              </w:rPr>
              <w:fldChar w:fldCharType="separate"/>
            </w:r>
            <w:r w:rsidR="00A247F7">
              <w:rPr>
                <w:noProof/>
                <w:webHidden/>
              </w:rPr>
              <w:t>9</w:t>
            </w:r>
            <w:r w:rsidRPr="00720B94">
              <w:rPr>
                <w:noProof/>
                <w:webHidden/>
              </w:rPr>
              <w:fldChar w:fldCharType="end"/>
            </w:r>
          </w:hyperlink>
        </w:p>
        <w:p w14:paraId="36599B70" w14:textId="0726A938" w:rsidR="00505339" w:rsidRPr="00720B94" w:rsidRDefault="00505339" w:rsidP="00720B94">
          <w:pPr>
            <w:pStyle w:val="TOC3"/>
            <w:tabs>
              <w:tab w:val="right" w:leader="dot" w:pos="10070"/>
            </w:tabs>
            <w:rPr>
              <w:rFonts w:asciiTheme="minorHAnsi" w:eastAsiaTheme="minorEastAsia" w:hAnsiTheme="minorHAnsi"/>
              <w:noProof/>
              <w:kern w:val="2"/>
              <w:sz w:val="24"/>
              <w:szCs w:val="24"/>
              <w14:ligatures w14:val="standardContextual"/>
            </w:rPr>
          </w:pPr>
          <w:hyperlink w:anchor="_Toc192509319" w:history="1">
            <w:r w:rsidRPr="009F65B4">
              <w:rPr>
                <w:rStyle w:val="Hyperlink"/>
                <w:noProof/>
                <w:color w:val="auto"/>
              </w:rPr>
              <w:t>Protocol IBC Review</w:t>
            </w:r>
            <w:r w:rsidRPr="00720B94">
              <w:rPr>
                <w:noProof/>
                <w:webHidden/>
              </w:rPr>
              <w:tab/>
            </w:r>
            <w:r w:rsidRPr="00720B94">
              <w:rPr>
                <w:noProof/>
                <w:webHidden/>
              </w:rPr>
              <w:fldChar w:fldCharType="begin"/>
            </w:r>
            <w:r w:rsidRPr="00720B94">
              <w:rPr>
                <w:noProof/>
                <w:webHidden/>
              </w:rPr>
              <w:instrText xml:space="preserve"> PAGEREF _Toc192509319 \h </w:instrText>
            </w:r>
            <w:r w:rsidRPr="00720B94">
              <w:rPr>
                <w:noProof/>
                <w:webHidden/>
              </w:rPr>
            </w:r>
            <w:r w:rsidRPr="00720B94">
              <w:rPr>
                <w:noProof/>
                <w:webHidden/>
              </w:rPr>
              <w:fldChar w:fldCharType="separate"/>
            </w:r>
            <w:r w:rsidR="00A247F7">
              <w:rPr>
                <w:noProof/>
                <w:webHidden/>
              </w:rPr>
              <w:t>10</w:t>
            </w:r>
            <w:r w:rsidRPr="00720B94">
              <w:rPr>
                <w:noProof/>
                <w:webHidden/>
              </w:rPr>
              <w:fldChar w:fldCharType="end"/>
            </w:r>
          </w:hyperlink>
        </w:p>
        <w:p w14:paraId="26ACE025" w14:textId="50AA699E" w:rsidR="00505339" w:rsidRPr="00720B94" w:rsidRDefault="00505339" w:rsidP="00720B94">
          <w:pPr>
            <w:pStyle w:val="TOC3"/>
            <w:tabs>
              <w:tab w:val="right" w:leader="dot" w:pos="10070"/>
            </w:tabs>
            <w:rPr>
              <w:rFonts w:asciiTheme="minorHAnsi" w:eastAsiaTheme="minorEastAsia" w:hAnsiTheme="minorHAnsi"/>
              <w:noProof/>
              <w:kern w:val="2"/>
              <w:sz w:val="24"/>
              <w:szCs w:val="24"/>
              <w14:ligatures w14:val="standardContextual"/>
            </w:rPr>
          </w:pPr>
          <w:hyperlink w:anchor="_Toc192509320" w:history="1">
            <w:r w:rsidRPr="009F65B4">
              <w:rPr>
                <w:rStyle w:val="Hyperlink"/>
                <w:noProof/>
                <w:color w:val="auto"/>
              </w:rPr>
              <w:t>IBC Protocol Appeals Process</w:t>
            </w:r>
            <w:r w:rsidRPr="00720B94">
              <w:rPr>
                <w:noProof/>
                <w:webHidden/>
              </w:rPr>
              <w:tab/>
            </w:r>
            <w:r w:rsidRPr="00720B94">
              <w:rPr>
                <w:noProof/>
                <w:webHidden/>
              </w:rPr>
              <w:fldChar w:fldCharType="begin"/>
            </w:r>
            <w:r w:rsidRPr="00720B94">
              <w:rPr>
                <w:noProof/>
                <w:webHidden/>
              </w:rPr>
              <w:instrText xml:space="preserve"> PAGEREF _Toc192509320 \h </w:instrText>
            </w:r>
            <w:r w:rsidRPr="00720B94">
              <w:rPr>
                <w:noProof/>
                <w:webHidden/>
              </w:rPr>
            </w:r>
            <w:r w:rsidRPr="00720B94">
              <w:rPr>
                <w:noProof/>
                <w:webHidden/>
              </w:rPr>
              <w:fldChar w:fldCharType="separate"/>
            </w:r>
            <w:r w:rsidR="00A247F7">
              <w:rPr>
                <w:noProof/>
                <w:webHidden/>
              </w:rPr>
              <w:t>11</w:t>
            </w:r>
            <w:r w:rsidRPr="00720B94">
              <w:rPr>
                <w:noProof/>
                <w:webHidden/>
              </w:rPr>
              <w:fldChar w:fldCharType="end"/>
            </w:r>
          </w:hyperlink>
        </w:p>
        <w:p w14:paraId="511FB7B8" w14:textId="618DDC9F" w:rsidR="00505339" w:rsidRPr="00720B94" w:rsidRDefault="00505339" w:rsidP="00720B94">
          <w:pPr>
            <w:pStyle w:val="TOC3"/>
            <w:tabs>
              <w:tab w:val="right" w:leader="dot" w:pos="10070"/>
            </w:tabs>
            <w:rPr>
              <w:rFonts w:asciiTheme="minorHAnsi" w:eastAsiaTheme="minorEastAsia" w:hAnsiTheme="minorHAnsi"/>
              <w:noProof/>
              <w:kern w:val="2"/>
              <w:sz w:val="24"/>
              <w:szCs w:val="24"/>
              <w14:ligatures w14:val="standardContextual"/>
            </w:rPr>
          </w:pPr>
          <w:hyperlink w:anchor="_Toc192509321" w:history="1">
            <w:r w:rsidRPr="009F65B4">
              <w:rPr>
                <w:rStyle w:val="Hyperlink"/>
                <w:noProof/>
                <w:color w:val="auto"/>
              </w:rPr>
              <w:t>Activities Requiring Oversight by Multiple Compliance Committees</w:t>
            </w:r>
            <w:r w:rsidRPr="00720B94">
              <w:rPr>
                <w:noProof/>
                <w:webHidden/>
              </w:rPr>
              <w:tab/>
            </w:r>
            <w:r w:rsidRPr="00720B94">
              <w:rPr>
                <w:noProof/>
                <w:webHidden/>
              </w:rPr>
              <w:fldChar w:fldCharType="begin"/>
            </w:r>
            <w:r w:rsidRPr="00720B94">
              <w:rPr>
                <w:noProof/>
                <w:webHidden/>
              </w:rPr>
              <w:instrText xml:space="preserve"> PAGEREF _Toc192509321 \h </w:instrText>
            </w:r>
            <w:r w:rsidRPr="00720B94">
              <w:rPr>
                <w:noProof/>
                <w:webHidden/>
              </w:rPr>
            </w:r>
            <w:r w:rsidRPr="00720B94">
              <w:rPr>
                <w:noProof/>
                <w:webHidden/>
              </w:rPr>
              <w:fldChar w:fldCharType="separate"/>
            </w:r>
            <w:r w:rsidR="00A247F7">
              <w:rPr>
                <w:noProof/>
                <w:webHidden/>
              </w:rPr>
              <w:t>11</w:t>
            </w:r>
            <w:r w:rsidRPr="00720B94">
              <w:rPr>
                <w:noProof/>
                <w:webHidden/>
              </w:rPr>
              <w:fldChar w:fldCharType="end"/>
            </w:r>
          </w:hyperlink>
        </w:p>
        <w:p w14:paraId="48D7E43C" w14:textId="6314A20B" w:rsidR="00505339" w:rsidRPr="00720B94" w:rsidRDefault="00505339" w:rsidP="00720B94">
          <w:pPr>
            <w:pStyle w:val="TOC2"/>
            <w:rPr>
              <w:rFonts w:asciiTheme="minorHAnsi" w:eastAsiaTheme="minorEastAsia" w:hAnsiTheme="minorHAnsi"/>
              <w:noProof/>
              <w:kern w:val="2"/>
              <w:sz w:val="24"/>
              <w:szCs w:val="24"/>
              <w14:ligatures w14:val="standardContextual"/>
            </w:rPr>
          </w:pPr>
          <w:hyperlink w:anchor="_Toc192509322" w:history="1">
            <w:r w:rsidRPr="009F65B4">
              <w:rPr>
                <w:rStyle w:val="Hyperlink"/>
                <w:noProof/>
                <w:color w:val="auto"/>
              </w:rPr>
              <w:t>Open Meetings Law</w:t>
            </w:r>
            <w:r w:rsidRPr="00720B94">
              <w:rPr>
                <w:noProof/>
                <w:webHidden/>
              </w:rPr>
              <w:tab/>
            </w:r>
            <w:r w:rsidRPr="00720B94">
              <w:rPr>
                <w:noProof/>
                <w:webHidden/>
              </w:rPr>
              <w:fldChar w:fldCharType="begin"/>
            </w:r>
            <w:r w:rsidRPr="00720B94">
              <w:rPr>
                <w:noProof/>
                <w:webHidden/>
              </w:rPr>
              <w:instrText xml:space="preserve"> PAGEREF _Toc192509322 \h </w:instrText>
            </w:r>
            <w:r w:rsidRPr="00720B94">
              <w:rPr>
                <w:noProof/>
                <w:webHidden/>
              </w:rPr>
            </w:r>
            <w:r w:rsidRPr="00720B94">
              <w:rPr>
                <w:noProof/>
                <w:webHidden/>
              </w:rPr>
              <w:fldChar w:fldCharType="separate"/>
            </w:r>
            <w:r w:rsidR="00A247F7">
              <w:rPr>
                <w:noProof/>
                <w:webHidden/>
              </w:rPr>
              <w:t>11</w:t>
            </w:r>
            <w:r w:rsidRPr="00720B94">
              <w:rPr>
                <w:noProof/>
                <w:webHidden/>
              </w:rPr>
              <w:fldChar w:fldCharType="end"/>
            </w:r>
          </w:hyperlink>
        </w:p>
        <w:p w14:paraId="1D5BBC33" w14:textId="7E6B1221" w:rsidR="00505339" w:rsidRPr="00720B94" w:rsidRDefault="00505339" w:rsidP="00720B94">
          <w:pPr>
            <w:pStyle w:val="TOC2"/>
            <w:rPr>
              <w:rFonts w:asciiTheme="minorHAnsi" w:eastAsiaTheme="minorEastAsia" w:hAnsiTheme="minorHAnsi"/>
              <w:noProof/>
              <w:kern w:val="2"/>
              <w:sz w:val="24"/>
              <w:szCs w:val="24"/>
              <w14:ligatures w14:val="standardContextual"/>
            </w:rPr>
          </w:pPr>
          <w:hyperlink w:anchor="_Toc192509323" w:history="1">
            <w:r w:rsidRPr="009F65B4">
              <w:rPr>
                <w:rStyle w:val="Hyperlink"/>
                <w:noProof/>
                <w:color w:val="auto"/>
              </w:rPr>
              <w:t>Closed Session &amp; Confidentiality</w:t>
            </w:r>
            <w:r w:rsidRPr="00720B94">
              <w:rPr>
                <w:noProof/>
                <w:webHidden/>
              </w:rPr>
              <w:tab/>
            </w:r>
            <w:r w:rsidRPr="00720B94">
              <w:rPr>
                <w:noProof/>
                <w:webHidden/>
              </w:rPr>
              <w:fldChar w:fldCharType="begin"/>
            </w:r>
            <w:r w:rsidRPr="00720B94">
              <w:rPr>
                <w:noProof/>
                <w:webHidden/>
              </w:rPr>
              <w:instrText xml:space="preserve"> PAGEREF _Toc192509323 \h </w:instrText>
            </w:r>
            <w:r w:rsidRPr="00720B94">
              <w:rPr>
                <w:noProof/>
                <w:webHidden/>
              </w:rPr>
            </w:r>
            <w:r w:rsidRPr="00720B94">
              <w:rPr>
                <w:noProof/>
                <w:webHidden/>
              </w:rPr>
              <w:fldChar w:fldCharType="separate"/>
            </w:r>
            <w:r w:rsidR="00A247F7">
              <w:rPr>
                <w:noProof/>
                <w:webHidden/>
              </w:rPr>
              <w:t>11</w:t>
            </w:r>
            <w:r w:rsidRPr="00720B94">
              <w:rPr>
                <w:noProof/>
                <w:webHidden/>
              </w:rPr>
              <w:fldChar w:fldCharType="end"/>
            </w:r>
          </w:hyperlink>
        </w:p>
        <w:p w14:paraId="634FA14E" w14:textId="57F9E8DF" w:rsidR="00505339" w:rsidRPr="00720B94" w:rsidRDefault="00505339" w:rsidP="00720B94">
          <w:pPr>
            <w:pStyle w:val="TOC2"/>
            <w:rPr>
              <w:rFonts w:asciiTheme="minorHAnsi" w:eastAsiaTheme="minorEastAsia" w:hAnsiTheme="minorHAnsi"/>
              <w:noProof/>
              <w:kern w:val="2"/>
              <w:sz w:val="24"/>
              <w:szCs w:val="24"/>
              <w14:ligatures w14:val="standardContextual"/>
            </w:rPr>
          </w:pPr>
          <w:hyperlink w:anchor="_Toc192509324" w:history="1">
            <w:r w:rsidRPr="009F65B4">
              <w:rPr>
                <w:rStyle w:val="Hyperlink"/>
                <w:noProof/>
                <w:color w:val="auto"/>
              </w:rPr>
              <w:t>Reporting of Incidents, Violations, Accidents &amp; Illnesses</w:t>
            </w:r>
            <w:r w:rsidRPr="00720B94">
              <w:rPr>
                <w:noProof/>
                <w:webHidden/>
              </w:rPr>
              <w:tab/>
            </w:r>
            <w:r w:rsidRPr="00720B94">
              <w:rPr>
                <w:noProof/>
                <w:webHidden/>
              </w:rPr>
              <w:fldChar w:fldCharType="begin"/>
            </w:r>
            <w:r w:rsidRPr="00720B94">
              <w:rPr>
                <w:noProof/>
                <w:webHidden/>
              </w:rPr>
              <w:instrText xml:space="preserve"> PAGEREF _Toc192509324 \h </w:instrText>
            </w:r>
            <w:r w:rsidRPr="00720B94">
              <w:rPr>
                <w:noProof/>
                <w:webHidden/>
              </w:rPr>
            </w:r>
            <w:r w:rsidRPr="00720B94">
              <w:rPr>
                <w:noProof/>
                <w:webHidden/>
              </w:rPr>
              <w:fldChar w:fldCharType="separate"/>
            </w:r>
            <w:r w:rsidR="00A247F7">
              <w:rPr>
                <w:noProof/>
                <w:webHidden/>
              </w:rPr>
              <w:t>12</w:t>
            </w:r>
            <w:r w:rsidRPr="00720B94">
              <w:rPr>
                <w:noProof/>
                <w:webHidden/>
              </w:rPr>
              <w:fldChar w:fldCharType="end"/>
            </w:r>
          </w:hyperlink>
        </w:p>
        <w:p w14:paraId="00EC10B2" w14:textId="0847EE31" w:rsidR="00505339" w:rsidRPr="00720B94" w:rsidRDefault="00505339" w:rsidP="00720B94">
          <w:pPr>
            <w:pStyle w:val="TOC2"/>
            <w:rPr>
              <w:rFonts w:asciiTheme="minorHAnsi" w:eastAsiaTheme="minorEastAsia" w:hAnsiTheme="minorHAnsi"/>
              <w:noProof/>
              <w:kern w:val="2"/>
              <w:sz w:val="24"/>
              <w:szCs w:val="24"/>
              <w14:ligatures w14:val="standardContextual"/>
            </w:rPr>
          </w:pPr>
          <w:hyperlink w:anchor="_Toc192509325" w:history="1">
            <w:r w:rsidRPr="009F65B4">
              <w:rPr>
                <w:rStyle w:val="Hyperlink"/>
                <w:noProof/>
                <w:color w:val="auto"/>
              </w:rPr>
              <w:t>Meeting Schedule</w:t>
            </w:r>
            <w:r w:rsidRPr="00720B94">
              <w:rPr>
                <w:noProof/>
                <w:webHidden/>
              </w:rPr>
              <w:tab/>
            </w:r>
            <w:r w:rsidRPr="00720B94">
              <w:rPr>
                <w:noProof/>
                <w:webHidden/>
              </w:rPr>
              <w:fldChar w:fldCharType="begin"/>
            </w:r>
            <w:r w:rsidRPr="00720B94">
              <w:rPr>
                <w:noProof/>
                <w:webHidden/>
              </w:rPr>
              <w:instrText xml:space="preserve"> PAGEREF _Toc192509325 \h </w:instrText>
            </w:r>
            <w:r w:rsidRPr="00720B94">
              <w:rPr>
                <w:noProof/>
                <w:webHidden/>
              </w:rPr>
            </w:r>
            <w:r w:rsidRPr="00720B94">
              <w:rPr>
                <w:noProof/>
                <w:webHidden/>
              </w:rPr>
              <w:fldChar w:fldCharType="separate"/>
            </w:r>
            <w:r w:rsidR="00A247F7">
              <w:rPr>
                <w:noProof/>
                <w:webHidden/>
              </w:rPr>
              <w:t>12</w:t>
            </w:r>
            <w:r w:rsidRPr="00720B94">
              <w:rPr>
                <w:noProof/>
                <w:webHidden/>
              </w:rPr>
              <w:fldChar w:fldCharType="end"/>
            </w:r>
          </w:hyperlink>
        </w:p>
        <w:p w14:paraId="7B492A98" w14:textId="1B4AAEC6" w:rsidR="00505339" w:rsidRPr="00720B94" w:rsidRDefault="00505339" w:rsidP="00720B94">
          <w:pPr>
            <w:pStyle w:val="TOC2"/>
            <w:rPr>
              <w:rFonts w:asciiTheme="minorHAnsi" w:eastAsiaTheme="minorEastAsia" w:hAnsiTheme="minorHAnsi"/>
              <w:noProof/>
              <w:kern w:val="2"/>
              <w:sz w:val="24"/>
              <w:szCs w:val="24"/>
              <w14:ligatures w14:val="standardContextual"/>
            </w:rPr>
          </w:pPr>
          <w:hyperlink w:anchor="_Toc192509326" w:history="1">
            <w:r w:rsidRPr="009F65B4">
              <w:rPr>
                <w:rStyle w:val="Hyperlink"/>
                <w:noProof/>
                <w:color w:val="auto"/>
              </w:rPr>
              <w:t>Noncompliance Policy</w:t>
            </w:r>
            <w:r w:rsidRPr="00720B94">
              <w:rPr>
                <w:noProof/>
                <w:webHidden/>
              </w:rPr>
              <w:tab/>
            </w:r>
            <w:r w:rsidRPr="00720B94">
              <w:rPr>
                <w:noProof/>
                <w:webHidden/>
              </w:rPr>
              <w:fldChar w:fldCharType="begin"/>
            </w:r>
            <w:r w:rsidRPr="00720B94">
              <w:rPr>
                <w:noProof/>
                <w:webHidden/>
              </w:rPr>
              <w:instrText xml:space="preserve"> PAGEREF _Toc192509326 \h </w:instrText>
            </w:r>
            <w:r w:rsidRPr="00720B94">
              <w:rPr>
                <w:noProof/>
                <w:webHidden/>
              </w:rPr>
            </w:r>
            <w:r w:rsidRPr="00720B94">
              <w:rPr>
                <w:noProof/>
                <w:webHidden/>
              </w:rPr>
              <w:fldChar w:fldCharType="separate"/>
            </w:r>
            <w:r w:rsidR="00A247F7">
              <w:rPr>
                <w:noProof/>
                <w:webHidden/>
              </w:rPr>
              <w:t>12</w:t>
            </w:r>
            <w:r w:rsidRPr="00720B94">
              <w:rPr>
                <w:noProof/>
                <w:webHidden/>
              </w:rPr>
              <w:fldChar w:fldCharType="end"/>
            </w:r>
          </w:hyperlink>
        </w:p>
        <w:p w14:paraId="40F3F052" w14:textId="27A7B1F4" w:rsidR="00505339" w:rsidRPr="00720B94" w:rsidRDefault="00505339" w:rsidP="00720B94">
          <w:pPr>
            <w:pStyle w:val="TOC1"/>
            <w:rPr>
              <w:rFonts w:asciiTheme="minorHAnsi" w:eastAsiaTheme="minorEastAsia" w:hAnsiTheme="minorHAnsi"/>
              <w:noProof/>
              <w:kern w:val="2"/>
              <w:sz w:val="24"/>
              <w:szCs w:val="24"/>
              <w14:ligatures w14:val="standardContextual"/>
            </w:rPr>
          </w:pPr>
          <w:hyperlink w:anchor="_Toc192509327" w:history="1">
            <w:r w:rsidRPr="009F65B4">
              <w:rPr>
                <w:rStyle w:val="Hyperlink"/>
                <w:noProof/>
                <w:color w:val="auto"/>
              </w:rPr>
              <w:t>Principal Investigator (PI) Responsibilities</w:t>
            </w:r>
            <w:r w:rsidRPr="00720B94">
              <w:rPr>
                <w:noProof/>
                <w:webHidden/>
              </w:rPr>
              <w:tab/>
            </w:r>
            <w:r w:rsidRPr="00720B94">
              <w:rPr>
                <w:noProof/>
                <w:webHidden/>
              </w:rPr>
              <w:fldChar w:fldCharType="begin"/>
            </w:r>
            <w:r w:rsidRPr="00720B94">
              <w:rPr>
                <w:noProof/>
                <w:webHidden/>
              </w:rPr>
              <w:instrText xml:space="preserve"> PAGEREF _Toc192509327 \h </w:instrText>
            </w:r>
            <w:r w:rsidRPr="00720B94">
              <w:rPr>
                <w:noProof/>
                <w:webHidden/>
              </w:rPr>
            </w:r>
            <w:r w:rsidRPr="00720B94">
              <w:rPr>
                <w:noProof/>
                <w:webHidden/>
              </w:rPr>
              <w:fldChar w:fldCharType="separate"/>
            </w:r>
            <w:r w:rsidR="00A247F7">
              <w:rPr>
                <w:noProof/>
                <w:webHidden/>
              </w:rPr>
              <w:t>13</w:t>
            </w:r>
            <w:r w:rsidRPr="00720B94">
              <w:rPr>
                <w:noProof/>
                <w:webHidden/>
              </w:rPr>
              <w:fldChar w:fldCharType="end"/>
            </w:r>
          </w:hyperlink>
        </w:p>
        <w:p w14:paraId="69575CC4" w14:textId="4D1AE9EA" w:rsidR="00505339" w:rsidRPr="00720B94" w:rsidRDefault="00505339" w:rsidP="00720B94">
          <w:pPr>
            <w:pStyle w:val="TOC2"/>
            <w:rPr>
              <w:rFonts w:asciiTheme="minorHAnsi" w:eastAsiaTheme="minorEastAsia" w:hAnsiTheme="minorHAnsi"/>
              <w:noProof/>
              <w:kern w:val="2"/>
              <w:sz w:val="24"/>
              <w:szCs w:val="24"/>
              <w14:ligatures w14:val="standardContextual"/>
            </w:rPr>
          </w:pPr>
          <w:hyperlink w:anchor="_Toc192509328" w:history="1">
            <w:r w:rsidRPr="009F65B4">
              <w:rPr>
                <w:rStyle w:val="Hyperlink"/>
                <w:noProof/>
                <w:color w:val="auto"/>
              </w:rPr>
              <w:t>Biosafety Protocol</w:t>
            </w:r>
            <w:r w:rsidRPr="00720B94">
              <w:rPr>
                <w:noProof/>
                <w:webHidden/>
              </w:rPr>
              <w:tab/>
            </w:r>
            <w:r w:rsidRPr="00720B94">
              <w:rPr>
                <w:noProof/>
                <w:webHidden/>
              </w:rPr>
              <w:fldChar w:fldCharType="begin"/>
            </w:r>
            <w:r w:rsidRPr="00720B94">
              <w:rPr>
                <w:noProof/>
                <w:webHidden/>
              </w:rPr>
              <w:instrText xml:space="preserve"> PAGEREF _Toc192509328 \h </w:instrText>
            </w:r>
            <w:r w:rsidRPr="00720B94">
              <w:rPr>
                <w:noProof/>
                <w:webHidden/>
              </w:rPr>
            </w:r>
            <w:r w:rsidRPr="00720B94">
              <w:rPr>
                <w:noProof/>
                <w:webHidden/>
              </w:rPr>
              <w:fldChar w:fldCharType="separate"/>
            </w:r>
            <w:r w:rsidR="00A247F7">
              <w:rPr>
                <w:noProof/>
                <w:webHidden/>
              </w:rPr>
              <w:t>13</w:t>
            </w:r>
            <w:r w:rsidRPr="00720B94">
              <w:rPr>
                <w:noProof/>
                <w:webHidden/>
              </w:rPr>
              <w:fldChar w:fldCharType="end"/>
            </w:r>
          </w:hyperlink>
        </w:p>
        <w:p w14:paraId="578EC962" w14:textId="55832001" w:rsidR="00505339" w:rsidRPr="00720B94" w:rsidRDefault="00505339" w:rsidP="00720B94">
          <w:pPr>
            <w:pStyle w:val="TOC2"/>
            <w:rPr>
              <w:rFonts w:asciiTheme="minorHAnsi" w:eastAsiaTheme="minorEastAsia" w:hAnsiTheme="minorHAnsi"/>
              <w:noProof/>
              <w:kern w:val="2"/>
              <w:sz w:val="24"/>
              <w:szCs w:val="24"/>
              <w14:ligatures w14:val="standardContextual"/>
            </w:rPr>
          </w:pPr>
          <w:hyperlink w:anchor="_Toc192509329" w:history="1">
            <w:r w:rsidRPr="009F65B4">
              <w:rPr>
                <w:rStyle w:val="Hyperlink"/>
                <w:noProof/>
                <w:color w:val="auto"/>
              </w:rPr>
              <w:t>Training</w:t>
            </w:r>
            <w:r w:rsidRPr="00720B94">
              <w:rPr>
                <w:noProof/>
                <w:webHidden/>
              </w:rPr>
              <w:tab/>
            </w:r>
            <w:r w:rsidRPr="00720B94">
              <w:rPr>
                <w:noProof/>
                <w:webHidden/>
              </w:rPr>
              <w:fldChar w:fldCharType="begin"/>
            </w:r>
            <w:r w:rsidRPr="00720B94">
              <w:rPr>
                <w:noProof/>
                <w:webHidden/>
              </w:rPr>
              <w:instrText xml:space="preserve"> PAGEREF _Toc192509329 \h </w:instrText>
            </w:r>
            <w:r w:rsidRPr="00720B94">
              <w:rPr>
                <w:noProof/>
                <w:webHidden/>
              </w:rPr>
            </w:r>
            <w:r w:rsidRPr="00720B94">
              <w:rPr>
                <w:noProof/>
                <w:webHidden/>
              </w:rPr>
              <w:fldChar w:fldCharType="separate"/>
            </w:r>
            <w:r w:rsidR="00A247F7">
              <w:rPr>
                <w:noProof/>
                <w:webHidden/>
              </w:rPr>
              <w:t>14</w:t>
            </w:r>
            <w:r w:rsidRPr="00720B94">
              <w:rPr>
                <w:noProof/>
                <w:webHidden/>
              </w:rPr>
              <w:fldChar w:fldCharType="end"/>
            </w:r>
          </w:hyperlink>
        </w:p>
        <w:p w14:paraId="1BD089F3" w14:textId="334A0F8F" w:rsidR="00505339" w:rsidRPr="00720B94" w:rsidRDefault="00505339" w:rsidP="00720B94">
          <w:pPr>
            <w:pStyle w:val="TOC2"/>
            <w:rPr>
              <w:rFonts w:asciiTheme="minorHAnsi" w:eastAsiaTheme="minorEastAsia" w:hAnsiTheme="minorHAnsi"/>
              <w:noProof/>
              <w:kern w:val="2"/>
              <w:sz w:val="24"/>
              <w:szCs w:val="24"/>
              <w14:ligatures w14:val="standardContextual"/>
            </w:rPr>
          </w:pPr>
          <w:hyperlink w:anchor="_Toc192509330" w:history="1">
            <w:r w:rsidRPr="009F65B4">
              <w:rPr>
                <w:rStyle w:val="Hyperlink"/>
                <w:rFonts w:eastAsia="Arial"/>
                <w:noProof/>
                <w:color w:val="auto"/>
              </w:rPr>
              <w:t>Principal Investigator (PI) Assurance Statement</w:t>
            </w:r>
            <w:r w:rsidRPr="00720B94">
              <w:rPr>
                <w:noProof/>
                <w:webHidden/>
              </w:rPr>
              <w:tab/>
            </w:r>
            <w:r w:rsidRPr="00720B94">
              <w:rPr>
                <w:noProof/>
                <w:webHidden/>
              </w:rPr>
              <w:fldChar w:fldCharType="begin"/>
            </w:r>
            <w:r w:rsidRPr="00720B94">
              <w:rPr>
                <w:noProof/>
                <w:webHidden/>
              </w:rPr>
              <w:instrText xml:space="preserve"> PAGEREF _Toc192509330 \h </w:instrText>
            </w:r>
            <w:r w:rsidRPr="00720B94">
              <w:rPr>
                <w:noProof/>
                <w:webHidden/>
              </w:rPr>
            </w:r>
            <w:r w:rsidRPr="00720B94">
              <w:rPr>
                <w:noProof/>
                <w:webHidden/>
              </w:rPr>
              <w:fldChar w:fldCharType="separate"/>
            </w:r>
            <w:r w:rsidR="00A247F7">
              <w:rPr>
                <w:noProof/>
                <w:webHidden/>
              </w:rPr>
              <w:t>15</w:t>
            </w:r>
            <w:r w:rsidRPr="00720B94">
              <w:rPr>
                <w:noProof/>
                <w:webHidden/>
              </w:rPr>
              <w:fldChar w:fldCharType="end"/>
            </w:r>
          </w:hyperlink>
        </w:p>
        <w:p w14:paraId="2A48DE7C" w14:textId="2E1D032E" w:rsidR="00505339" w:rsidRPr="00720B94" w:rsidRDefault="00505339" w:rsidP="00720B94">
          <w:pPr>
            <w:pStyle w:val="TOC1"/>
            <w:rPr>
              <w:rFonts w:asciiTheme="minorHAnsi" w:eastAsiaTheme="minorEastAsia" w:hAnsiTheme="minorHAnsi"/>
              <w:noProof/>
              <w:kern w:val="2"/>
              <w:sz w:val="24"/>
              <w:szCs w:val="24"/>
              <w14:ligatures w14:val="standardContextual"/>
            </w:rPr>
          </w:pPr>
          <w:hyperlink w:anchor="_Toc192509331" w:history="1">
            <w:r w:rsidRPr="009F65B4">
              <w:rPr>
                <w:rStyle w:val="Hyperlink"/>
                <w:noProof/>
                <w:color w:val="auto"/>
              </w:rPr>
              <w:t>General Principles of Biological Safety</w:t>
            </w:r>
            <w:r w:rsidRPr="00720B94">
              <w:rPr>
                <w:noProof/>
                <w:webHidden/>
              </w:rPr>
              <w:tab/>
            </w:r>
            <w:r w:rsidRPr="00720B94">
              <w:rPr>
                <w:noProof/>
                <w:webHidden/>
              </w:rPr>
              <w:fldChar w:fldCharType="begin"/>
            </w:r>
            <w:r w:rsidRPr="00720B94">
              <w:rPr>
                <w:noProof/>
                <w:webHidden/>
              </w:rPr>
              <w:instrText xml:space="preserve"> PAGEREF _Toc192509331 \h </w:instrText>
            </w:r>
            <w:r w:rsidRPr="00720B94">
              <w:rPr>
                <w:noProof/>
                <w:webHidden/>
              </w:rPr>
            </w:r>
            <w:r w:rsidRPr="00720B94">
              <w:rPr>
                <w:noProof/>
                <w:webHidden/>
              </w:rPr>
              <w:fldChar w:fldCharType="separate"/>
            </w:r>
            <w:r w:rsidR="00A247F7">
              <w:rPr>
                <w:noProof/>
                <w:webHidden/>
              </w:rPr>
              <w:t>16</w:t>
            </w:r>
            <w:r w:rsidRPr="00720B94">
              <w:rPr>
                <w:noProof/>
                <w:webHidden/>
              </w:rPr>
              <w:fldChar w:fldCharType="end"/>
            </w:r>
          </w:hyperlink>
        </w:p>
        <w:p w14:paraId="488BFF28" w14:textId="3AB46896" w:rsidR="00505339" w:rsidRPr="00720B94" w:rsidRDefault="00505339" w:rsidP="00720B94">
          <w:pPr>
            <w:pStyle w:val="TOC2"/>
            <w:rPr>
              <w:rFonts w:asciiTheme="minorHAnsi" w:eastAsiaTheme="minorEastAsia" w:hAnsiTheme="minorHAnsi"/>
              <w:noProof/>
              <w:kern w:val="2"/>
              <w:sz w:val="24"/>
              <w:szCs w:val="24"/>
              <w14:ligatures w14:val="standardContextual"/>
            </w:rPr>
          </w:pPr>
          <w:hyperlink w:anchor="_Toc192509332" w:history="1">
            <w:r w:rsidRPr="009F65B4">
              <w:rPr>
                <w:rStyle w:val="Hyperlink"/>
                <w:noProof/>
                <w:color w:val="auto"/>
              </w:rPr>
              <w:t>Risk Assessment</w:t>
            </w:r>
            <w:r w:rsidRPr="00720B94">
              <w:rPr>
                <w:noProof/>
                <w:webHidden/>
              </w:rPr>
              <w:tab/>
            </w:r>
            <w:r w:rsidRPr="00720B94">
              <w:rPr>
                <w:noProof/>
                <w:webHidden/>
              </w:rPr>
              <w:fldChar w:fldCharType="begin"/>
            </w:r>
            <w:r w:rsidRPr="00720B94">
              <w:rPr>
                <w:noProof/>
                <w:webHidden/>
              </w:rPr>
              <w:instrText xml:space="preserve"> PAGEREF _Toc192509332 \h </w:instrText>
            </w:r>
            <w:r w:rsidRPr="00720B94">
              <w:rPr>
                <w:noProof/>
                <w:webHidden/>
              </w:rPr>
            </w:r>
            <w:r w:rsidRPr="00720B94">
              <w:rPr>
                <w:noProof/>
                <w:webHidden/>
              </w:rPr>
              <w:fldChar w:fldCharType="separate"/>
            </w:r>
            <w:r w:rsidR="00A247F7">
              <w:rPr>
                <w:noProof/>
                <w:webHidden/>
              </w:rPr>
              <w:t>16</w:t>
            </w:r>
            <w:r w:rsidRPr="00720B94">
              <w:rPr>
                <w:noProof/>
                <w:webHidden/>
              </w:rPr>
              <w:fldChar w:fldCharType="end"/>
            </w:r>
          </w:hyperlink>
        </w:p>
        <w:p w14:paraId="3DC87FA4" w14:textId="16D76EEA" w:rsidR="00505339" w:rsidRPr="00720B94" w:rsidRDefault="00505339" w:rsidP="00720B94">
          <w:pPr>
            <w:pStyle w:val="TOC2"/>
            <w:rPr>
              <w:rFonts w:asciiTheme="minorHAnsi" w:eastAsiaTheme="minorEastAsia" w:hAnsiTheme="minorHAnsi"/>
              <w:noProof/>
              <w:kern w:val="2"/>
              <w:sz w:val="24"/>
              <w:szCs w:val="24"/>
              <w14:ligatures w14:val="standardContextual"/>
            </w:rPr>
          </w:pPr>
          <w:hyperlink w:anchor="_Toc192509333" w:history="1">
            <w:r w:rsidRPr="009F65B4">
              <w:rPr>
                <w:rStyle w:val="Hyperlink"/>
                <w:noProof/>
                <w:color w:val="auto"/>
              </w:rPr>
              <w:t>Risk Groups &amp; Biosafety Levels</w:t>
            </w:r>
            <w:r w:rsidRPr="00720B94">
              <w:rPr>
                <w:noProof/>
                <w:webHidden/>
              </w:rPr>
              <w:tab/>
            </w:r>
            <w:r w:rsidRPr="00720B94">
              <w:rPr>
                <w:noProof/>
                <w:webHidden/>
              </w:rPr>
              <w:fldChar w:fldCharType="begin"/>
            </w:r>
            <w:r w:rsidRPr="00720B94">
              <w:rPr>
                <w:noProof/>
                <w:webHidden/>
              </w:rPr>
              <w:instrText xml:space="preserve"> PAGEREF _Toc192509333 \h </w:instrText>
            </w:r>
            <w:r w:rsidRPr="00720B94">
              <w:rPr>
                <w:noProof/>
                <w:webHidden/>
              </w:rPr>
            </w:r>
            <w:r w:rsidRPr="00720B94">
              <w:rPr>
                <w:noProof/>
                <w:webHidden/>
              </w:rPr>
              <w:fldChar w:fldCharType="separate"/>
            </w:r>
            <w:r w:rsidR="00A247F7">
              <w:rPr>
                <w:noProof/>
                <w:webHidden/>
              </w:rPr>
              <w:t>18</w:t>
            </w:r>
            <w:r w:rsidRPr="00720B94">
              <w:rPr>
                <w:noProof/>
                <w:webHidden/>
              </w:rPr>
              <w:fldChar w:fldCharType="end"/>
            </w:r>
          </w:hyperlink>
        </w:p>
        <w:p w14:paraId="4FD595D0" w14:textId="21C46383" w:rsidR="00505339" w:rsidRPr="00720B94" w:rsidRDefault="00505339" w:rsidP="00720B94">
          <w:pPr>
            <w:pStyle w:val="TOC3"/>
            <w:tabs>
              <w:tab w:val="right" w:leader="dot" w:pos="10070"/>
            </w:tabs>
            <w:rPr>
              <w:rFonts w:asciiTheme="minorHAnsi" w:eastAsiaTheme="minorEastAsia" w:hAnsiTheme="minorHAnsi"/>
              <w:noProof/>
              <w:kern w:val="2"/>
              <w:sz w:val="24"/>
              <w:szCs w:val="24"/>
              <w14:ligatures w14:val="standardContextual"/>
            </w:rPr>
          </w:pPr>
          <w:hyperlink w:anchor="_Toc192509334" w:history="1">
            <w:r w:rsidRPr="009F65B4">
              <w:rPr>
                <w:rStyle w:val="Hyperlink"/>
                <w:rFonts w:eastAsia="Arial"/>
                <w:noProof/>
                <w:color w:val="auto"/>
              </w:rPr>
              <w:t>Routes of Infection</w:t>
            </w:r>
            <w:r w:rsidRPr="00720B94">
              <w:rPr>
                <w:noProof/>
                <w:webHidden/>
              </w:rPr>
              <w:tab/>
            </w:r>
            <w:r w:rsidRPr="00720B94">
              <w:rPr>
                <w:noProof/>
                <w:webHidden/>
              </w:rPr>
              <w:fldChar w:fldCharType="begin"/>
            </w:r>
            <w:r w:rsidRPr="00720B94">
              <w:rPr>
                <w:noProof/>
                <w:webHidden/>
              </w:rPr>
              <w:instrText xml:space="preserve"> PAGEREF _Toc192509334 \h </w:instrText>
            </w:r>
            <w:r w:rsidRPr="00720B94">
              <w:rPr>
                <w:noProof/>
                <w:webHidden/>
              </w:rPr>
            </w:r>
            <w:r w:rsidRPr="00720B94">
              <w:rPr>
                <w:noProof/>
                <w:webHidden/>
              </w:rPr>
              <w:fldChar w:fldCharType="separate"/>
            </w:r>
            <w:r w:rsidR="00A247F7">
              <w:rPr>
                <w:noProof/>
                <w:webHidden/>
              </w:rPr>
              <w:t>18</w:t>
            </w:r>
            <w:r w:rsidRPr="00720B94">
              <w:rPr>
                <w:noProof/>
                <w:webHidden/>
              </w:rPr>
              <w:fldChar w:fldCharType="end"/>
            </w:r>
          </w:hyperlink>
        </w:p>
        <w:p w14:paraId="4FE1213B" w14:textId="21D72147" w:rsidR="00505339" w:rsidRPr="00720B94" w:rsidRDefault="00505339" w:rsidP="00720B94">
          <w:pPr>
            <w:pStyle w:val="TOC2"/>
            <w:rPr>
              <w:rFonts w:asciiTheme="minorHAnsi" w:eastAsiaTheme="minorEastAsia" w:hAnsiTheme="minorHAnsi"/>
              <w:noProof/>
              <w:kern w:val="2"/>
              <w:sz w:val="24"/>
              <w:szCs w:val="24"/>
              <w14:ligatures w14:val="standardContextual"/>
            </w:rPr>
          </w:pPr>
          <w:hyperlink w:anchor="_Toc192509335" w:history="1">
            <w:r w:rsidRPr="009F65B4">
              <w:rPr>
                <w:rStyle w:val="Hyperlink"/>
                <w:noProof/>
                <w:color w:val="auto"/>
              </w:rPr>
              <w:t>Biohazard Containment</w:t>
            </w:r>
            <w:r w:rsidRPr="00720B94">
              <w:rPr>
                <w:noProof/>
                <w:webHidden/>
              </w:rPr>
              <w:tab/>
            </w:r>
            <w:r w:rsidRPr="00720B94">
              <w:rPr>
                <w:noProof/>
                <w:webHidden/>
              </w:rPr>
              <w:fldChar w:fldCharType="begin"/>
            </w:r>
            <w:r w:rsidRPr="00720B94">
              <w:rPr>
                <w:noProof/>
                <w:webHidden/>
              </w:rPr>
              <w:instrText xml:space="preserve"> PAGEREF _Toc192509335 \h </w:instrText>
            </w:r>
            <w:r w:rsidRPr="00720B94">
              <w:rPr>
                <w:noProof/>
                <w:webHidden/>
              </w:rPr>
            </w:r>
            <w:r w:rsidRPr="00720B94">
              <w:rPr>
                <w:noProof/>
                <w:webHidden/>
              </w:rPr>
              <w:fldChar w:fldCharType="separate"/>
            </w:r>
            <w:r w:rsidR="00A247F7">
              <w:rPr>
                <w:noProof/>
                <w:webHidden/>
              </w:rPr>
              <w:t>19</w:t>
            </w:r>
            <w:r w:rsidRPr="00720B94">
              <w:rPr>
                <w:noProof/>
                <w:webHidden/>
              </w:rPr>
              <w:fldChar w:fldCharType="end"/>
            </w:r>
          </w:hyperlink>
        </w:p>
        <w:p w14:paraId="0AC4B804" w14:textId="71148675" w:rsidR="00505339" w:rsidRPr="00720B94" w:rsidRDefault="00505339" w:rsidP="00720B94">
          <w:pPr>
            <w:pStyle w:val="TOC2"/>
            <w:rPr>
              <w:rFonts w:asciiTheme="minorHAnsi" w:eastAsiaTheme="minorEastAsia" w:hAnsiTheme="minorHAnsi"/>
              <w:noProof/>
              <w:kern w:val="2"/>
              <w:sz w:val="24"/>
              <w:szCs w:val="24"/>
              <w14:ligatures w14:val="standardContextual"/>
            </w:rPr>
          </w:pPr>
          <w:hyperlink w:anchor="_Toc192509336" w:history="1">
            <w:r w:rsidRPr="009F65B4">
              <w:rPr>
                <w:rStyle w:val="Hyperlink"/>
                <w:rFonts w:eastAsia="Arial"/>
                <w:noProof/>
                <w:color w:val="auto"/>
              </w:rPr>
              <w:t>Practices &amp; Procedures</w:t>
            </w:r>
            <w:r w:rsidRPr="00720B94">
              <w:rPr>
                <w:noProof/>
                <w:webHidden/>
              </w:rPr>
              <w:tab/>
            </w:r>
            <w:r w:rsidRPr="00720B94">
              <w:rPr>
                <w:noProof/>
                <w:webHidden/>
              </w:rPr>
              <w:fldChar w:fldCharType="begin"/>
            </w:r>
            <w:r w:rsidRPr="00720B94">
              <w:rPr>
                <w:noProof/>
                <w:webHidden/>
              </w:rPr>
              <w:instrText xml:space="preserve"> PAGEREF _Toc192509336 \h </w:instrText>
            </w:r>
            <w:r w:rsidRPr="00720B94">
              <w:rPr>
                <w:noProof/>
                <w:webHidden/>
              </w:rPr>
            </w:r>
            <w:r w:rsidRPr="00720B94">
              <w:rPr>
                <w:noProof/>
                <w:webHidden/>
              </w:rPr>
              <w:fldChar w:fldCharType="separate"/>
            </w:r>
            <w:r w:rsidR="00A247F7">
              <w:rPr>
                <w:noProof/>
                <w:webHidden/>
              </w:rPr>
              <w:t>19</w:t>
            </w:r>
            <w:r w:rsidRPr="00720B94">
              <w:rPr>
                <w:noProof/>
                <w:webHidden/>
              </w:rPr>
              <w:fldChar w:fldCharType="end"/>
            </w:r>
          </w:hyperlink>
        </w:p>
        <w:p w14:paraId="37D4344A" w14:textId="62D4850A" w:rsidR="00505339" w:rsidRPr="00720B94" w:rsidRDefault="00505339" w:rsidP="00720B94">
          <w:pPr>
            <w:pStyle w:val="TOC3"/>
            <w:tabs>
              <w:tab w:val="right" w:leader="dot" w:pos="10070"/>
            </w:tabs>
            <w:rPr>
              <w:rFonts w:asciiTheme="minorHAnsi" w:eastAsiaTheme="minorEastAsia" w:hAnsiTheme="minorHAnsi"/>
              <w:noProof/>
              <w:kern w:val="2"/>
              <w:sz w:val="24"/>
              <w:szCs w:val="24"/>
              <w14:ligatures w14:val="standardContextual"/>
            </w:rPr>
          </w:pPr>
          <w:hyperlink w:anchor="_Toc192509337" w:history="1">
            <w:r w:rsidRPr="009F65B4">
              <w:rPr>
                <w:rStyle w:val="Hyperlink"/>
                <w:rFonts w:eastAsia="Arial"/>
                <w:noProof/>
                <w:color w:val="auto"/>
              </w:rPr>
              <w:t>Biosafety Level 1</w:t>
            </w:r>
            <w:r w:rsidRPr="00720B94">
              <w:rPr>
                <w:noProof/>
                <w:webHidden/>
              </w:rPr>
              <w:tab/>
            </w:r>
            <w:r w:rsidRPr="00720B94">
              <w:rPr>
                <w:noProof/>
                <w:webHidden/>
              </w:rPr>
              <w:fldChar w:fldCharType="begin"/>
            </w:r>
            <w:r w:rsidRPr="00720B94">
              <w:rPr>
                <w:noProof/>
                <w:webHidden/>
              </w:rPr>
              <w:instrText xml:space="preserve"> PAGEREF _Toc192509337 \h </w:instrText>
            </w:r>
            <w:r w:rsidRPr="00720B94">
              <w:rPr>
                <w:noProof/>
                <w:webHidden/>
              </w:rPr>
            </w:r>
            <w:r w:rsidRPr="00720B94">
              <w:rPr>
                <w:noProof/>
                <w:webHidden/>
              </w:rPr>
              <w:fldChar w:fldCharType="separate"/>
            </w:r>
            <w:r w:rsidR="00A247F7">
              <w:rPr>
                <w:noProof/>
                <w:webHidden/>
              </w:rPr>
              <w:t>19</w:t>
            </w:r>
            <w:r w:rsidRPr="00720B94">
              <w:rPr>
                <w:noProof/>
                <w:webHidden/>
              </w:rPr>
              <w:fldChar w:fldCharType="end"/>
            </w:r>
          </w:hyperlink>
        </w:p>
        <w:p w14:paraId="62E6D59F" w14:textId="4E4A6B15" w:rsidR="00505339" w:rsidRPr="00720B94" w:rsidRDefault="00505339" w:rsidP="00720B94">
          <w:pPr>
            <w:pStyle w:val="TOC3"/>
            <w:tabs>
              <w:tab w:val="right" w:leader="dot" w:pos="10070"/>
            </w:tabs>
            <w:rPr>
              <w:rFonts w:asciiTheme="minorHAnsi" w:eastAsiaTheme="minorEastAsia" w:hAnsiTheme="minorHAnsi"/>
              <w:noProof/>
              <w:kern w:val="2"/>
              <w:sz w:val="24"/>
              <w:szCs w:val="24"/>
              <w14:ligatures w14:val="standardContextual"/>
            </w:rPr>
          </w:pPr>
          <w:hyperlink w:anchor="_Toc192509338" w:history="1">
            <w:r w:rsidRPr="009F65B4">
              <w:rPr>
                <w:rStyle w:val="Hyperlink"/>
                <w:noProof/>
                <w:color w:val="auto"/>
              </w:rPr>
              <w:t>Biosafety Level 2</w:t>
            </w:r>
            <w:r w:rsidRPr="00720B94">
              <w:rPr>
                <w:noProof/>
                <w:webHidden/>
              </w:rPr>
              <w:tab/>
            </w:r>
            <w:r w:rsidRPr="00720B94">
              <w:rPr>
                <w:noProof/>
                <w:webHidden/>
              </w:rPr>
              <w:fldChar w:fldCharType="begin"/>
            </w:r>
            <w:r w:rsidRPr="00720B94">
              <w:rPr>
                <w:noProof/>
                <w:webHidden/>
              </w:rPr>
              <w:instrText xml:space="preserve"> PAGEREF _Toc192509338 \h </w:instrText>
            </w:r>
            <w:r w:rsidRPr="00720B94">
              <w:rPr>
                <w:noProof/>
                <w:webHidden/>
              </w:rPr>
            </w:r>
            <w:r w:rsidRPr="00720B94">
              <w:rPr>
                <w:noProof/>
                <w:webHidden/>
              </w:rPr>
              <w:fldChar w:fldCharType="separate"/>
            </w:r>
            <w:r w:rsidR="00A247F7">
              <w:rPr>
                <w:noProof/>
                <w:webHidden/>
              </w:rPr>
              <w:t>19</w:t>
            </w:r>
            <w:r w:rsidRPr="00720B94">
              <w:rPr>
                <w:noProof/>
                <w:webHidden/>
              </w:rPr>
              <w:fldChar w:fldCharType="end"/>
            </w:r>
          </w:hyperlink>
        </w:p>
        <w:p w14:paraId="4C9E0D54" w14:textId="0C2D2AAD" w:rsidR="00505339" w:rsidRPr="00720B94" w:rsidRDefault="00505339" w:rsidP="00720B94">
          <w:pPr>
            <w:pStyle w:val="TOC3"/>
            <w:tabs>
              <w:tab w:val="right" w:leader="dot" w:pos="10070"/>
            </w:tabs>
            <w:rPr>
              <w:rFonts w:asciiTheme="minorHAnsi" w:eastAsiaTheme="minorEastAsia" w:hAnsiTheme="minorHAnsi"/>
              <w:noProof/>
              <w:kern w:val="2"/>
              <w:sz w:val="24"/>
              <w:szCs w:val="24"/>
              <w14:ligatures w14:val="standardContextual"/>
            </w:rPr>
          </w:pPr>
          <w:hyperlink w:anchor="_Toc192509339" w:history="1">
            <w:r w:rsidRPr="009F65B4">
              <w:rPr>
                <w:rStyle w:val="Hyperlink"/>
                <w:noProof/>
                <w:color w:val="auto"/>
              </w:rPr>
              <w:t>Biosafety Level 3</w:t>
            </w:r>
            <w:r w:rsidRPr="00720B94">
              <w:rPr>
                <w:noProof/>
                <w:webHidden/>
              </w:rPr>
              <w:tab/>
            </w:r>
            <w:r w:rsidRPr="00720B94">
              <w:rPr>
                <w:noProof/>
                <w:webHidden/>
              </w:rPr>
              <w:fldChar w:fldCharType="begin"/>
            </w:r>
            <w:r w:rsidRPr="00720B94">
              <w:rPr>
                <w:noProof/>
                <w:webHidden/>
              </w:rPr>
              <w:instrText xml:space="preserve"> PAGEREF _Toc192509339 \h </w:instrText>
            </w:r>
            <w:r w:rsidRPr="00720B94">
              <w:rPr>
                <w:noProof/>
                <w:webHidden/>
              </w:rPr>
            </w:r>
            <w:r w:rsidRPr="00720B94">
              <w:rPr>
                <w:noProof/>
                <w:webHidden/>
              </w:rPr>
              <w:fldChar w:fldCharType="separate"/>
            </w:r>
            <w:r w:rsidR="00A247F7">
              <w:rPr>
                <w:noProof/>
                <w:webHidden/>
              </w:rPr>
              <w:t>20</w:t>
            </w:r>
            <w:r w:rsidRPr="00720B94">
              <w:rPr>
                <w:noProof/>
                <w:webHidden/>
              </w:rPr>
              <w:fldChar w:fldCharType="end"/>
            </w:r>
          </w:hyperlink>
        </w:p>
        <w:p w14:paraId="66721DD0" w14:textId="73D49F3E" w:rsidR="00505339" w:rsidRPr="00720B94" w:rsidRDefault="00505339" w:rsidP="00720B94">
          <w:pPr>
            <w:pStyle w:val="TOC3"/>
            <w:tabs>
              <w:tab w:val="right" w:leader="dot" w:pos="10070"/>
            </w:tabs>
            <w:rPr>
              <w:rFonts w:asciiTheme="minorHAnsi" w:eastAsiaTheme="minorEastAsia" w:hAnsiTheme="minorHAnsi"/>
              <w:noProof/>
              <w:kern w:val="2"/>
              <w:sz w:val="24"/>
              <w:szCs w:val="24"/>
              <w14:ligatures w14:val="standardContextual"/>
            </w:rPr>
          </w:pPr>
          <w:hyperlink w:anchor="_Toc192509340" w:history="1">
            <w:r w:rsidRPr="009F65B4">
              <w:rPr>
                <w:rStyle w:val="Hyperlink"/>
                <w:noProof/>
                <w:color w:val="auto"/>
              </w:rPr>
              <w:t>Summary of Safety Practices for Biosafety Levels 1-3</w:t>
            </w:r>
            <w:r w:rsidRPr="00720B94">
              <w:rPr>
                <w:noProof/>
                <w:webHidden/>
              </w:rPr>
              <w:tab/>
            </w:r>
            <w:r w:rsidRPr="00720B94">
              <w:rPr>
                <w:noProof/>
                <w:webHidden/>
              </w:rPr>
              <w:fldChar w:fldCharType="begin"/>
            </w:r>
            <w:r w:rsidRPr="00720B94">
              <w:rPr>
                <w:noProof/>
                <w:webHidden/>
              </w:rPr>
              <w:instrText xml:space="preserve"> PAGEREF _Toc192509340 \h </w:instrText>
            </w:r>
            <w:r w:rsidRPr="00720B94">
              <w:rPr>
                <w:noProof/>
                <w:webHidden/>
              </w:rPr>
            </w:r>
            <w:r w:rsidRPr="00720B94">
              <w:rPr>
                <w:noProof/>
                <w:webHidden/>
              </w:rPr>
              <w:fldChar w:fldCharType="separate"/>
            </w:r>
            <w:r w:rsidR="00A247F7">
              <w:rPr>
                <w:noProof/>
                <w:webHidden/>
              </w:rPr>
              <w:t>20</w:t>
            </w:r>
            <w:r w:rsidRPr="00720B94">
              <w:rPr>
                <w:noProof/>
                <w:webHidden/>
              </w:rPr>
              <w:fldChar w:fldCharType="end"/>
            </w:r>
          </w:hyperlink>
        </w:p>
        <w:p w14:paraId="42EEADA6" w14:textId="493EBC2F" w:rsidR="00505339" w:rsidRPr="00720B94" w:rsidRDefault="00505339" w:rsidP="00720B94">
          <w:pPr>
            <w:pStyle w:val="TOC2"/>
            <w:rPr>
              <w:rFonts w:asciiTheme="minorHAnsi" w:eastAsiaTheme="minorEastAsia" w:hAnsiTheme="minorHAnsi"/>
              <w:noProof/>
              <w:kern w:val="2"/>
              <w:sz w:val="24"/>
              <w:szCs w:val="24"/>
              <w14:ligatures w14:val="standardContextual"/>
            </w:rPr>
          </w:pPr>
          <w:hyperlink w:anchor="_Toc192509341" w:history="1">
            <w:r w:rsidRPr="009F65B4">
              <w:rPr>
                <w:rStyle w:val="Hyperlink"/>
                <w:noProof/>
                <w:color w:val="auto"/>
              </w:rPr>
              <w:t>Vertebrate Animal Biosafety Level Criteria for Vivarium Research Facilities</w:t>
            </w:r>
            <w:r w:rsidRPr="00720B94">
              <w:rPr>
                <w:noProof/>
                <w:webHidden/>
              </w:rPr>
              <w:tab/>
            </w:r>
            <w:r w:rsidRPr="00720B94">
              <w:rPr>
                <w:noProof/>
                <w:webHidden/>
              </w:rPr>
              <w:fldChar w:fldCharType="begin"/>
            </w:r>
            <w:r w:rsidRPr="00720B94">
              <w:rPr>
                <w:noProof/>
                <w:webHidden/>
              </w:rPr>
              <w:instrText xml:space="preserve"> PAGEREF _Toc192509341 \h </w:instrText>
            </w:r>
            <w:r w:rsidRPr="00720B94">
              <w:rPr>
                <w:noProof/>
                <w:webHidden/>
              </w:rPr>
            </w:r>
            <w:r w:rsidRPr="00720B94">
              <w:rPr>
                <w:noProof/>
                <w:webHidden/>
              </w:rPr>
              <w:fldChar w:fldCharType="separate"/>
            </w:r>
            <w:r w:rsidR="00A247F7">
              <w:rPr>
                <w:noProof/>
                <w:webHidden/>
              </w:rPr>
              <w:t>20</w:t>
            </w:r>
            <w:r w:rsidRPr="00720B94">
              <w:rPr>
                <w:noProof/>
                <w:webHidden/>
              </w:rPr>
              <w:fldChar w:fldCharType="end"/>
            </w:r>
          </w:hyperlink>
        </w:p>
        <w:p w14:paraId="59888129" w14:textId="7AA305F2" w:rsidR="00505339" w:rsidRPr="00720B94" w:rsidRDefault="00505339" w:rsidP="00720B94">
          <w:pPr>
            <w:pStyle w:val="TOC3"/>
            <w:tabs>
              <w:tab w:val="right" w:leader="dot" w:pos="10070"/>
            </w:tabs>
            <w:rPr>
              <w:rFonts w:asciiTheme="minorHAnsi" w:eastAsiaTheme="minorEastAsia" w:hAnsiTheme="minorHAnsi"/>
              <w:noProof/>
              <w:kern w:val="2"/>
              <w:sz w:val="24"/>
              <w:szCs w:val="24"/>
              <w14:ligatures w14:val="standardContextual"/>
            </w:rPr>
          </w:pPr>
          <w:hyperlink w:anchor="_Toc192509342" w:history="1">
            <w:r w:rsidRPr="009F65B4">
              <w:rPr>
                <w:rStyle w:val="Hyperlink"/>
                <w:noProof/>
                <w:color w:val="auto"/>
              </w:rPr>
              <w:t>Aquatic Animal Considerations</w:t>
            </w:r>
            <w:r w:rsidRPr="00720B94">
              <w:rPr>
                <w:noProof/>
                <w:webHidden/>
              </w:rPr>
              <w:tab/>
            </w:r>
            <w:r w:rsidRPr="00720B94">
              <w:rPr>
                <w:noProof/>
                <w:webHidden/>
              </w:rPr>
              <w:fldChar w:fldCharType="begin"/>
            </w:r>
            <w:r w:rsidRPr="00720B94">
              <w:rPr>
                <w:noProof/>
                <w:webHidden/>
              </w:rPr>
              <w:instrText xml:space="preserve"> PAGEREF _Toc192509342 \h </w:instrText>
            </w:r>
            <w:r w:rsidRPr="00720B94">
              <w:rPr>
                <w:noProof/>
                <w:webHidden/>
              </w:rPr>
            </w:r>
            <w:r w:rsidRPr="00720B94">
              <w:rPr>
                <w:noProof/>
                <w:webHidden/>
              </w:rPr>
              <w:fldChar w:fldCharType="separate"/>
            </w:r>
            <w:r w:rsidR="00A247F7">
              <w:rPr>
                <w:noProof/>
                <w:webHidden/>
              </w:rPr>
              <w:t>21</w:t>
            </w:r>
            <w:r w:rsidRPr="00720B94">
              <w:rPr>
                <w:noProof/>
                <w:webHidden/>
              </w:rPr>
              <w:fldChar w:fldCharType="end"/>
            </w:r>
          </w:hyperlink>
        </w:p>
        <w:p w14:paraId="64CFE326" w14:textId="2BB651F6" w:rsidR="00505339" w:rsidRPr="00720B94" w:rsidRDefault="00505339" w:rsidP="00720B94">
          <w:pPr>
            <w:pStyle w:val="TOC3"/>
            <w:tabs>
              <w:tab w:val="right" w:leader="dot" w:pos="10070"/>
            </w:tabs>
            <w:rPr>
              <w:rFonts w:asciiTheme="minorHAnsi" w:eastAsiaTheme="minorEastAsia" w:hAnsiTheme="minorHAnsi"/>
              <w:noProof/>
              <w:kern w:val="2"/>
              <w:sz w:val="24"/>
              <w:szCs w:val="24"/>
              <w14:ligatures w14:val="standardContextual"/>
            </w:rPr>
          </w:pPr>
          <w:hyperlink w:anchor="_Toc192509343" w:history="1">
            <w:r w:rsidRPr="009F65B4">
              <w:rPr>
                <w:rStyle w:val="Hyperlink"/>
                <w:noProof/>
                <w:color w:val="auto"/>
              </w:rPr>
              <w:t>Wild-Caught Animal Considerations</w:t>
            </w:r>
            <w:r w:rsidRPr="00720B94">
              <w:rPr>
                <w:noProof/>
                <w:webHidden/>
              </w:rPr>
              <w:tab/>
            </w:r>
            <w:r w:rsidRPr="00720B94">
              <w:rPr>
                <w:noProof/>
                <w:webHidden/>
              </w:rPr>
              <w:fldChar w:fldCharType="begin"/>
            </w:r>
            <w:r w:rsidRPr="00720B94">
              <w:rPr>
                <w:noProof/>
                <w:webHidden/>
              </w:rPr>
              <w:instrText xml:space="preserve"> PAGEREF _Toc192509343 \h </w:instrText>
            </w:r>
            <w:r w:rsidRPr="00720B94">
              <w:rPr>
                <w:noProof/>
                <w:webHidden/>
              </w:rPr>
            </w:r>
            <w:r w:rsidRPr="00720B94">
              <w:rPr>
                <w:noProof/>
                <w:webHidden/>
              </w:rPr>
              <w:fldChar w:fldCharType="separate"/>
            </w:r>
            <w:r w:rsidR="00A247F7">
              <w:rPr>
                <w:noProof/>
                <w:webHidden/>
              </w:rPr>
              <w:t>22</w:t>
            </w:r>
            <w:r w:rsidRPr="00720B94">
              <w:rPr>
                <w:noProof/>
                <w:webHidden/>
              </w:rPr>
              <w:fldChar w:fldCharType="end"/>
            </w:r>
          </w:hyperlink>
        </w:p>
        <w:p w14:paraId="164A202B" w14:textId="344A2494" w:rsidR="00505339" w:rsidRPr="00720B94" w:rsidRDefault="00505339" w:rsidP="00720B94">
          <w:pPr>
            <w:pStyle w:val="TOC2"/>
            <w:rPr>
              <w:rFonts w:asciiTheme="minorHAnsi" w:eastAsiaTheme="minorEastAsia" w:hAnsiTheme="minorHAnsi"/>
              <w:noProof/>
              <w:kern w:val="2"/>
              <w:sz w:val="24"/>
              <w:szCs w:val="24"/>
              <w14:ligatures w14:val="standardContextual"/>
            </w:rPr>
          </w:pPr>
          <w:hyperlink w:anchor="_Toc192509344" w:history="1">
            <w:r w:rsidRPr="009F65B4">
              <w:rPr>
                <w:rStyle w:val="Hyperlink"/>
                <w:noProof/>
                <w:color w:val="auto"/>
              </w:rPr>
              <w:t>Arthropod Biocontainment</w:t>
            </w:r>
            <w:r w:rsidRPr="00720B94">
              <w:rPr>
                <w:noProof/>
                <w:webHidden/>
              </w:rPr>
              <w:tab/>
            </w:r>
            <w:r w:rsidRPr="00720B94">
              <w:rPr>
                <w:noProof/>
                <w:webHidden/>
              </w:rPr>
              <w:fldChar w:fldCharType="begin"/>
            </w:r>
            <w:r w:rsidRPr="00720B94">
              <w:rPr>
                <w:noProof/>
                <w:webHidden/>
              </w:rPr>
              <w:instrText xml:space="preserve"> PAGEREF _Toc192509344 \h </w:instrText>
            </w:r>
            <w:r w:rsidRPr="00720B94">
              <w:rPr>
                <w:noProof/>
                <w:webHidden/>
              </w:rPr>
            </w:r>
            <w:r w:rsidRPr="00720B94">
              <w:rPr>
                <w:noProof/>
                <w:webHidden/>
              </w:rPr>
              <w:fldChar w:fldCharType="separate"/>
            </w:r>
            <w:r w:rsidR="00A247F7">
              <w:rPr>
                <w:noProof/>
                <w:webHidden/>
              </w:rPr>
              <w:t>22</w:t>
            </w:r>
            <w:r w:rsidRPr="00720B94">
              <w:rPr>
                <w:noProof/>
                <w:webHidden/>
              </w:rPr>
              <w:fldChar w:fldCharType="end"/>
            </w:r>
          </w:hyperlink>
        </w:p>
        <w:p w14:paraId="34C0D2A9" w14:textId="502AC10F" w:rsidR="00505339" w:rsidRPr="00720B94" w:rsidRDefault="00505339" w:rsidP="00720B94">
          <w:pPr>
            <w:pStyle w:val="TOC2"/>
            <w:rPr>
              <w:rFonts w:asciiTheme="minorHAnsi" w:eastAsiaTheme="minorEastAsia" w:hAnsiTheme="minorHAnsi"/>
              <w:noProof/>
              <w:kern w:val="2"/>
              <w:sz w:val="24"/>
              <w:szCs w:val="24"/>
              <w14:ligatures w14:val="standardContextual"/>
            </w:rPr>
          </w:pPr>
          <w:hyperlink w:anchor="_Toc192509345" w:history="1">
            <w:r w:rsidRPr="009F65B4">
              <w:rPr>
                <w:rStyle w:val="Hyperlink"/>
                <w:noProof/>
                <w:color w:val="auto"/>
              </w:rPr>
              <w:t>Plant Biocontainment</w:t>
            </w:r>
            <w:r w:rsidRPr="00720B94">
              <w:rPr>
                <w:noProof/>
                <w:webHidden/>
              </w:rPr>
              <w:tab/>
            </w:r>
            <w:r w:rsidRPr="00720B94">
              <w:rPr>
                <w:noProof/>
                <w:webHidden/>
              </w:rPr>
              <w:fldChar w:fldCharType="begin"/>
            </w:r>
            <w:r w:rsidRPr="00720B94">
              <w:rPr>
                <w:noProof/>
                <w:webHidden/>
              </w:rPr>
              <w:instrText xml:space="preserve"> PAGEREF _Toc192509345 \h </w:instrText>
            </w:r>
            <w:r w:rsidRPr="00720B94">
              <w:rPr>
                <w:noProof/>
                <w:webHidden/>
              </w:rPr>
            </w:r>
            <w:r w:rsidRPr="00720B94">
              <w:rPr>
                <w:noProof/>
                <w:webHidden/>
              </w:rPr>
              <w:fldChar w:fldCharType="separate"/>
            </w:r>
            <w:r w:rsidR="00A247F7">
              <w:rPr>
                <w:noProof/>
                <w:webHidden/>
              </w:rPr>
              <w:t>22</w:t>
            </w:r>
            <w:r w:rsidRPr="00720B94">
              <w:rPr>
                <w:noProof/>
                <w:webHidden/>
              </w:rPr>
              <w:fldChar w:fldCharType="end"/>
            </w:r>
          </w:hyperlink>
        </w:p>
        <w:p w14:paraId="645E6A58" w14:textId="2E8F2419" w:rsidR="00505339" w:rsidRPr="00720B94" w:rsidRDefault="00505339" w:rsidP="00720B94">
          <w:pPr>
            <w:pStyle w:val="TOC3"/>
            <w:tabs>
              <w:tab w:val="right" w:leader="dot" w:pos="10070"/>
            </w:tabs>
            <w:rPr>
              <w:rFonts w:asciiTheme="minorHAnsi" w:eastAsiaTheme="minorEastAsia" w:hAnsiTheme="minorHAnsi"/>
              <w:noProof/>
              <w:kern w:val="2"/>
              <w:sz w:val="24"/>
              <w:szCs w:val="24"/>
              <w14:ligatures w14:val="standardContextual"/>
            </w:rPr>
          </w:pPr>
          <w:hyperlink w:anchor="_Toc192509346" w:history="1">
            <w:r w:rsidRPr="009F65B4">
              <w:rPr>
                <w:rStyle w:val="Hyperlink"/>
                <w:noProof/>
                <w:color w:val="auto"/>
              </w:rPr>
              <w:t>Determination of Plant Containment Level</w:t>
            </w:r>
            <w:r w:rsidRPr="00720B94">
              <w:rPr>
                <w:noProof/>
                <w:webHidden/>
              </w:rPr>
              <w:tab/>
            </w:r>
            <w:r w:rsidRPr="00720B94">
              <w:rPr>
                <w:noProof/>
                <w:webHidden/>
              </w:rPr>
              <w:fldChar w:fldCharType="begin"/>
            </w:r>
            <w:r w:rsidRPr="00720B94">
              <w:rPr>
                <w:noProof/>
                <w:webHidden/>
              </w:rPr>
              <w:instrText xml:space="preserve"> PAGEREF _Toc192509346 \h </w:instrText>
            </w:r>
            <w:r w:rsidRPr="00720B94">
              <w:rPr>
                <w:noProof/>
                <w:webHidden/>
              </w:rPr>
            </w:r>
            <w:r w:rsidRPr="00720B94">
              <w:rPr>
                <w:noProof/>
                <w:webHidden/>
              </w:rPr>
              <w:fldChar w:fldCharType="separate"/>
            </w:r>
            <w:r w:rsidR="00A247F7">
              <w:rPr>
                <w:noProof/>
                <w:webHidden/>
              </w:rPr>
              <w:t>23</w:t>
            </w:r>
            <w:r w:rsidRPr="00720B94">
              <w:rPr>
                <w:noProof/>
                <w:webHidden/>
              </w:rPr>
              <w:fldChar w:fldCharType="end"/>
            </w:r>
          </w:hyperlink>
        </w:p>
        <w:p w14:paraId="1522A0B7" w14:textId="7E710EE5" w:rsidR="00505339" w:rsidRPr="00720B94" w:rsidRDefault="00505339" w:rsidP="00720B94">
          <w:pPr>
            <w:pStyle w:val="TOC3"/>
            <w:tabs>
              <w:tab w:val="right" w:leader="dot" w:pos="10070"/>
            </w:tabs>
            <w:rPr>
              <w:rFonts w:asciiTheme="minorHAnsi" w:eastAsiaTheme="minorEastAsia" w:hAnsiTheme="minorHAnsi"/>
              <w:noProof/>
              <w:kern w:val="2"/>
              <w:sz w:val="24"/>
              <w:szCs w:val="24"/>
              <w14:ligatures w14:val="standardContextual"/>
            </w:rPr>
          </w:pPr>
          <w:hyperlink w:anchor="_Toc192509347" w:history="1">
            <w:r w:rsidRPr="009F65B4">
              <w:rPr>
                <w:rStyle w:val="Hyperlink"/>
                <w:noProof/>
                <w:color w:val="auto"/>
              </w:rPr>
              <w:t>Biological Containment of Plants</w:t>
            </w:r>
            <w:r w:rsidRPr="00720B94">
              <w:rPr>
                <w:noProof/>
                <w:webHidden/>
              </w:rPr>
              <w:tab/>
            </w:r>
            <w:r w:rsidRPr="00720B94">
              <w:rPr>
                <w:noProof/>
                <w:webHidden/>
              </w:rPr>
              <w:fldChar w:fldCharType="begin"/>
            </w:r>
            <w:r w:rsidRPr="00720B94">
              <w:rPr>
                <w:noProof/>
                <w:webHidden/>
              </w:rPr>
              <w:instrText xml:space="preserve"> PAGEREF _Toc192509347 \h </w:instrText>
            </w:r>
            <w:r w:rsidRPr="00720B94">
              <w:rPr>
                <w:noProof/>
                <w:webHidden/>
              </w:rPr>
            </w:r>
            <w:r w:rsidRPr="00720B94">
              <w:rPr>
                <w:noProof/>
                <w:webHidden/>
              </w:rPr>
              <w:fldChar w:fldCharType="separate"/>
            </w:r>
            <w:r w:rsidR="00A247F7">
              <w:rPr>
                <w:noProof/>
                <w:webHidden/>
              </w:rPr>
              <w:t>23</w:t>
            </w:r>
            <w:r w:rsidRPr="00720B94">
              <w:rPr>
                <w:noProof/>
                <w:webHidden/>
              </w:rPr>
              <w:fldChar w:fldCharType="end"/>
            </w:r>
          </w:hyperlink>
        </w:p>
        <w:p w14:paraId="6C7C51C9" w14:textId="30C886E3" w:rsidR="00505339" w:rsidRPr="00720B94" w:rsidRDefault="00505339" w:rsidP="00720B94">
          <w:pPr>
            <w:pStyle w:val="TOC3"/>
            <w:tabs>
              <w:tab w:val="right" w:leader="dot" w:pos="10070"/>
            </w:tabs>
            <w:rPr>
              <w:rFonts w:asciiTheme="minorHAnsi" w:eastAsiaTheme="minorEastAsia" w:hAnsiTheme="minorHAnsi"/>
              <w:noProof/>
              <w:kern w:val="2"/>
              <w:sz w:val="24"/>
              <w:szCs w:val="24"/>
              <w14:ligatures w14:val="standardContextual"/>
            </w:rPr>
          </w:pPr>
          <w:hyperlink w:anchor="_Toc192509348" w:history="1">
            <w:r w:rsidRPr="009F65B4">
              <w:rPr>
                <w:rStyle w:val="Hyperlink"/>
                <w:noProof/>
                <w:color w:val="auto"/>
              </w:rPr>
              <w:t>Biological Containment of Microorganisms Associated with Plants</w:t>
            </w:r>
            <w:r w:rsidRPr="00720B94">
              <w:rPr>
                <w:noProof/>
                <w:webHidden/>
              </w:rPr>
              <w:tab/>
            </w:r>
            <w:r w:rsidRPr="00720B94">
              <w:rPr>
                <w:noProof/>
                <w:webHidden/>
              </w:rPr>
              <w:fldChar w:fldCharType="begin"/>
            </w:r>
            <w:r w:rsidRPr="00720B94">
              <w:rPr>
                <w:noProof/>
                <w:webHidden/>
              </w:rPr>
              <w:instrText xml:space="preserve"> PAGEREF _Toc192509348 \h </w:instrText>
            </w:r>
            <w:r w:rsidRPr="00720B94">
              <w:rPr>
                <w:noProof/>
                <w:webHidden/>
              </w:rPr>
            </w:r>
            <w:r w:rsidRPr="00720B94">
              <w:rPr>
                <w:noProof/>
                <w:webHidden/>
              </w:rPr>
              <w:fldChar w:fldCharType="separate"/>
            </w:r>
            <w:r w:rsidR="00A247F7">
              <w:rPr>
                <w:noProof/>
                <w:webHidden/>
              </w:rPr>
              <w:t>24</w:t>
            </w:r>
            <w:r w:rsidRPr="00720B94">
              <w:rPr>
                <w:noProof/>
                <w:webHidden/>
              </w:rPr>
              <w:fldChar w:fldCharType="end"/>
            </w:r>
          </w:hyperlink>
        </w:p>
        <w:p w14:paraId="785A8CE5" w14:textId="3F6D20CC" w:rsidR="00505339" w:rsidRPr="00720B94" w:rsidRDefault="00505339" w:rsidP="00720B94">
          <w:pPr>
            <w:pStyle w:val="TOC3"/>
            <w:tabs>
              <w:tab w:val="right" w:leader="dot" w:pos="10070"/>
            </w:tabs>
            <w:rPr>
              <w:rFonts w:asciiTheme="minorHAnsi" w:eastAsiaTheme="minorEastAsia" w:hAnsiTheme="minorHAnsi"/>
              <w:noProof/>
              <w:kern w:val="2"/>
              <w:sz w:val="24"/>
              <w:szCs w:val="24"/>
              <w14:ligatures w14:val="standardContextual"/>
            </w:rPr>
          </w:pPr>
          <w:hyperlink w:anchor="_Toc192509349" w:history="1">
            <w:r w:rsidRPr="009F65B4">
              <w:rPr>
                <w:rStyle w:val="Hyperlink"/>
                <w:noProof/>
                <w:color w:val="auto"/>
              </w:rPr>
              <w:t>Biological Containment of Macro-organisms Associated with Plants</w:t>
            </w:r>
            <w:r w:rsidRPr="00720B94">
              <w:rPr>
                <w:noProof/>
                <w:webHidden/>
              </w:rPr>
              <w:tab/>
            </w:r>
            <w:r w:rsidRPr="00720B94">
              <w:rPr>
                <w:noProof/>
                <w:webHidden/>
              </w:rPr>
              <w:fldChar w:fldCharType="begin"/>
            </w:r>
            <w:r w:rsidRPr="00720B94">
              <w:rPr>
                <w:noProof/>
                <w:webHidden/>
              </w:rPr>
              <w:instrText xml:space="preserve"> PAGEREF _Toc192509349 \h </w:instrText>
            </w:r>
            <w:r w:rsidRPr="00720B94">
              <w:rPr>
                <w:noProof/>
                <w:webHidden/>
              </w:rPr>
            </w:r>
            <w:r w:rsidRPr="00720B94">
              <w:rPr>
                <w:noProof/>
                <w:webHidden/>
              </w:rPr>
              <w:fldChar w:fldCharType="separate"/>
            </w:r>
            <w:r w:rsidR="00A247F7">
              <w:rPr>
                <w:noProof/>
                <w:webHidden/>
              </w:rPr>
              <w:t>24</w:t>
            </w:r>
            <w:r w:rsidRPr="00720B94">
              <w:rPr>
                <w:noProof/>
                <w:webHidden/>
              </w:rPr>
              <w:fldChar w:fldCharType="end"/>
            </w:r>
          </w:hyperlink>
        </w:p>
        <w:p w14:paraId="44DC1737" w14:textId="287DA295" w:rsidR="00505339" w:rsidRPr="00720B94" w:rsidRDefault="00505339" w:rsidP="00720B94">
          <w:pPr>
            <w:pStyle w:val="TOC2"/>
            <w:rPr>
              <w:rFonts w:asciiTheme="minorHAnsi" w:eastAsiaTheme="minorEastAsia" w:hAnsiTheme="minorHAnsi"/>
              <w:noProof/>
              <w:kern w:val="2"/>
              <w:sz w:val="24"/>
              <w:szCs w:val="24"/>
              <w14:ligatures w14:val="standardContextual"/>
            </w:rPr>
          </w:pPr>
          <w:hyperlink w:anchor="_Toc192509350" w:history="1">
            <w:r w:rsidRPr="009F65B4">
              <w:rPr>
                <w:rStyle w:val="Hyperlink"/>
                <w:noProof/>
                <w:color w:val="auto"/>
              </w:rPr>
              <w:t>Clinical and Pathological Specimens</w:t>
            </w:r>
            <w:r w:rsidRPr="00720B94">
              <w:rPr>
                <w:noProof/>
                <w:webHidden/>
              </w:rPr>
              <w:tab/>
            </w:r>
            <w:r w:rsidRPr="00720B94">
              <w:rPr>
                <w:noProof/>
                <w:webHidden/>
              </w:rPr>
              <w:fldChar w:fldCharType="begin"/>
            </w:r>
            <w:r w:rsidRPr="00720B94">
              <w:rPr>
                <w:noProof/>
                <w:webHidden/>
              </w:rPr>
              <w:instrText xml:space="preserve"> PAGEREF _Toc192509350 \h </w:instrText>
            </w:r>
            <w:r w:rsidRPr="00720B94">
              <w:rPr>
                <w:noProof/>
                <w:webHidden/>
              </w:rPr>
            </w:r>
            <w:r w:rsidRPr="00720B94">
              <w:rPr>
                <w:noProof/>
                <w:webHidden/>
              </w:rPr>
              <w:fldChar w:fldCharType="separate"/>
            </w:r>
            <w:r w:rsidR="00A247F7">
              <w:rPr>
                <w:noProof/>
                <w:webHidden/>
              </w:rPr>
              <w:t>24</w:t>
            </w:r>
            <w:r w:rsidRPr="00720B94">
              <w:rPr>
                <w:noProof/>
                <w:webHidden/>
              </w:rPr>
              <w:fldChar w:fldCharType="end"/>
            </w:r>
          </w:hyperlink>
        </w:p>
        <w:p w14:paraId="4A7373B8" w14:textId="1505D363" w:rsidR="00505339" w:rsidRPr="00720B94" w:rsidRDefault="00505339" w:rsidP="00720B94">
          <w:pPr>
            <w:pStyle w:val="TOC3"/>
            <w:tabs>
              <w:tab w:val="right" w:leader="dot" w:pos="10070"/>
            </w:tabs>
            <w:rPr>
              <w:rFonts w:asciiTheme="minorHAnsi" w:eastAsiaTheme="minorEastAsia" w:hAnsiTheme="minorHAnsi"/>
              <w:noProof/>
              <w:kern w:val="2"/>
              <w:sz w:val="24"/>
              <w:szCs w:val="24"/>
              <w14:ligatures w14:val="standardContextual"/>
            </w:rPr>
          </w:pPr>
          <w:hyperlink w:anchor="_Toc192509351" w:history="1">
            <w:r w:rsidRPr="009F65B4">
              <w:rPr>
                <w:rStyle w:val="Hyperlink"/>
                <w:noProof/>
                <w:color w:val="auto"/>
              </w:rPr>
              <w:t>Cultures</w:t>
            </w:r>
            <w:r w:rsidRPr="00720B94">
              <w:rPr>
                <w:noProof/>
                <w:webHidden/>
              </w:rPr>
              <w:tab/>
            </w:r>
            <w:r w:rsidRPr="00720B94">
              <w:rPr>
                <w:noProof/>
                <w:webHidden/>
              </w:rPr>
              <w:fldChar w:fldCharType="begin"/>
            </w:r>
            <w:r w:rsidRPr="00720B94">
              <w:rPr>
                <w:noProof/>
                <w:webHidden/>
              </w:rPr>
              <w:instrText xml:space="preserve"> PAGEREF _Toc192509351 \h </w:instrText>
            </w:r>
            <w:r w:rsidRPr="00720B94">
              <w:rPr>
                <w:noProof/>
                <w:webHidden/>
              </w:rPr>
            </w:r>
            <w:r w:rsidRPr="00720B94">
              <w:rPr>
                <w:noProof/>
                <w:webHidden/>
              </w:rPr>
              <w:fldChar w:fldCharType="separate"/>
            </w:r>
            <w:r w:rsidR="00A247F7">
              <w:rPr>
                <w:noProof/>
                <w:webHidden/>
              </w:rPr>
              <w:t>25</w:t>
            </w:r>
            <w:r w:rsidRPr="00720B94">
              <w:rPr>
                <w:noProof/>
                <w:webHidden/>
              </w:rPr>
              <w:fldChar w:fldCharType="end"/>
            </w:r>
          </w:hyperlink>
        </w:p>
        <w:p w14:paraId="4A2B3269" w14:textId="4618ED5C" w:rsidR="00505339" w:rsidRPr="00720B94" w:rsidRDefault="00505339" w:rsidP="00720B94">
          <w:pPr>
            <w:pStyle w:val="TOC2"/>
            <w:rPr>
              <w:rFonts w:asciiTheme="minorHAnsi" w:eastAsiaTheme="minorEastAsia" w:hAnsiTheme="minorHAnsi"/>
              <w:noProof/>
              <w:kern w:val="2"/>
              <w:sz w:val="24"/>
              <w:szCs w:val="24"/>
              <w14:ligatures w14:val="standardContextual"/>
            </w:rPr>
          </w:pPr>
          <w:hyperlink w:anchor="_Toc192509352" w:history="1">
            <w:r w:rsidRPr="009F65B4">
              <w:rPr>
                <w:rStyle w:val="Hyperlink"/>
                <w:noProof/>
                <w:color w:val="auto"/>
              </w:rPr>
              <w:t>Biological Toxins</w:t>
            </w:r>
            <w:r w:rsidRPr="00720B94">
              <w:rPr>
                <w:noProof/>
                <w:webHidden/>
              </w:rPr>
              <w:tab/>
            </w:r>
            <w:r w:rsidRPr="00720B94">
              <w:rPr>
                <w:noProof/>
                <w:webHidden/>
              </w:rPr>
              <w:fldChar w:fldCharType="begin"/>
            </w:r>
            <w:r w:rsidRPr="00720B94">
              <w:rPr>
                <w:noProof/>
                <w:webHidden/>
              </w:rPr>
              <w:instrText xml:space="preserve"> PAGEREF _Toc192509352 \h </w:instrText>
            </w:r>
            <w:r w:rsidRPr="00720B94">
              <w:rPr>
                <w:noProof/>
                <w:webHidden/>
              </w:rPr>
            </w:r>
            <w:r w:rsidRPr="00720B94">
              <w:rPr>
                <w:noProof/>
                <w:webHidden/>
              </w:rPr>
              <w:fldChar w:fldCharType="separate"/>
            </w:r>
            <w:r w:rsidR="00A247F7">
              <w:rPr>
                <w:noProof/>
                <w:webHidden/>
              </w:rPr>
              <w:t>25</w:t>
            </w:r>
            <w:r w:rsidRPr="00720B94">
              <w:rPr>
                <w:noProof/>
                <w:webHidden/>
              </w:rPr>
              <w:fldChar w:fldCharType="end"/>
            </w:r>
          </w:hyperlink>
        </w:p>
        <w:p w14:paraId="7639B471" w14:textId="2CA09B15" w:rsidR="00505339" w:rsidRPr="00720B94" w:rsidRDefault="00505339" w:rsidP="00720B94">
          <w:pPr>
            <w:pStyle w:val="TOC2"/>
            <w:rPr>
              <w:rFonts w:asciiTheme="minorHAnsi" w:eastAsiaTheme="minorEastAsia" w:hAnsiTheme="minorHAnsi"/>
              <w:noProof/>
              <w:kern w:val="2"/>
              <w:sz w:val="24"/>
              <w:szCs w:val="24"/>
              <w14:ligatures w14:val="standardContextual"/>
            </w:rPr>
          </w:pPr>
          <w:hyperlink w:anchor="_Toc192509353" w:history="1">
            <w:r w:rsidRPr="009F65B4">
              <w:rPr>
                <w:rStyle w:val="Hyperlink"/>
                <w:noProof/>
                <w:color w:val="auto"/>
              </w:rPr>
              <w:t>Animals</w:t>
            </w:r>
            <w:r w:rsidRPr="00720B94">
              <w:rPr>
                <w:noProof/>
                <w:webHidden/>
              </w:rPr>
              <w:tab/>
            </w:r>
            <w:r w:rsidRPr="00720B94">
              <w:rPr>
                <w:noProof/>
                <w:webHidden/>
              </w:rPr>
              <w:fldChar w:fldCharType="begin"/>
            </w:r>
            <w:r w:rsidRPr="00720B94">
              <w:rPr>
                <w:noProof/>
                <w:webHidden/>
              </w:rPr>
              <w:instrText xml:space="preserve"> PAGEREF _Toc192509353 \h </w:instrText>
            </w:r>
            <w:r w:rsidRPr="00720B94">
              <w:rPr>
                <w:noProof/>
                <w:webHidden/>
              </w:rPr>
            </w:r>
            <w:r w:rsidRPr="00720B94">
              <w:rPr>
                <w:noProof/>
                <w:webHidden/>
              </w:rPr>
              <w:fldChar w:fldCharType="separate"/>
            </w:r>
            <w:r w:rsidR="00A247F7">
              <w:rPr>
                <w:noProof/>
                <w:webHidden/>
              </w:rPr>
              <w:t>26</w:t>
            </w:r>
            <w:r w:rsidRPr="00720B94">
              <w:rPr>
                <w:noProof/>
                <w:webHidden/>
              </w:rPr>
              <w:fldChar w:fldCharType="end"/>
            </w:r>
          </w:hyperlink>
        </w:p>
        <w:p w14:paraId="1ECC4C23" w14:textId="0CFB9530" w:rsidR="00505339" w:rsidRPr="00720B94" w:rsidRDefault="00505339" w:rsidP="00720B94">
          <w:pPr>
            <w:pStyle w:val="TOC2"/>
            <w:rPr>
              <w:rFonts w:asciiTheme="minorHAnsi" w:eastAsiaTheme="minorEastAsia" w:hAnsiTheme="minorHAnsi"/>
              <w:noProof/>
              <w:kern w:val="2"/>
              <w:sz w:val="24"/>
              <w:szCs w:val="24"/>
              <w14:ligatures w14:val="standardContextual"/>
            </w:rPr>
          </w:pPr>
          <w:hyperlink w:anchor="_Toc192509354" w:history="1">
            <w:r w:rsidRPr="009F65B4">
              <w:rPr>
                <w:rStyle w:val="Hyperlink"/>
                <w:noProof/>
                <w:color w:val="auto"/>
              </w:rPr>
              <w:t>Gene Drive Modified Organisms (GDMOs)</w:t>
            </w:r>
            <w:r w:rsidRPr="00720B94">
              <w:rPr>
                <w:noProof/>
                <w:webHidden/>
              </w:rPr>
              <w:tab/>
            </w:r>
            <w:r w:rsidRPr="00720B94">
              <w:rPr>
                <w:noProof/>
                <w:webHidden/>
              </w:rPr>
              <w:fldChar w:fldCharType="begin"/>
            </w:r>
            <w:r w:rsidRPr="00720B94">
              <w:rPr>
                <w:noProof/>
                <w:webHidden/>
              </w:rPr>
              <w:instrText xml:space="preserve"> PAGEREF _Toc192509354 \h </w:instrText>
            </w:r>
            <w:r w:rsidRPr="00720B94">
              <w:rPr>
                <w:noProof/>
                <w:webHidden/>
              </w:rPr>
            </w:r>
            <w:r w:rsidRPr="00720B94">
              <w:rPr>
                <w:noProof/>
                <w:webHidden/>
              </w:rPr>
              <w:fldChar w:fldCharType="separate"/>
            </w:r>
            <w:r w:rsidR="00A247F7">
              <w:rPr>
                <w:noProof/>
                <w:webHidden/>
              </w:rPr>
              <w:t>26</w:t>
            </w:r>
            <w:r w:rsidRPr="00720B94">
              <w:rPr>
                <w:noProof/>
                <w:webHidden/>
              </w:rPr>
              <w:fldChar w:fldCharType="end"/>
            </w:r>
          </w:hyperlink>
        </w:p>
        <w:p w14:paraId="1E91A293" w14:textId="016595AE" w:rsidR="00505339" w:rsidRPr="00720B94" w:rsidRDefault="00505339" w:rsidP="00720B94">
          <w:pPr>
            <w:pStyle w:val="TOC2"/>
            <w:rPr>
              <w:rFonts w:asciiTheme="minorHAnsi" w:eastAsiaTheme="minorEastAsia" w:hAnsiTheme="minorHAnsi"/>
              <w:noProof/>
              <w:kern w:val="2"/>
              <w:sz w:val="24"/>
              <w:szCs w:val="24"/>
              <w14:ligatures w14:val="standardContextual"/>
            </w:rPr>
          </w:pPr>
          <w:hyperlink w:anchor="_Toc192509355" w:history="1">
            <w:r w:rsidRPr="009F65B4">
              <w:rPr>
                <w:rStyle w:val="Hyperlink"/>
                <w:noProof/>
                <w:color w:val="auto"/>
              </w:rPr>
              <w:t>Aerosol Generating Activities</w:t>
            </w:r>
            <w:r w:rsidRPr="00720B94">
              <w:rPr>
                <w:noProof/>
                <w:webHidden/>
              </w:rPr>
              <w:tab/>
            </w:r>
            <w:r w:rsidRPr="00720B94">
              <w:rPr>
                <w:noProof/>
                <w:webHidden/>
              </w:rPr>
              <w:fldChar w:fldCharType="begin"/>
            </w:r>
            <w:r w:rsidRPr="00720B94">
              <w:rPr>
                <w:noProof/>
                <w:webHidden/>
              </w:rPr>
              <w:instrText xml:space="preserve"> PAGEREF _Toc192509355 \h </w:instrText>
            </w:r>
            <w:r w:rsidRPr="00720B94">
              <w:rPr>
                <w:noProof/>
                <w:webHidden/>
              </w:rPr>
            </w:r>
            <w:r w:rsidRPr="00720B94">
              <w:rPr>
                <w:noProof/>
                <w:webHidden/>
              </w:rPr>
              <w:fldChar w:fldCharType="separate"/>
            </w:r>
            <w:r w:rsidR="00A247F7">
              <w:rPr>
                <w:noProof/>
                <w:webHidden/>
              </w:rPr>
              <w:t>27</w:t>
            </w:r>
            <w:r w:rsidRPr="00720B94">
              <w:rPr>
                <w:noProof/>
                <w:webHidden/>
              </w:rPr>
              <w:fldChar w:fldCharType="end"/>
            </w:r>
          </w:hyperlink>
        </w:p>
        <w:p w14:paraId="54169C4C" w14:textId="7CC5D836" w:rsidR="00505339" w:rsidRPr="00720B94" w:rsidRDefault="00505339" w:rsidP="00720B94">
          <w:pPr>
            <w:pStyle w:val="TOC2"/>
            <w:rPr>
              <w:rFonts w:asciiTheme="minorHAnsi" w:eastAsiaTheme="minorEastAsia" w:hAnsiTheme="minorHAnsi"/>
              <w:noProof/>
              <w:kern w:val="2"/>
              <w:sz w:val="24"/>
              <w:szCs w:val="24"/>
              <w14:ligatures w14:val="standardContextual"/>
            </w:rPr>
          </w:pPr>
          <w:hyperlink w:anchor="_Toc192509356" w:history="1">
            <w:r w:rsidRPr="009F65B4">
              <w:rPr>
                <w:rStyle w:val="Hyperlink"/>
                <w:noProof/>
                <w:color w:val="auto"/>
              </w:rPr>
              <w:t>Personal Protective Equipment (PPE)</w:t>
            </w:r>
            <w:r w:rsidRPr="00720B94">
              <w:rPr>
                <w:noProof/>
                <w:webHidden/>
              </w:rPr>
              <w:tab/>
            </w:r>
            <w:r w:rsidRPr="00720B94">
              <w:rPr>
                <w:noProof/>
                <w:webHidden/>
              </w:rPr>
              <w:fldChar w:fldCharType="begin"/>
            </w:r>
            <w:r w:rsidRPr="00720B94">
              <w:rPr>
                <w:noProof/>
                <w:webHidden/>
              </w:rPr>
              <w:instrText xml:space="preserve"> PAGEREF _Toc192509356 \h </w:instrText>
            </w:r>
            <w:r w:rsidRPr="00720B94">
              <w:rPr>
                <w:noProof/>
                <w:webHidden/>
              </w:rPr>
            </w:r>
            <w:r w:rsidRPr="00720B94">
              <w:rPr>
                <w:noProof/>
                <w:webHidden/>
              </w:rPr>
              <w:fldChar w:fldCharType="separate"/>
            </w:r>
            <w:r w:rsidR="00A247F7">
              <w:rPr>
                <w:noProof/>
                <w:webHidden/>
              </w:rPr>
              <w:t>27</w:t>
            </w:r>
            <w:r w:rsidRPr="00720B94">
              <w:rPr>
                <w:noProof/>
                <w:webHidden/>
              </w:rPr>
              <w:fldChar w:fldCharType="end"/>
            </w:r>
          </w:hyperlink>
        </w:p>
        <w:p w14:paraId="0276E09C" w14:textId="40F62531" w:rsidR="00505339" w:rsidRPr="00720B94" w:rsidRDefault="00505339" w:rsidP="00720B94">
          <w:pPr>
            <w:pStyle w:val="TOC2"/>
            <w:rPr>
              <w:rFonts w:asciiTheme="minorHAnsi" w:eastAsiaTheme="minorEastAsia" w:hAnsiTheme="minorHAnsi"/>
              <w:noProof/>
              <w:kern w:val="2"/>
              <w:sz w:val="24"/>
              <w:szCs w:val="24"/>
              <w14:ligatures w14:val="standardContextual"/>
            </w:rPr>
          </w:pPr>
          <w:hyperlink w:anchor="_Toc192509357" w:history="1">
            <w:r w:rsidRPr="009F65B4">
              <w:rPr>
                <w:rStyle w:val="Hyperlink"/>
                <w:noProof/>
                <w:color w:val="auto"/>
              </w:rPr>
              <w:t>Summary of Standards for Facilities and Equipment for Biosafety Levels</w:t>
            </w:r>
            <w:r w:rsidRPr="00720B94">
              <w:rPr>
                <w:noProof/>
                <w:webHidden/>
              </w:rPr>
              <w:tab/>
            </w:r>
            <w:r w:rsidRPr="00720B94">
              <w:rPr>
                <w:noProof/>
                <w:webHidden/>
              </w:rPr>
              <w:fldChar w:fldCharType="begin"/>
            </w:r>
            <w:r w:rsidRPr="00720B94">
              <w:rPr>
                <w:noProof/>
                <w:webHidden/>
              </w:rPr>
              <w:instrText xml:space="preserve"> PAGEREF _Toc192509357 \h </w:instrText>
            </w:r>
            <w:r w:rsidRPr="00720B94">
              <w:rPr>
                <w:noProof/>
                <w:webHidden/>
              </w:rPr>
            </w:r>
            <w:r w:rsidRPr="00720B94">
              <w:rPr>
                <w:noProof/>
                <w:webHidden/>
              </w:rPr>
              <w:fldChar w:fldCharType="separate"/>
            </w:r>
            <w:r w:rsidR="00A247F7">
              <w:rPr>
                <w:noProof/>
                <w:webHidden/>
              </w:rPr>
              <w:t>28</w:t>
            </w:r>
            <w:r w:rsidRPr="00720B94">
              <w:rPr>
                <w:noProof/>
                <w:webHidden/>
              </w:rPr>
              <w:fldChar w:fldCharType="end"/>
            </w:r>
          </w:hyperlink>
        </w:p>
        <w:p w14:paraId="259381B6" w14:textId="48074BB9" w:rsidR="00505339" w:rsidRPr="00720B94" w:rsidRDefault="00505339" w:rsidP="00720B94">
          <w:pPr>
            <w:pStyle w:val="TOC1"/>
            <w:rPr>
              <w:rFonts w:asciiTheme="minorHAnsi" w:eastAsiaTheme="minorEastAsia" w:hAnsiTheme="minorHAnsi"/>
              <w:noProof/>
              <w:kern w:val="2"/>
              <w:sz w:val="24"/>
              <w:szCs w:val="24"/>
              <w14:ligatures w14:val="standardContextual"/>
            </w:rPr>
          </w:pPr>
          <w:hyperlink w:anchor="_Toc192509358" w:history="1">
            <w:r w:rsidRPr="009F65B4">
              <w:rPr>
                <w:rStyle w:val="Hyperlink"/>
                <w:noProof/>
                <w:color w:val="auto"/>
              </w:rPr>
              <w:t>Disposal of Wastes from Biological Laboratories</w:t>
            </w:r>
            <w:r w:rsidRPr="00720B94">
              <w:rPr>
                <w:noProof/>
                <w:webHidden/>
              </w:rPr>
              <w:tab/>
            </w:r>
            <w:r w:rsidRPr="00720B94">
              <w:rPr>
                <w:noProof/>
                <w:webHidden/>
              </w:rPr>
              <w:fldChar w:fldCharType="begin"/>
            </w:r>
            <w:r w:rsidRPr="00720B94">
              <w:rPr>
                <w:noProof/>
                <w:webHidden/>
              </w:rPr>
              <w:instrText xml:space="preserve"> PAGEREF _Toc192509358 \h </w:instrText>
            </w:r>
            <w:r w:rsidRPr="00720B94">
              <w:rPr>
                <w:noProof/>
                <w:webHidden/>
              </w:rPr>
            </w:r>
            <w:r w:rsidRPr="00720B94">
              <w:rPr>
                <w:noProof/>
                <w:webHidden/>
              </w:rPr>
              <w:fldChar w:fldCharType="separate"/>
            </w:r>
            <w:r w:rsidR="00A247F7">
              <w:rPr>
                <w:noProof/>
                <w:webHidden/>
              </w:rPr>
              <w:t>28</w:t>
            </w:r>
            <w:r w:rsidRPr="00720B94">
              <w:rPr>
                <w:noProof/>
                <w:webHidden/>
              </w:rPr>
              <w:fldChar w:fldCharType="end"/>
            </w:r>
          </w:hyperlink>
        </w:p>
        <w:p w14:paraId="26E3F013" w14:textId="6260D76B" w:rsidR="00505339" w:rsidRPr="00720B94" w:rsidRDefault="00505339" w:rsidP="00720B94">
          <w:pPr>
            <w:pStyle w:val="TOC2"/>
            <w:rPr>
              <w:rFonts w:asciiTheme="minorHAnsi" w:eastAsiaTheme="minorEastAsia" w:hAnsiTheme="minorHAnsi"/>
              <w:noProof/>
              <w:kern w:val="2"/>
              <w:sz w:val="24"/>
              <w:szCs w:val="24"/>
              <w14:ligatures w14:val="standardContextual"/>
            </w:rPr>
          </w:pPr>
          <w:hyperlink w:anchor="_Toc192509359" w:history="1">
            <w:r w:rsidRPr="009F65B4">
              <w:rPr>
                <w:rStyle w:val="Hyperlink"/>
                <w:noProof/>
                <w:color w:val="auto"/>
              </w:rPr>
              <w:t>Types of Biohazardous Waste</w:t>
            </w:r>
            <w:r w:rsidRPr="00720B94">
              <w:rPr>
                <w:noProof/>
                <w:webHidden/>
              </w:rPr>
              <w:tab/>
            </w:r>
            <w:r w:rsidRPr="00720B94">
              <w:rPr>
                <w:noProof/>
                <w:webHidden/>
              </w:rPr>
              <w:fldChar w:fldCharType="begin"/>
            </w:r>
            <w:r w:rsidRPr="00720B94">
              <w:rPr>
                <w:noProof/>
                <w:webHidden/>
              </w:rPr>
              <w:instrText xml:space="preserve"> PAGEREF _Toc192509359 \h </w:instrText>
            </w:r>
            <w:r w:rsidRPr="00720B94">
              <w:rPr>
                <w:noProof/>
                <w:webHidden/>
              </w:rPr>
            </w:r>
            <w:r w:rsidRPr="00720B94">
              <w:rPr>
                <w:noProof/>
                <w:webHidden/>
              </w:rPr>
              <w:fldChar w:fldCharType="separate"/>
            </w:r>
            <w:r w:rsidR="00A247F7">
              <w:rPr>
                <w:noProof/>
                <w:webHidden/>
              </w:rPr>
              <w:t>28</w:t>
            </w:r>
            <w:r w:rsidRPr="00720B94">
              <w:rPr>
                <w:noProof/>
                <w:webHidden/>
              </w:rPr>
              <w:fldChar w:fldCharType="end"/>
            </w:r>
          </w:hyperlink>
        </w:p>
        <w:p w14:paraId="117DC1ED" w14:textId="68656DB4" w:rsidR="00505339" w:rsidRPr="00720B94" w:rsidRDefault="00505339" w:rsidP="00720B94">
          <w:pPr>
            <w:pStyle w:val="TOC2"/>
            <w:rPr>
              <w:rFonts w:asciiTheme="minorHAnsi" w:eastAsiaTheme="minorEastAsia" w:hAnsiTheme="minorHAnsi"/>
              <w:noProof/>
              <w:kern w:val="2"/>
              <w:sz w:val="24"/>
              <w:szCs w:val="24"/>
              <w14:ligatures w14:val="standardContextual"/>
            </w:rPr>
          </w:pPr>
          <w:hyperlink w:anchor="_Toc192509360" w:history="1">
            <w:r w:rsidRPr="009F65B4">
              <w:rPr>
                <w:rStyle w:val="Hyperlink"/>
                <w:noProof/>
                <w:color w:val="auto"/>
              </w:rPr>
              <w:t>Mixed Waste</w:t>
            </w:r>
            <w:r w:rsidRPr="00720B94">
              <w:rPr>
                <w:noProof/>
                <w:webHidden/>
              </w:rPr>
              <w:tab/>
            </w:r>
            <w:r w:rsidRPr="00720B94">
              <w:rPr>
                <w:noProof/>
                <w:webHidden/>
              </w:rPr>
              <w:fldChar w:fldCharType="begin"/>
            </w:r>
            <w:r w:rsidRPr="00720B94">
              <w:rPr>
                <w:noProof/>
                <w:webHidden/>
              </w:rPr>
              <w:instrText xml:space="preserve"> PAGEREF _Toc192509360 \h </w:instrText>
            </w:r>
            <w:r w:rsidRPr="00720B94">
              <w:rPr>
                <w:noProof/>
                <w:webHidden/>
              </w:rPr>
            </w:r>
            <w:r w:rsidRPr="00720B94">
              <w:rPr>
                <w:noProof/>
                <w:webHidden/>
              </w:rPr>
              <w:fldChar w:fldCharType="separate"/>
            </w:r>
            <w:r w:rsidR="00A247F7">
              <w:rPr>
                <w:noProof/>
                <w:webHidden/>
              </w:rPr>
              <w:t>29</w:t>
            </w:r>
            <w:r w:rsidRPr="00720B94">
              <w:rPr>
                <w:noProof/>
                <w:webHidden/>
              </w:rPr>
              <w:fldChar w:fldCharType="end"/>
            </w:r>
          </w:hyperlink>
        </w:p>
        <w:p w14:paraId="20855D58" w14:textId="112E2040" w:rsidR="00505339" w:rsidRPr="00720B94" w:rsidRDefault="00505339" w:rsidP="00720B94">
          <w:pPr>
            <w:pStyle w:val="TOC2"/>
            <w:rPr>
              <w:rFonts w:asciiTheme="minorHAnsi" w:eastAsiaTheme="minorEastAsia" w:hAnsiTheme="minorHAnsi"/>
              <w:noProof/>
              <w:kern w:val="2"/>
              <w:sz w:val="24"/>
              <w:szCs w:val="24"/>
              <w14:ligatures w14:val="standardContextual"/>
            </w:rPr>
          </w:pPr>
          <w:hyperlink w:anchor="_Toc192509361" w:history="1">
            <w:r w:rsidRPr="009F65B4">
              <w:rPr>
                <w:rStyle w:val="Hyperlink"/>
                <w:noProof/>
                <w:color w:val="auto"/>
              </w:rPr>
              <w:t>Sharps &amp; Laboratory Glass</w:t>
            </w:r>
            <w:r w:rsidRPr="00720B94">
              <w:rPr>
                <w:noProof/>
                <w:webHidden/>
              </w:rPr>
              <w:tab/>
            </w:r>
            <w:r w:rsidRPr="00720B94">
              <w:rPr>
                <w:noProof/>
                <w:webHidden/>
              </w:rPr>
              <w:fldChar w:fldCharType="begin"/>
            </w:r>
            <w:r w:rsidRPr="00720B94">
              <w:rPr>
                <w:noProof/>
                <w:webHidden/>
              </w:rPr>
              <w:instrText xml:space="preserve"> PAGEREF _Toc192509361 \h </w:instrText>
            </w:r>
            <w:r w:rsidRPr="00720B94">
              <w:rPr>
                <w:noProof/>
                <w:webHidden/>
              </w:rPr>
            </w:r>
            <w:r w:rsidRPr="00720B94">
              <w:rPr>
                <w:noProof/>
                <w:webHidden/>
              </w:rPr>
              <w:fldChar w:fldCharType="separate"/>
            </w:r>
            <w:r w:rsidR="00A247F7">
              <w:rPr>
                <w:noProof/>
                <w:webHidden/>
              </w:rPr>
              <w:t>29</w:t>
            </w:r>
            <w:r w:rsidRPr="00720B94">
              <w:rPr>
                <w:noProof/>
                <w:webHidden/>
              </w:rPr>
              <w:fldChar w:fldCharType="end"/>
            </w:r>
          </w:hyperlink>
        </w:p>
        <w:p w14:paraId="375AADF2" w14:textId="2E39BA8B" w:rsidR="00505339" w:rsidRPr="00720B94" w:rsidRDefault="00505339" w:rsidP="00720B94">
          <w:pPr>
            <w:pStyle w:val="TOC2"/>
            <w:rPr>
              <w:rFonts w:asciiTheme="minorHAnsi" w:eastAsiaTheme="minorEastAsia" w:hAnsiTheme="minorHAnsi"/>
              <w:noProof/>
              <w:kern w:val="2"/>
              <w:sz w:val="24"/>
              <w:szCs w:val="24"/>
              <w14:ligatures w14:val="standardContextual"/>
            </w:rPr>
          </w:pPr>
          <w:hyperlink w:anchor="_Toc192509362" w:history="1">
            <w:r w:rsidRPr="009F65B4">
              <w:rPr>
                <w:rStyle w:val="Hyperlink"/>
                <w:noProof/>
                <w:color w:val="auto"/>
              </w:rPr>
              <w:t>Infectious, Microbial, &amp; Recombinant Waste</w:t>
            </w:r>
            <w:r w:rsidRPr="00720B94">
              <w:rPr>
                <w:noProof/>
                <w:webHidden/>
              </w:rPr>
              <w:tab/>
            </w:r>
            <w:r w:rsidRPr="00720B94">
              <w:rPr>
                <w:noProof/>
                <w:webHidden/>
              </w:rPr>
              <w:fldChar w:fldCharType="begin"/>
            </w:r>
            <w:r w:rsidRPr="00720B94">
              <w:rPr>
                <w:noProof/>
                <w:webHidden/>
              </w:rPr>
              <w:instrText xml:space="preserve"> PAGEREF _Toc192509362 \h </w:instrText>
            </w:r>
            <w:r w:rsidRPr="00720B94">
              <w:rPr>
                <w:noProof/>
                <w:webHidden/>
              </w:rPr>
            </w:r>
            <w:r w:rsidRPr="00720B94">
              <w:rPr>
                <w:noProof/>
                <w:webHidden/>
              </w:rPr>
              <w:fldChar w:fldCharType="separate"/>
            </w:r>
            <w:r w:rsidR="00A247F7">
              <w:rPr>
                <w:noProof/>
                <w:webHidden/>
              </w:rPr>
              <w:t>29</w:t>
            </w:r>
            <w:r w:rsidRPr="00720B94">
              <w:rPr>
                <w:noProof/>
                <w:webHidden/>
              </w:rPr>
              <w:fldChar w:fldCharType="end"/>
            </w:r>
          </w:hyperlink>
        </w:p>
        <w:p w14:paraId="2CCFE080" w14:textId="22C3F7F7" w:rsidR="00505339" w:rsidRPr="00720B94" w:rsidRDefault="00505339" w:rsidP="00720B94">
          <w:pPr>
            <w:pStyle w:val="TOC2"/>
            <w:rPr>
              <w:rFonts w:asciiTheme="minorHAnsi" w:eastAsiaTheme="minorEastAsia" w:hAnsiTheme="minorHAnsi"/>
              <w:noProof/>
              <w:kern w:val="2"/>
              <w:sz w:val="24"/>
              <w:szCs w:val="24"/>
              <w14:ligatures w14:val="standardContextual"/>
            </w:rPr>
          </w:pPr>
          <w:hyperlink w:anchor="_Toc192509363" w:history="1">
            <w:r w:rsidRPr="009F65B4">
              <w:rPr>
                <w:rStyle w:val="Hyperlink"/>
                <w:noProof/>
                <w:color w:val="auto"/>
              </w:rPr>
              <w:t>Liquid Waste</w:t>
            </w:r>
            <w:r w:rsidRPr="00720B94">
              <w:rPr>
                <w:noProof/>
                <w:webHidden/>
              </w:rPr>
              <w:tab/>
            </w:r>
            <w:r w:rsidRPr="00720B94">
              <w:rPr>
                <w:noProof/>
                <w:webHidden/>
              </w:rPr>
              <w:fldChar w:fldCharType="begin"/>
            </w:r>
            <w:r w:rsidRPr="00720B94">
              <w:rPr>
                <w:noProof/>
                <w:webHidden/>
              </w:rPr>
              <w:instrText xml:space="preserve"> PAGEREF _Toc192509363 \h </w:instrText>
            </w:r>
            <w:r w:rsidRPr="00720B94">
              <w:rPr>
                <w:noProof/>
                <w:webHidden/>
              </w:rPr>
            </w:r>
            <w:r w:rsidRPr="00720B94">
              <w:rPr>
                <w:noProof/>
                <w:webHidden/>
              </w:rPr>
              <w:fldChar w:fldCharType="separate"/>
            </w:r>
            <w:r w:rsidR="00A247F7">
              <w:rPr>
                <w:noProof/>
                <w:webHidden/>
              </w:rPr>
              <w:t>29</w:t>
            </w:r>
            <w:r w:rsidRPr="00720B94">
              <w:rPr>
                <w:noProof/>
                <w:webHidden/>
              </w:rPr>
              <w:fldChar w:fldCharType="end"/>
            </w:r>
          </w:hyperlink>
        </w:p>
        <w:p w14:paraId="3DE46232" w14:textId="201BA634" w:rsidR="00505339" w:rsidRPr="00720B94" w:rsidRDefault="00505339" w:rsidP="00720B94">
          <w:pPr>
            <w:pStyle w:val="TOC2"/>
            <w:rPr>
              <w:rFonts w:asciiTheme="minorHAnsi" w:eastAsiaTheme="minorEastAsia" w:hAnsiTheme="minorHAnsi"/>
              <w:noProof/>
              <w:kern w:val="2"/>
              <w:sz w:val="24"/>
              <w:szCs w:val="24"/>
              <w14:ligatures w14:val="standardContextual"/>
            </w:rPr>
          </w:pPr>
          <w:hyperlink w:anchor="_Toc192509364" w:history="1">
            <w:r w:rsidRPr="009F65B4">
              <w:rPr>
                <w:rStyle w:val="Hyperlink"/>
                <w:noProof/>
                <w:color w:val="auto"/>
              </w:rPr>
              <w:t>Waste from Animal Experiments</w:t>
            </w:r>
            <w:r w:rsidRPr="00720B94">
              <w:rPr>
                <w:noProof/>
                <w:webHidden/>
              </w:rPr>
              <w:tab/>
            </w:r>
            <w:r w:rsidRPr="00720B94">
              <w:rPr>
                <w:noProof/>
                <w:webHidden/>
              </w:rPr>
              <w:fldChar w:fldCharType="begin"/>
            </w:r>
            <w:r w:rsidRPr="00720B94">
              <w:rPr>
                <w:noProof/>
                <w:webHidden/>
              </w:rPr>
              <w:instrText xml:space="preserve"> PAGEREF _Toc192509364 \h </w:instrText>
            </w:r>
            <w:r w:rsidRPr="00720B94">
              <w:rPr>
                <w:noProof/>
                <w:webHidden/>
              </w:rPr>
            </w:r>
            <w:r w:rsidRPr="00720B94">
              <w:rPr>
                <w:noProof/>
                <w:webHidden/>
              </w:rPr>
              <w:fldChar w:fldCharType="separate"/>
            </w:r>
            <w:r w:rsidR="00A247F7">
              <w:rPr>
                <w:noProof/>
                <w:webHidden/>
              </w:rPr>
              <w:t>30</w:t>
            </w:r>
            <w:r w:rsidRPr="00720B94">
              <w:rPr>
                <w:noProof/>
                <w:webHidden/>
              </w:rPr>
              <w:fldChar w:fldCharType="end"/>
            </w:r>
          </w:hyperlink>
        </w:p>
        <w:p w14:paraId="7D97EDE1" w14:textId="77D4292D" w:rsidR="00505339" w:rsidRPr="00720B94" w:rsidRDefault="00505339" w:rsidP="00720B94">
          <w:pPr>
            <w:pStyle w:val="TOC2"/>
            <w:rPr>
              <w:rFonts w:asciiTheme="minorHAnsi" w:eastAsiaTheme="minorEastAsia" w:hAnsiTheme="minorHAnsi"/>
              <w:noProof/>
              <w:kern w:val="2"/>
              <w:sz w:val="24"/>
              <w:szCs w:val="24"/>
              <w14:ligatures w14:val="standardContextual"/>
            </w:rPr>
          </w:pPr>
          <w:hyperlink w:anchor="_Toc192509365" w:history="1">
            <w:r w:rsidRPr="009F65B4">
              <w:rPr>
                <w:rStyle w:val="Hyperlink"/>
                <w:noProof/>
                <w:color w:val="auto"/>
              </w:rPr>
              <w:t>Noninfectious Waste</w:t>
            </w:r>
            <w:r w:rsidRPr="00720B94">
              <w:rPr>
                <w:noProof/>
                <w:webHidden/>
              </w:rPr>
              <w:tab/>
            </w:r>
            <w:r w:rsidRPr="00720B94">
              <w:rPr>
                <w:noProof/>
                <w:webHidden/>
              </w:rPr>
              <w:fldChar w:fldCharType="begin"/>
            </w:r>
            <w:r w:rsidRPr="00720B94">
              <w:rPr>
                <w:noProof/>
                <w:webHidden/>
              </w:rPr>
              <w:instrText xml:space="preserve"> PAGEREF _Toc192509365 \h </w:instrText>
            </w:r>
            <w:r w:rsidRPr="00720B94">
              <w:rPr>
                <w:noProof/>
                <w:webHidden/>
              </w:rPr>
            </w:r>
            <w:r w:rsidRPr="00720B94">
              <w:rPr>
                <w:noProof/>
                <w:webHidden/>
              </w:rPr>
              <w:fldChar w:fldCharType="separate"/>
            </w:r>
            <w:r w:rsidR="00A247F7">
              <w:rPr>
                <w:noProof/>
                <w:webHidden/>
              </w:rPr>
              <w:t>30</w:t>
            </w:r>
            <w:r w:rsidRPr="00720B94">
              <w:rPr>
                <w:noProof/>
                <w:webHidden/>
              </w:rPr>
              <w:fldChar w:fldCharType="end"/>
            </w:r>
          </w:hyperlink>
        </w:p>
        <w:p w14:paraId="488DC926" w14:textId="2D8C3348" w:rsidR="00505339" w:rsidRPr="00720B94" w:rsidRDefault="00505339" w:rsidP="00720B94">
          <w:pPr>
            <w:pStyle w:val="TOC1"/>
            <w:rPr>
              <w:rFonts w:asciiTheme="minorHAnsi" w:eastAsiaTheme="minorEastAsia" w:hAnsiTheme="minorHAnsi"/>
              <w:noProof/>
              <w:kern w:val="2"/>
              <w:sz w:val="24"/>
              <w:szCs w:val="24"/>
              <w14:ligatures w14:val="standardContextual"/>
            </w:rPr>
          </w:pPr>
          <w:hyperlink w:anchor="_Toc192509366" w:history="1">
            <w:r w:rsidRPr="009F65B4">
              <w:rPr>
                <w:rStyle w:val="Hyperlink"/>
                <w:noProof/>
                <w:color w:val="auto"/>
              </w:rPr>
              <w:t>Methods of Decontamination</w:t>
            </w:r>
            <w:r w:rsidRPr="00720B94">
              <w:rPr>
                <w:noProof/>
                <w:webHidden/>
              </w:rPr>
              <w:tab/>
            </w:r>
            <w:r w:rsidRPr="00720B94">
              <w:rPr>
                <w:noProof/>
                <w:webHidden/>
              </w:rPr>
              <w:fldChar w:fldCharType="begin"/>
            </w:r>
            <w:r w:rsidRPr="00720B94">
              <w:rPr>
                <w:noProof/>
                <w:webHidden/>
              </w:rPr>
              <w:instrText xml:space="preserve"> PAGEREF _Toc192509366 \h </w:instrText>
            </w:r>
            <w:r w:rsidRPr="00720B94">
              <w:rPr>
                <w:noProof/>
                <w:webHidden/>
              </w:rPr>
            </w:r>
            <w:r w:rsidRPr="00720B94">
              <w:rPr>
                <w:noProof/>
                <w:webHidden/>
              </w:rPr>
              <w:fldChar w:fldCharType="separate"/>
            </w:r>
            <w:r w:rsidR="00A247F7">
              <w:rPr>
                <w:noProof/>
                <w:webHidden/>
              </w:rPr>
              <w:t>30</w:t>
            </w:r>
            <w:r w:rsidRPr="00720B94">
              <w:rPr>
                <w:noProof/>
                <w:webHidden/>
              </w:rPr>
              <w:fldChar w:fldCharType="end"/>
            </w:r>
          </w:hyperlink>
        </w:p>
        <w:p w14:paraId="026A8CC0" w14:textId="462970A5" w:rsidR="00505339" w:rsidRPr="00720B94" w:rsidRDefault="00505339" w:rsidP="00720B94">
          <w:pPr>
            <w:pStyle w:val="TOC2"/>
            <w:rPr>
              <w:rFonts w:asciiTheme="minorHAnsi" w:eastAsiaTheme="minorEastAsia" w:hAnsiTheme="minorHAnsi"/>
              <w:noProof/>
              <w:kern w:val="2"/>
              <w:sz w:val="24"/>
              <w:szCs w:val="24"/>
              <w14:ligatures w14:val="standardContextual"/>
            </w:rPr>
          </w:pPr>
          <w:hyperlink w:anchor="_Toc192509367" w:history="1">
            <w:r w:rsidRPr="009F65B4">
              <w:rPr>
                <w:rStyle w:val="Hyperlink"/>
                <w:noProof/>
                <w:color w:val="auto"/>
              </w:rPr>
              <w:t>Steam Sterilization</w:t>
            </w:r>
            <w:r w:rsidRPr="00720B94">
              <w:rPr>
                <w:noProof/>
                <w:webHidden/>
              </w:rPr>
              <w:tab/>
            </w:r>
            <w:r w:rsidRPr="00720B94">
              <w:rPr>
                <w:noProof/>
                <w:webHidden/>
              </w:rPr>
              <w:fldChar w:fldCharType="begin"/>
            </w:r>
            <w:r w:rsidRPr="00720B94">
              <w:rPr>
                <w:noProof/>
                <w:webHidden/>
              </w:rPr>
              <w:instrText xml:space="preserve"> PAGEREF _Toc192509367 \h </w:instrText>
            </w:r>
            <w:r w:rsidRPr="00720B94">
              <w:rPr>
                <w:noProof/>
                <w:webHidden/>
              </w:rPr>
            </w:r>
            <w:r w:rsidRPr="00720B94">
              <w:rPr>
                <w:noProof/>
                <w:webHidden/>
              </w:rPr>
              <w:fldChar w:fldCharType="separate"/>
            </w:r>
            <w:r w:rsidR="00A247F7">
              <w:rPr>
                <w:noProof/>
                <w:webHidden/>
              </w:rPr>
              <w:t>31</w:t>
            </w:r>
            <w:r w:rsidRPr="00720B94">
              <w:rPr>
                <w:noProof/>
                <w:webHidden/>
              </w:rPr>
              <w:fldChar w:fldCharType="end"/>
            </w:r>
          </w:hyperlink>
        </w:p>
        <w:p w14:paraId="4CA66256" w14:textId="4B51D084" w:rsidR="00505339" w:rsidRPr="00720B94" w:rsidRDefault="00505339" w:rsidP="00720B94">
          <w:pPr>
            <w:pStyle w:val="TOC2"/>
            <w:rPr>
              <w:rFonts w:asciiTheme="minorHAnsi" w:eastAsiaTheme="minorEastAsia" w:hAnsiTheme="minorHAnsi"/>
              <w:noProof/>
              <w:kern w:val="2"/>
              <w:sz w:val="24"/>
              <w:szCs w:val="24"/>
              <w14:ligatures w14:val="standardContextual"/>
            </w:rPr>
          </w:pPr>
          <w:hyperlink w:anchor="_Toc192509368" w:history="1">
            <w:r w:rsidRPr="009F65B4">
              <w:rPr>
                <w:rStyle w:val="Hyperlink"/>
                <w:noProof/>
                <w:color w:val="auto"/>
              </w:rPr>
              <w:t>Chemical Disinfection</w:t>
            </w:r>
            <w:r w:rsidRPr="00720B94">
              <w:rPr>
                <w:noProof/>
                <w:webHidden/>
              </w:rPr>
              <w:tab/>
            </w:r>
            <w:r w:rsidRPr="00720B94">
              <w:rPr>
                <w:noProof/>
                <w:webHidden/>
              </w:rPr>
              <w:fldChar w:fldCharType="begin"/>
            </w:r>
            <w:r w:rsidRPr="00720B94">
              <w:rPr>
                <w:noProof/>
                <w:webHidden/>
              </w:rPr>
              <w:instrText xml:space="preserve"> PAGEREF _Toc192509368 \h </w:instrText>
            </w:r>
            <w:r w:rsidRPr="00720B94">
              <w:rPr>
                <w:noProof/>
                <w:webHidden/>
              </w:rPr>
            </w:r>
            <w:r w:rsidRPr="00720B94">
              <w:rPr>
                <w:noProof/>
                <w:webHidden/>
              </w:rPr>
              <w:fldChar w:fldCharType="separate"/>
            </w:r>
            <w:r w:rsidR="00A247F7">
              <w:rPr>
                <w:noProof/>
                <w:webHidden/>
              </w:rPr>
              <w:t>31</w:t>
            </w:r>
            <w:r w:rsidRPr="00720B94">
              <w:rPr>
                <w:noProof/>
                <w:webHidden/>
              </w:rPr>
              <w:fldChar w:fldCharType="end"/>
            </w:r>
          </w:hyperlink>
        </w:p>
        <w:p w14:paraId="26176D1D" w14:textId="07DA88DF" w:rsidR="00505339" w:rsidRPr="00720B94" w:rsidRDefault="00505339" w:rsidP="00720B94">
          <w:pPr>
            <w:pStyle w:val="TOC2"/>
            <w:rPr>
              <w:rFonts w:asciiTheme="minorHAnsi" w:eastAsiaTheme="minorEastAsia" w:hAnsiTheme="minorHAnsi"/>
              <w:noProof/>
              <w:kern w:val="2"/>
              <w:sz w:val="24"/>
              <w:szCs w:val="24"/>
              <w14:ligatures w14:val="standardContextual"/>
            </w:rPr>
          </w:pPr>
          <w:hyperlink w:anchor="_Toc192509369" w:history="1">
            <w:r w:rsidRPr="009F65B4">
              <w:rPr>
                <w:rStyle w:val="Hyperlink"/>
                <w:noProof/>
                <w:color w:val="auto"/>
              </w:rPr>
              <w:t>UV Treatment</w:t>
            </w:r>
            <w:r w:rsidRPr="00720B94">
              <w:rPr>
                <w:noProof/>
                <w:webHidden/>
              </w:rPr>
              <w:tab/>
            </w:r>
            <w:r w:rsidRPr="00720B94">
              <w:rPr>
                <w:noProof/>
                <w:webHidden/>
              </w:rPr>
              <w:fldChar w:fldCharType="begin"/>
            </w:r>
            <w:r w:rsidRPr="00720B94">
              <w:rPr>
                <w:noProof/>
                <w:webHidden/>
              </w:rPr>
              <w:instrText xml:space="preserve"> PAGEREF _Toc192509369 \h </w:instrText>
            </w:r>
            <w:r w:rsidRPr="00720B94">
              <w:rPr>
                <w:noProof/>
                <w:webHidden/>
              </w:rPr>
            </w:r>
            <w:r w:rsidRPr="00720B94">
              <w:rPr>
                <w:noProof/>
                <w:webHidden/>
              </w:rPr>
              <w:fldChar w:fldCharType="separate"/>
            </w:r>
            <w:r w:rsidR="00A247F7">
              <w:rPr>
                <w:noProof/>
                <w:webHidden/>
              </w:rPr>
              <w:t>31</w:t>
            </w:r>
            <w:r w:rsidRPr="00720B94">
              <w:rPr>
                <w:noProof/>
                <w:webHidden/>
              </w:rPr>
              <w:fldChar w:fldCharType="end"/>
            </w:r>
          </w:hyperlink>
        </w:p>
        <w:p w14:paraId="6BC1C348" w14:textId="4A968EFF" w:rsidR="00505339" w:rsidRPr="00720B94" w:rsidRDefault="00505339" w:rsidP="00720B94">
          <w:pPr>
            <w:pStyle w:val="TOC1"/>
            <w:rPr>
              <w:rFonts w:asciiTheme="minorHAnsi" w:eastAsiaTheme="minorEastAsia" w:hAnsiTheme="minorHAnsi"/>
              <w:noProof/>
              <w:kern w:val="2"/>
              <w:sz w:val="24"/>
              <w:szCs w:val="24"/>
              <w14:ligatures w14:val="standardContextual"/>
            </w:rPr>
          </w:pPr>
          <w:hyperlink w:anchor="_Toc192509370" w:history="1">
            <w:r w:rsidRPr="009F65B4">
              <w:rPr>
                <w:rStyle w:val="Hyperlink"/>
                <w:noProof/>
                <w:color w:val="auto"/>
              </w:rPr>
              <w:t>Emergency Plans</w:t>
            </w:r>
            <w:r w:rsidRPr="00720B94">
              <w:rPr>
                <w:noProof/>
                <w:webHidden/>
              </w:rPr>
              <w:tab/>
            </w:r>
            <w:r w:rsidRPr="00720B94">
              <w:rPr>
                <w:noProof/>
                <w:webHidden/>
              </w:rPr>
              <w:fldChar w:fldCharType="begin"/>
            </w:r>
            <w:r w:rsidRPr="00720B94">
              <w:rPr>
                <w:noProof/>
                <w:webHidden/>
              </w:rPr>
              <w:instrText xml:space="preserve"> PAGEREF _Toc192509370 \h </w:instrText>
            </w:r>
            <w:r w:rsidRPr="00720B94">
              <w:rPr>
                <w:noProof/>
                <w:webHidden/>
              </w:rPr>
            </w:r>
            <w:r w:rsidRPr="00720B94">
              <w:rPr>
                <w:noProof/>
                <w:webHidden/>
              </w:rPr>
              <w:fldChar w:fldCharType="separate"/>
            </w:r>
            <w:r w:rsidR="00A247F7">
              <w:rPr>
                <w:noProof/>
                <w:webHidden/>
              </w:rPr>
              <w:t>32</w:t>
            </w:r>
            <w:r w:rsidRPr="00720B94">
              <w:rPr>
                <w:noProof/>
                <w:webHidden/>
              </w:rPr>
              <w:fldChar w:fldCharType="end"/>
            </w:r>
          </w:hyperlink>
        </w:p>
        <w:p w14:paraId="036D8185" w14:textId="3D2544D1" w:rsidR="00505339" w:rsidRPr="00720B94" w:rsidRDefault="00505339" w:rsidP="00720B94">
          <w:pPr>
            <w:pStyle w:val="TOC2"/>
            <w:rPr>
              <w:rFonts w:asciiTheme="minorHAnsi" w:eastAsiaTheme="minorEastAsia" w:hAnsiTheme="minorHAnsi"/>
              <w:noProof/>
              <w:kern w:val="2"/>
              <w:sz w:val="24"/>
              <w:szCs w:val="24"/>
              <w14:ligatures w14:val="standardContextual"/>
            </w:rPr>
          </w:pPr>
          <w:hyperlink w:anchor="_Toc192509371" w:history="1">
            <w:r w:rsidRPr="009F65B4">
              <w:rPr>
                <w:rStyle w:val="Hyperlink"/>
                <w:noProof/>
                <w:color w:val="auto"/>
              </w:rPr>
              <w:t>Exposure Response</w:t>
            </w:r>
            <w:r w:rsidRPr="00720B94">
              <w:rPr>
                <w:noProof/>
                <w:webHidden/>
              </w:rPr>
              <w:tab/>
            </w:r>
            <w:r w:rsidRPr="00720B94">
              <w:rPr>
                <w:noProof/>
                <w:webHidden/>
              </w:rPr>
              <w:fldChar w:fldCharType="begin"/>
            </w:r>
            <w:r w:rsidRPr="00720B94">
              <w:rPr>
                <w:noProof/>
                <w:webHidden/>
              </w:rPr>
              <w:instrText xml:space="preserve"> PAGEREF _Toc192509371 \h </w:instrText>
            </w:r>
            <w:r w:rsidRPr="00720B94">
              <w:rPr>
                <w:noProof/>
                <w:webHidden/>
              </w:rPr>
            </w:r>
            <w:r w:rsidRPr="00720B94">
              <w:rPr>
                <w:noProof/>
                <w:webHidden/>
              </w:rPr>
              <w:fldChar w:fldCharType="separate"/>
            </w:r>
            <w:r w:rsidR="00A247F7">
              <w:rPr>
                <w:noProof/>
                <w:webHidden/>
              </w:rPr>
              <w:t>32</w:t>
            </w:r>
            <w:r w:rsidRPr="00720B94">
              <w:rPr>
                <w:noProof/>
                <w:webHidden/>
              </w:rPr>
              <w:fldChar w:fldCharType="end"/>
            </w:r>
          </w:hyperlink>
        </w:p>
        <w:p w14:paraId="1B0E6F36" w14:textId="48BB0323" w:rsidR="00505339" w:rsidRPr="00720B94" w:rsidRDefault="00505339" w:rsidP="00720B94">
          <w:pPr>
            <w:pStyle w:val="TOC2"/>
            <w:rPr>
              <w:rFonts w:asciiTheme="minorHAnsi" w:eastAsiaTheme="minorEastAsia" w:hAnsiTheme="minorHAnsi"/>
              <w:noProof/>
              <w:kern w:val="2"/>
              <w:sz w:val="24"/>
              <w:szCs w:val="24"/>
              <w14:ligatures w14:val="standardContextual"/>
            </w:rPr>
          </w:pPr>
          <w:hyperlink w:anchor="_Toc192509372" w:history="1">
            <w:r w:rsidRPr="009F65B4">
              <w:rPr>
                <w:rStyle w:val="Hyperlink"/>
                <w:noProof/>
                <w:color w:val="auto"/>
              </w:rPr>
              <w:t>Biohazardous Spills</w:t>
            </w:r>
            <w:r w:rsidRPr="00720B94">
              <w:rPr>
                <w:noProof/>
                <w:webHidden/>
              </w:rPr>
              <w:tab/>
            </w:r>
            <w:r w:rsidRPr="00720B94">
              <w:rPr>
                <w:noProof/>
                <w:webHidden/>
              </w:rPr>
              <w:fldChar w:fldCharType="begin"/>
            </w:r>
            <w:r w:rsidRPr="00720B94">
              <w:rPr>
                <w:noProof/>
                <w:webHidden/>
              </w:rPr>
              <w:instrText xml:space="preserve"> PAGEREF _Toc192509372 \h </w:instrText>
            </w:r>
            <w:r w:rsidRPr="00720B94">
              <w:rPr>
                <w:noProof/>
                <w:webHidden/>
              </w:rPr>
            </w:r>
            <w:r w:rsidRPr="00720B94">
              <w:rPr>
                <w:noProof/>
                <w:webHidden/>
              </w:rPr>
              <w:fldChar w:fldCharType="separate"/>
            </w:r>
            <w:r w:rsidR="00A247F7">
              <w:rPr>
                <w:noProof/>
                <w:webHidden/>
              </w:rPr>
              <w:t>33</w:t>
            </w:r>
            <w:r w:rsidRPr="00720B94">
              <w:rPr>
                <w:noProof/>
                <w:webHidden/>
              </w:rPr>
              <w:fldChar w:fldCharType="end"/>
            </w:r>
          </w:hyperlink>
        </w:p>
        <w:p w14:paraId="13CD1E52" w14:textId="0762C281" w:rsidR="00505339" w:rsidRPr="00720B94" w:rsidRDefault="00505339" w:rsidP="00720B94">
          <w:pPr>
            <w:pStyle w:val="TOC2"/>
            <w:rPr>
              <w:rFonts w:asciiTheme="minorHAnsi" w:eastAsiaTheme="minorEastAsia" w:hAnsiTheme="minorHAnsi"/>
              <w:noProof/>
              <w:kern w:val="2"/>
              <w:sz w:val="24"/>
              <w:szCs w:val="24"/>
              <w14:ligatures w14:val="standardContextual"/>
            </w:rPr>
          </w:pPr>
          <w:hyperlink w:anchor="_Toc192509373" w:history="1">
            <w:r w:rsidRPr="009F65B4">
              <w:rPr>
                <w:rStyle w:val="Hyperlink"/>
                <w:noProof/>
                <w:color w:val="auto"/>
              </w:rPr>
              <w:t>Recommended Supplies</w:t>
            </w:r>
            <w:r w:rsidRPr="00720B94">
              <w:rPr>
                <w:noProof/>
                <w:webHidden/>
              </w:rPr>
              <w:tab/>
            </w:r>
            <w:r w:rsidRPr="00720B94">
              <w:rPr>
                <w:noProof/>
                <w:webHidden/>
              </w:rPr>
              <w:fldChar w:fldCharType="begin"/>
            </w:r>
            <w:r w:rsidRPr="00720B94">
              <w:rPr>
                <w:noProof/>
                <w:webHidden/>
              </w:rPr>
              <w:instrText xml:space="preserve"> PAGEREF _Toc192509373 \h </w:instrText>
            </w:r>
            <w:r w:rsidRPr="00720B94">
              <w:rPr>
                <w:noProof/>
                <w:webHidden/>
              </w:rPr>
            </w:r>
            <w:r w:rsidRPr="00720B94">
              <w:rPr>
                <w:noProof/>
                <w:webHidden/>
              </w:rPr>
              <w:fldChar w:fldCharType="separate"/>
            </w:r>
            <w:r w:rsidR="00A247F7">
              <w:rPr>
                <w:noProof/>
                <w:webHidden/>
              </w:rPr>
              <w:t>33</w:t>
            </w:r>
            <w:r w:rsidRPr="00720B94">
              <w:rPr>
                <w:noProof/>
                <w:webHidden/>
              </w:rPr>
              <w:fldChar w:fldCharType="end"/>
            </w:r>
          </w:hyperlink>
        </w:p>
        <w:p w14:paraId="3F10F001" w14:textId="2D5D3680" w:rsidR="00505339" w:rsidRPr="00720B94" w:rsidRDefault="00505339" w:rsidP="00720B94">
          <w:pPr>
            <w:pStyle w:val="TOC1"/>
            <w:rPr>
              <w:rFonts w:asciiTheme="minorHAnsi" w:eastAsiaTheme="minorEastAsia" w:hAnsiTheme="minorHAnsi"/>
              <w:noProof/>
              <w:kern w:val="2"/>
              <w:sz w:val="24"/>
              <w:szCs w:val="24"/>
              <w14:ligatures w14:val="standardContextual"/>
            </w:rPr>
          </w:pPr>
          <w:hyperlink w:anchor="_Toc192509374" w:history="1">
            <w:r w:rsidRPr="009F65B4">
              <w:rPr>
                <w:rStyle w:val="Hyperlink"/>
                <w:noProof/>
                <w:color w:val="auto"/>
              </w:rPr>
              <w:t>Considerations for Teaching Laboratories</w:t>
            </w:r>
            <w:r w:rsidRPr="00720B94">
              <w:rPr>
                <w:noProof/>
                <w:webHidden/>
              </w:rPr>
              <w:tab/>
            </w:r>
            <w:r w:rsidRPr="00720B94">
              <w:rPr>
                <w:noProof/>
                <w:webHidden/>
              </w:rPr>
              <w:fldChar w:fldCharType="begin"/>
            </w:r>
            <w:r w:rsidRPr="00720B94">
              <w:rPr>
                <w:noProof/>
                <w:webHidden/>
              </w:rPr>
              <w:instrText xml:space="preserve"> PAGEREF _Toc192509374 \h </w:instrText>
            </w:r>
            <w:r w:rsidRPr="00720B94">
              <w:rPr>
                <w:noProof/>
                <w:webHidden/>
              </w:rPr>
            </w:r>
            <w:r w:rsidRPr="00720B94">
              <w:rPr>
                <w:noProof/>
                <w:webHidden/>
              </w:rPr>
              <w:fldChar w:fldCharType="separate"/>
            </w:r>
            <w:r w:rsidR="00A247F7">
              <w:rPr>
                <w:noProof/>
                <w:webHidden/>
              </w:rPr>
              <w:t>33</w:t>
            </w:r>
            <w:r w:rsidRPr="00720B94">
              <w:rPr>
                <w:noProof/>
                <w:webHidden/>
              </w:rPr>
              <w:fldChar w:fldCharType="end"/>
            </w:r>
          </w:hyperlink>
        </w:p>
        <w:p w14:paraId="07D42365" w14:textId="6CA74F8E" w:rsidR="00505339" w:rsidRPr="00720B94" w:rsidRDefault="00505339" w:rsidP="00720B94">
          <w:pPr>
            <w:pStyle w:val="TOC1"/>
            <w:rPr>
              <w:rFonts w:asciiTheme="minorHAnsi" w:eastAsiaTheme="minorEastAsia" w:hAnsiTheme="minorHAnsi"/>
              <w:noProof/>
              <w:kern w:val="2"/>
              <w:sz w:val="24"/>
              <w:szCs w:val="24"/>
              <w14:ligatures w14:val="standardContextual"/>
            </w:rPr>
          </w:pPr>
          <w:hyperlink w:anchor="_Toc192509375" w:history="1">
            <w:r w:rsidRPr="009F65B4">
              <w:rPr>
                <w:rStyle w:val="Hyperlink"/>
                <w:noProof/>
                <w:color w:val="auto"/>
              </w:rPr>
              <w:t>Dual Use Research of Concern (DURC) &amp; Pathogens with Enhanced Pandemic Potential (PEPP)</w:t>
            </w:r>
            <w:r w:rsidRPr="00720B94">
              <w:rPr>
                <w:noProof/>
                <w:webHidden/>
              </w:rPr>
              <w:tab/>
            </w:r>
            <w:r w:rsidRPr="00720B94">
              <w:rPr>
                <w:noProof/>
                <w:webHidden/>
              </w:rPr>
              <w:fldChar w:fldCharType="begin"/>
            </w:r>
            <w:r w:rsidRPr="00720B94">
              <w:rPr>
                <w:noProof/>
                <w:webHidden/>
              </w:rPr>
              <w:instrText xml:space="preserve"> PAGEREF _Toc192509375 \h </w:instrText>
            </w:r>
            <w:r w:rsidRPr="00720B94">
              <w:rPr>
                <w:noProof/>
                <w:webHidden/>
              </w:rPr>
            </w:r>
            <w:r w:rsidRPr="00720B94">
              <w:rPr>
                <w:noProof/>
                <w:webHidden/>
              </w:rPr>
              <w:fldChar w:fldCharType="separate"/>
            </w:r>
            <w:r w:rsidR="00A247F7">
              <w:rPr>
                <w:noProof/>
                <w:webHidden/>
              </w:rPr>
              <w:t>34</w:t>
            </w:r>
            <w:r w:rsidRPr="00720B94">
              <w:rPr>
                <w:noProof/>
                <w:webHidden/>
              </w:rPr>
              <w:fldChar w:fldCharType="end"/>
            </w:r>
          </w:hyperlink>
        </w:p>
        <w:p w14:paraId="705E82AD" w14:textId="51A27719" w:rsidR="00505339" w:rsidRPr="00720B94" w:rsidRDefault="00505339" w:rsidP="00720B94">
          <w:pPr>
            <w:pStyle w:val="TOC2"/>
            <w:rPr>
              <w:rFonts w:asciiTheme="minorHAnsi" w:eastAsiaTheme="minorEastAsia" w:hAnsiTheme="minorHAnsi"/>
              <w:noProof/>
              <w:kern w:val="2"/>
              <w:sz w:val="24"/>
              <w:szCs w:val="24"/>
              <w14:ligatures w14:val="standardContextual"/>
            </w:rPr>
          </w:pPr>
          <w:hyperlink w:anchor="_Toc192509376" w:history="1">
            <w:r w:rsidRPr="009F65B4">
              <w:rPr>
                <w:rStyle w:val="Hyperlink"/>
                <w:noProof/>
                <w:color w:val="auto"/>
              </w:rPr>
              <w:t>Research within Scope</w:t>
            </w:r>
            <w:r w:rsidRPr="00720B94">
              <w:rPr>
                <w:noProof/>
                <w:webHidden/>
              </w:rPr>
              <w:tab/>
            </w:r>
            <w:r w:rsidRPr="00720B94">
              <w:rPr>
                <w:noProof/>
                <w:webHidden/>
              </w:rPr>
              <w:fldChar w:fldCharType="begin"/>
            </w:r>
            <w:r w:rsidRPr="00720B94">
              <w:rPr>
                <w:noProof/>
                <w:webHidden/>
              </w:rPr>
              <w:instrText xml:space="preserve"> PAGEREF _Toc192509376 \h </w:instrText>
            </w:r>
            <w:r w:rsidRPr="00720B94">
              <w:rPr>
                <w:noProof/>
                <w:webHidden/>
              </w:rPr>
            </w:r>
            <w:r w:rsidRPr="00720B94">
              <w:rPr>
                <w:noProof/>
                <w:webHidden/>
              </w:rPr>
              <w:fldChar w:fldCharType="separate"/>
            </w:r>
            <w:r w:rsidR="00A247F7">
              <w:rPr>
                <w:noProof/>
                <w:webHidden/>
              </w:rPr>
              <w:t>34</w:t>
            </w:r>
            <w:r w:rsidRPr="00720B94">
              <w:rPr>
                <w:noProof/>
                <w:webHidden/>
              </w:rPr>
              <w:fldChar w:fldCharType="end"/>
            </w:r>
          </w:hyperlink>
        </w:p>
        <w:p w14:paraId="74C80E65" w14:textId="38E1858A" w:rsidR="00505339" w:rsidRPr="00720B94" w:rsidRDefault="00505339" w:rsidP="00720B94">
          <w:pPr>
            <w:pStyle w:val="TOC2"/>
            <w:rPr>
              <w:rFonts w:asciiTheme="minorHAnsi" w:eastAsiaTheme="minorEastAsia" w:hAnsiTheme="minorHAnsi"/>
              <w:noProof/>
              <w:kern w:val="2"/>
              <w:sz w:val="24"/>
              <w:szCs w:val="24"/>
              <w14:ligatures w14:val="standardContextual"/>
            </w:rPr>
          </w:pPr>
          <w:hyperlink w:anchor="_Toc192509377" w:history="1">
            <w:r w:rsidRPr="009F65B4">
              <w:rPr>
                <w:rStyle w:val="Hyperlink"/>
                <w:noProof/>
                <w:color w:val="auto"/>
              </w:rPr>
              <w:t>Principal Investigator (PI) Responsibilities</w:t>
            </w:r>
            <w:r w:rsidRPr="00720B94">
              <w:rPr>
                <w:noProof/>
                <w:webHidden/>
              </w:rPr>
              <w:tab/>
            </w:r>
            <w:r w:rsidRPr="00720B94">
              <w:rPr>
                <w:noProof/>
                <w:webHidden/>
              </w:rPr>
              <w:fldChar w:fldCharType="begin"/>
            </w:r>
            <w:r w:rsidRPr="00720B94">
              <w:rPr>
                <w:noProof/>
                <w:webHidden/>
              </w:rPr>
              <w:instrText xml:space="preserve"> PAGEREF _Toc192509377 \h </w:instrText>
            </w:r>
            <w:r w:rsidRPr="00720B94">
              <w:rPr>
                <w:noProof/>
                <w:webHidden/>
              </w:rPr>
            </w:r>
            <w:r w:rsidRPr="00720B94">
              <w:rPr>
                <w:noProof/>
                <w:webHidden/>
              </w:rPr>
              <w:fldChar w:fldCharType="separate"/>
            </w:r>
            <w:r w:rsidR="00A247F7">
              <w:rPr>
                <w:noProof/>
                <w:webHidden/>
              </w:rPr>
              <w:t>34</w:t>
            </w:r>
            <w:r w:rsidRPr="00720B94">
              <w:rPr>
                <w:noProof/>
                <w:webHidden/>
              </w:rPr>
              <w:fldChar w:fldCharType="end"/>
            </w:r>
          </w:hyperlink>
        </w:p>
        <w:p w14:paraId="39DD3A18" w14:textId="5120177C" w:rsidR="00505339" w:rsidRPr="00720B94" w:rsidRDefault="00505339" w:rsidP="00720B94">
          <w:pPr>
            <w:pStyle w:val="TOC2"/>
            <w:rPr>
              <w:rFonts w:asciiTheme="minorHAnsi" w:eastAsiaTheme="minorEastAsia" w:hAnsiTheme="minorHAnsi"/>
              <w:noProof/>
              <w:kern w:val="2"/>
              <w:sz w:val="24"/>
              <w:szCs w:val="24"/>
              <w14:ligatures w14:val="standardContextual"/>
            </w:rPr>
          </w:pPr>
          <w:hyperlink w:anchor="_Toc192509378" w:history="1">
            <w:r w:rsidRPr="009F65B4">
              <w:rPr>
                <w:rStyle w:val="Hyperlink"/>
                <w:noProof/>
                <w:color w:val="auto"/>
              </w:rPr>
              <w:t>Oversight Framework &amp; Procedures</w:t>
            </w:r>
            <w:r w:rsidRPr="00720B94">
              <w:rPr>
                <w:noProof/>
                <w:webHidden/>
              </w:rPr>
              <w:tab/>
            </w:r>
            <w:r w:rsidRPr="00720B94">
              <w:rPr>
                <w:noProof/>
                <w:webHidden/>
              </w:rPr>
              <w:fldChar w:fldCharType="begin"/>
            </w:r>
            <w:r w:rsidRPr="00720B94">
              <w:rPr>
                <w:noProof/>
                <w:webHidden/>
              </w:rPr>
              <w:instrText xml:space="preserve"> PAGEREF _Toc192509378 \h </w:instrText>
            </w:r>
            <w:r w:rsidRPr="00720B94">
              <w:rPr>
                <w:noProof/>
                <w:webHidden/>
              </w:rPr>
            </w:r>
            <w:r w:rsidRPr="00720B94">
              <w:rPr>
                <w:noProof/>
                <w:webHidden/>
              </w:rPr>
              <w:fldChar w:fldCharType="separate"/>
            </w:r>
            <w:r w:rsidR="00A247F7">
              <w:rPr>
                <w:noProof/>
                <w:webHidden/>
              </w:rPr>
              <w:t>35</w:t>
            </w:r>
            <w:r w:rsidRPr="00720B94">
              <w:rPr>
                <w:noProof/>
                <w:webHidden/>
              </w:rPr>
              <w:fldChar w:fldCharType="end"/>
            </w:r>
          </w:hyperlink>
        </w:p>
        <w:p w14:paraId="770A78DE" w14:textId="2E3FE270" w:rsidR="00505339" w:rsidRPr="00720B94" w:rsidRDefault="00505339" w:rsidP="00720B94">
          <w:pPr>
            <w:pStyle w:val="TOC2"/>
            <w:rPr>
              <w:rFonts w:asciiTheme="minorHAnsi" w:eastAsiaTheme="minorEastAsia" w:hAnsiTheme="minorHAnsi"/>
              <w:noProof/>
              <w:kern w:val="2"/>
              <w:sz w:val="24"/>
              <w:szCs w:val="24"/>
              <w14:ligatures w14:val="standardContextual"/>
            </w:rPr>
          </w:pPr>
          <w:hyperlink w:anchor="_Toc192509379" w:history="1">
            <w:r w:rsidRPr="009F65B4">
              <w:rPr>
                <w:rStyle w:val="Hyperlink"/>
                <w:noProof/>
                <w:color w:val="auto"/>
              </w:rPr>
              <w:t>Training</w:t>
            </w:r>
            <w:r w:rsidRPr="00720B94">
              <w:rPr>
                <w:noProof/>
                <w:webHidden/>
              </w:rPr>
              <w:tab/>
            </w:r>
            <w:r w:rsidRPr="00720B94">
              <w:rPr>
                <w:noProof/>
                <w:webHidden/>
              </w:rPr>
              <w:fldChar w:fldCharType="begin"/>
            </w:r>
            <w:r w:rsidRPr="00720B94">
              <w:rPr>
                <w:noProof/>
                <w:webHidden/>
              </w:rPr>
              <w:instrText xml:space="preserve"> PAGEREF _Toc192509379 \h </w:instrText>
            </w:r>
            <w:r w:rsidRPr="00720B94">
              <w:rPr>
                <w:noProof/>
                <w:webHidden/>
              </w:rPr>
            </w:r>
            <w:r w:rsidRPr="00720B94">
              <w:rPr>
                <w:noProof/>
                <w:webHidden/>
              </w:rPr>
              <w:fldChar w:fldCharType="separate"/>
            </w:r>
            <w:r w:rsidR="00A247F7">
              <w:rPr>
                <w:noProof/>
                <w:webHidden/>
              </w:rPr>
              <w:t>36</w:t>
            </w:r>
            <w:r w:rsidRPr="00720B94">
              <w:rPr>
                <w:noProof/>
                <w:webHidden/>
              </w:rPr>
              <w:fldChar w:fldCharType="end"/>
            </w:r>
          </w:hyperlink>
        </w:p>
        <w:p w14:paraId="67CBC7CB" w14:textId="6FE85BC2" w:rsidR="00505339" w:rsidRPr="00720B94" w:rsidRDefault="00505339" w:rsidP="00720B94">
          <w:pPr>
            <w:pStyle w:val="TOC1"/>
            <w:rPr>
              <w:rFonts w:asciiTheme="minorHAnsi" w:eastAsiaTheme="minorEastAsia" w:hAnsiTheme="minorHAnsi"/>
              <w:noProof/>
              <w:kern w:val="2"/>
              <w:sz w:val="24"/>
              <w:szCs w:val="24"/>
              <w14:ligatures w14:val="standardContextual"/>
            </w:rPr>
          </w:pPr>
          <w:hyperlink w:anchor="_Toc192509380" w:history="1">
            <w:r w:rsidRPr="009F65B4">
              <w:rPr>
                <w:rStyle w:val="Hyperlink"/>
                <w:noProof/>
                <w:color w:val="auto"/>
              </w:rPr>
              <w:t>Research with Select Agents &amp; Toxins</w:t>
            </w:r>
            <w:r w:rsidRPr="00720B94">
              <w:rPr>
                <w:noProof/>
                <w:webHidden/>
              </w:rPr>
              <w:tab/>
            </w:r>
            <w:r w:rsidRPr="00720B94">
              <w:rPr>
                <w:noProof/>
                <w:webHidden/>
              </w:rPr>
              <w:fldChar w:fldCharType="begin"/>
            </w:r>
            <w:r w:rsidRPr="00720B94">
              <w:rPr>
                <w:noProof/>
                <w:webHidden/>
              </w:rPr>
              <w:instrText xml:space="preserve"> PAGEREF _Toc192509380 \h </w:instrText>
            </w:r>
            <w:r w:rsidRPr="00720B94">
              <w:rPr>
                <w:noProof/>
                <w:webHidden/>
              </w:rPr>
            </w:r>
            <w:r w:rsidRPr="00720B94">
              <w:rPr>
                <w:noProof/>
                <w:webHidden/>
              </w:rPr>
              <w:fldChar w:fldCharType="separate"/>
            </w:r>
            <w:r w:rsidR="00A247F7">
              <w:rPr>
                <w:noProof/>
                <w:webHidden/>
              </w:rPr>
              <w:t>36</w:t>
            </w:r>
            <w:r w:rsidRPr="00720B94">
              <w:rPr>
                <w:noProof/>
                <w:webHidden/>
              </w:rPr>
              <w:fldChar w:fldCharType="end"/>
            </w:r>
          </w:hyperlink>
        </w:p>
        <w:p w14:paraId="0FBCAD5C" w14:textId="064C7B71" w:rsidR="00505339" w:rsidRPr="00720B94" w:rsidRDefault="00505339" w:rsidP="00720B94">
          <w:pPr>
            <w:pStyle w:val="TOC1"/>
            <w:rPr>
              <w:rFonts w:asciiTheme="minorHAnsi" w:eastAsiaTheme="minorEastAsia" w:hAnsiTheme="minorHAnsi"/>
              <w:noProof/>
              <w:kern w:val="2"/>
              <w:sz w:val="24"/>
              <w:szCs w:val="24"/>
              <w14:ligatures w14:val="standardContextual"/>
            </w:rPr>
          </w:pPr>
          <w:hyperlink w:anchor="_Toc192509381" w:history="1">
            <w:r w:rsidRPr="009F65B4">
              <w:rPr>
                <w:rStyle w:val="Hyperlink"/>
                <w:noProof/>
                <w:color w:val="auto"/>
              </w:rPr>
              <w:t>Biosafety Regulations &amp; Resources</w:t>
            </w:r>
            <w:r w:rsidRPr="00720B94">
              <w:rPr>
                <w:noProof/>
                <w:webHidden/>
              </w:rPr>
              <w:tab/>
            </w:r>
            <w:r w:rsidRPr="00720B94">
              <w:rPr>
                <w:noProof/>
                <w:webHidden/>
              </w:rPr>
              <w:fldChar w:fldCharType="begin"/>
            </w:r>
            <w:r w:rsidRPr="00720B94">
              <w:rPr>
                <w:noProof/>
                <w:webHidden/>
              </w:rPr>
              <w:instrText xml:space="preserve"> PAGEREF _Toc192509381 \h </w:instrText>
            </w:r>
            <w:r w:rsidRPr="00720B94">
              <w:rPr>
                <w:noProof/>
                <w:webHidden/>
              </w:rPr>
            </w:r>
            <w:r w:rsidRPr="00720B94">
              <w:rPr>
                <w:noProof/>
                <w:webHidden/>
              </w:rPr>
              <w:fldChar w:fldCharType="separate"/>
            </w:r>
            <w:r w:rsidR="00A247F7">
              <w:rPr>
                <w:noProof/>
                <w:webHidden/>
              </w:rPr>
              <w:t>37</w:t>
            </w:r>
            <w:r w:rsidRPr="00720B94">
              <w:rPr>
                <w:noProof/>
                <w:webHidden/>
              </w:rPr>
              <w:fldChar w:fldCharType="end"/>
            </w:r>
          </w:hyperlink>
        </w:p>
        <w:p w14:paraId="54536A81" w14:textId="0811A220" w:rsidR="00505339" w:rsidRPr="00720B94" w:rsidRDefault="00505339" w:rsidP="00720B94">
          <w:pPr>
            <w:pStyle w:val="TOC2"/>
            <w:rPr>
              <w:rFonts w:asciiTheme="minorHAnsi" w:eastAsiaTheme="minorEastAsia" w:hAnsiTheme="minorHAnsi"/>
              <w:noProof/>
              <w:kern w:val="2"/>
              <w:sz w:val="24"/>
              <w:szCs w:val="24"/>
              <w14:ligatures w14:val="standardContextual"/>
            </w:rPr>
          </w:pPr>
          <w:hyperlink w:anchor="_Toc192509382" w:history="1">
            <w:r w:rsidRPr="009F65B4">
              <w:rPr>
                <w:rStyle w:val="Hyperlink"/>
                <w:noProof/>
                <w:color w:val="auto"/>
              </w:rPr>
              <w:t>Regulations</w:t>
            </w:r>
            <w:r w:rsidRPr="00720B94">
              <w:rPr>
                <w:noProof/>
                <w:webHidden/>
              </w:rPr>
              <w:tab/>
            </w:r>
            <w:r w:rsidRPr="00720B94">
              <w:rPr>
                <w:noProof/>
                <w:webHidden/>
              </w:rPr>
              <w:fldChar w:fldCharType="begin"/>
            </w:r>
            <w:r w:rsidRPr="00720B94">
              <w:rPr>
                <w:noProof/>
                <w:webHidden/>
              </w:rPr>
              <w:instrText xml:space="preserve"> PAGEREF _Toc192509382 \h </w:instrText>
            </w:r>
            <w:r w:rsidRPr="00720B94">
              <w:rPr>
                <w:noProof/>
                <w:webHidden/>
              </w:rPr>
            </w:r>
            <w:r w:rsidRPr="00720B94">
              <w:rPr>
                <w:noProof/>
                <w:webHidden/>
              </w:rPr>
              <w:fldChar w:fldCharType="separate"/>
            </w:r>
            <w:r w:rsidR="00A247F7">
              <w:rPr>
                <w:noProof/>
                <w:webHidden/>
              </w:rPr>
              <w:t>37</w:t>
            </w:r>
            <w:r w:rsidRPr="00720B94">
              <w:rPr>
                <w:noProof/>
                <w:webHidden/>
              </w:rPr>
              <w:fldChar w:fldCharType="end"/>
            </w:r>
          </w:hyperlink>
        </w:p>
        <w:p w14:paraId="1F29A6AA" w14:textId="418CEE0F" w:rsidR="00505339" w:rsidRPr="00720B94" w:rsidRDefault="00505339" w:rsidP="00720B94">
          <w:pPr>
            <w:pStyle w:val="TOC2"/>
            <w:rPr>
              <w:rFonts w:asciiTheme="minorHAnsi" w:eastAsiaTheme="minorEastAsia" w:hAnsiTheme="minorHAnsi"/>
              <w:noProof/>
              <w:kern w:val="2"/>
              <w:sz w:val="24"/>
              <w:szCs w:val="24"/>
              <w14:ligatures w14:val="standardContextual"/>
            </w:rPr>
          </w:pPr>
          <w:hyperlink w:anchor="_Toc192509383" w:history="1">
            <w:r w:rsidRPr="009F65B4">
              <w:rPr>
                <w:rStyle w:val="Hyperlink"/>
                <w:noProof/>
                <w:color w:val="auto"/>
              </w:rPr>
              <w:t>UWL Policies, Procedures, &amp; Resources</w:t>
            </w:r>
            <w:r w:rsidRPr="00720B94">
              <w:rPr>
                <w:noProof/>
                <w:webHidden/>
              </w:rPr>
              <w:tab/>
            </w:r>
            <w:r w:rsidRPr="00720B94">
              <w:rPr>
                <w:noProof/>
                <w:webHidden/>
              </w:rPr>
              <w:fldChar w:fldCharType="begin"/>
            </w:r>
            <w:r w:rsidRPr="00720B94">
              <w:rPr>
                <w:noProof/>
                <w:webHidden/>
              </w:rPr>
              <w:instrText xml:space="preserve"> PAGEREF _Toc192509383 \h </w:instrText>
            </w:r>
            <w:r w:rsidRPr="00720B94">
              <w:rPr>
                <w:noProof/>
                <w:webHidden/>
              </w:rPr>
            </w:r>
            <w:r w:rsidRPr="00720B94">
              <w:rPr>
                <w:noProof/>
                <w:webHidden/>
              </w:rPr>
              <w:fldChar w:fldCharType="separate"/>
            </w:r>
            <w:r w:rsidR="00A247F7">
              <w:rPr>
                <w:noProof/>
                <w:webHidden/>
              </w:rPr>
              <w:t>37</w:t>
            </w:r>
            <w:r w:rsidRPr="00720B94">
              <w:rPr>
                <w:noProof/>
                <w:webHidden/>
              </w:rPr>
              <w:fldChar w:fldCharType="end"/>
            </w:r>
          </w:hyperlink>
        </w:p>
        <w:p w14:paraId="1BEB8C65" w14:textId="40599611" w:rsidR="00505339" w:rsidRPr="00720B94" w:rsidRDefault="00505339" w:rsidP="00720B94">
          <w:pPr>
            <w:pStyle w:val="TOC2"/>
            <w:rPr>
              <w:rFonts w:asciiTheme="minorHAnsi" w:eastAsiaTheme="minorEastAsia" w:hAnsiTheme="minorHAnsi"/>
              <w:noProof/>
              <w:kern w:val="2"/>
              <w:sz w:val="24"/>
              <w:szCs w:val="24"/>
              <w14:ligatures w14:val="standardContextual"/>
            </w:rPr>
          </w:pPr>
          <w:hyperlink w:anchor="_Toc192509384" w:history="1">
            <w:r w:rsidRPr="009F65B4">
              <w:rPr>
                <w:rStyle w:val="Hyperlink"/>
                <w:noProof/>
                <w:color w:val="auto"/>
              </w:rPr>
              <w:t>Other Resources</w:t>
            </w:r>
            <w:r w:rsidRPr="00720B94">
              <w:rPr>
                <w:noProof/>
                <w:webHidden/>
              </w:rPr>
              <w:tab/>
            </w:r>
            <w:r w:rsidRPr="00720B94">
              <w:rPr>
                <w:noProof/>
                <w:webHidden/>
              </w:rPr>
              <w:fldChar w:fldCharType="begin"/>
            </w:r>
            <w:r w:rsidRPr="00720B94">
              <w:rPr>
                <w:noProof/>
                <w:webHidden/>
              </w:rPr>
              <w:instrText xml:space="preserve"> PAGEREF _Toc192509384 \h </w:instrText>
            </w:r>
            <w:r w:rsidRPr="00720B94">
              <w:rPr>
                <w:noProof/>
                <w:webHidden/>
              </w:rPr>
            </w:r>
            <w:r w:rsidRPr="00720B94">
              <w:rPr>
                <w:noProof/>
                <w:webHidden/>
              </w:rPr>
              <w:fldChar w:fldCharType="separate"/>
            </w:r>
            <w:r w:rsidR="00A247F7">
              <w:rPr>
                <w:noProof/>
                <w:webHidden/>
              </w:rPr>
              <w:t>38</w:t>
            </w:r>
            <w:r w:rsidRPr="00720B94">
              <w:rPr>
                <w:noProof/>
                <w:webHidden/>
              </w:rPr>
              <w:fldChar w:fldCharType="end"/>
            </w:r>
          </w:hyperlink>
        </w:p>
        <w:p w14:paraId="3675C0DB" w14:textId="4CEC9E7A" w:rsidR="00505339" w:rsidRPr="00720B94" w:rsidRDefault="00505339" w:rsidP="00720B94">
          <w:pPr>
            <w:pStyle w:val="TOC1"/>
            <w:rPr>
              <w:rFonts w:asciiTheme="minorHAnsi" w:eastAsiaTheme="minorEastAsia" w:hAnsiTheme="minorHAnsi"/>
              <w:noProof/>
              <w:kern w:val="2"/>
              <w:sz w:val="24"/>
              <w:szCs w:val="24"/>
              <w14:ligatures w14:val="standardContextual"/>
            </w:rPr>
          </w:pPr>
          <w:hyperlink w:anchor="_Toc192509385" w:history="1">
            <w:r w:rsidRPr="009F65B4">
              <w:rPr>
                <w:rStyle w:val="Hyperlink"/>
                <w:noProof/>
                <w:color w:val="auto"/>
              </w:rPr>
              <w:t>Glossary of Terms</w:t>
            </w:r>
            <w:r w:rsidRPr="00720B94">
              <w:rPr>
                <w:noProof/>
                <w:webHidden/>
              </w:rPr>
              <w:tab/>
            </w:r>
            <w:r w:rsidRPr="00720B94">
              <w:rPr>
                <w:noProof/>
                <w:webHidden/>
              </w:rPr>
              <w:fldChar w:fldCharType="begin"/>
            </w:r>
            <w:r w:rsidRPr="00720B94">
              <w:rPr>
                <w:noProof/>
                <w:webHidden/>
              </w:rPr>
              <w:instrText xml:space="preserve"> PAGEREF _Toc192509385 \h </w:instrText>
            </w:r>
            <w:r w:rsidRPr="00720B94">
              <w:rPr>
                <w:noProof/>
                <w:webHidden/>
              </w:rPr>
            </w:r>
            <w:r w:rsidRPr="00720B94">
              <w:rPr>
                <w:noProof/>
                <w:webHidden/>
              </w:rPr>
              <w:fldChar w:fldCharType="separate"/>
            </w:r>
            <w:r w:rsidR="00A247F7">
              <w:rPr>
                <w:noProof/>
                <w:webHidden/>
              </w:rPr>
              <w:t>38</w:t>
            </w:r>
            <w:r w:rsidRPr="00720B94">
              <w:rPr>
                <w:noProof/>
                <w:webHidden/>
              </w:rPr>
              <w:fldChar w:fldCharType="end"/>
            </w:r>
          </w:hyperlink>
        </w:p>
        <w:p w14:paraId="5E7453F2" w14:textId="0F7460B2" w:rsidR="00505339" w:rsidRPr="00720B94" w:rsidRDefault="00505339" w:rsidP="00720B94">
          <w:pPr>
            <w:pStyle w:val="TOC1"/>
            <w:rPr>
              <w:rFonts w:asciiTheme="minorHAnsi" w:eastAsiaTheme="minorEastAsia" w:hAnsiTheme="minorHAnsi"/>
              <w:noProof/>
              <w:kern w:val="2"/>
              <w:sz w:val="24"/>
              <w:szCs w:val="24"/>
              <w14:ligatures w14:val="standardContextual"/>
            </w:rPr>
          </w:pPr>
          <w:hyperlink w:anchor="_Toc192509386" w:history="1">
            <w:r w:rsidRPr="009F65B4">
              <w:rPr>
                <w:rStyle w:val="Hyperlink"/>
                <w:noProof/>
                <w:color w:val="auto"/>
              </w:rPr>
              <w:t>Glossary of Acronyms</w:t>
            </w:r>
            <w:r w:rsidRPr="00720B94">
              <w:rPr>
                <w:noProof/>
                <w:webHidden/>
              </w:rPr>
              <w:tab/>
            </w:r>
            <w:r w:rsidRPr="00720B94">
              <w:rPr>
                <w:noProof/>
                <w:webHidden/>
              </w:rPr>
              <w:fldChar w:fldCharType="begin"/>
            </w:r>
            <w:r w:rsidRPr="00720B94">
              <w:rPr>
                <w:noProof/>
                <w:webHidden/>
              </w:rPr>
              <w:instrText xml:space="preserve"> PAGEREF _Toc192509386 \h </w:instrText>
            </w:r>
            <w:r w:rsidRPr="00720B94">
              <w:rPr>
                <w:noProof/>
                <w:webHidden/>
              </w:rPr>
            </w:r>
            <w:r w:rsidRPr="00720B94">
              <w:rPr>
                <w:noProof/>
                <w:webHidden/>
              </w:rPr>
              <w:fldChar w:fldCharType="separate"/>
            </w:r>
            <w:r w:rsidR="00A247F7">
              <w:rPr>
                <w:noProof/>
                <w:webHidden/>
              </w:rPr>
              <w:t>38</w:t>
            </w:r>
            <w:r w:rsidRPr="00720B94">
              <w:rPr>
                <w:noProof/>
                <w:webHidden/>
              </w:rPr>
              <w:fldChar w:fldCharType="end"/>
            </w:r>
          </w:hyperlink>
        </w:p>
        <w:p w14:paraId="2FC54235" w14:textId="7EDF4B3D" w:rsidR="00505339" w:rsidRPr="00720B94" w:rsidRDefault="00505339" w:rsidP="00720B94">
          <w:pPr>
            <w:pStyle w:val="TOC1"/>
            <w:rPr>
              <w:rFonts w:asciiTheme="minorHAnsi" w:eastAsiaTheme="minorEastAsia" w:hAnsiTheme="minorHAnsi"/>
              <w:noProof/>
              <w:kern w:val="2"/>
              <w:sz w:val="24"/>
              <w:szCs w:val="24"/>
              <w14:ligatures w14:val="standardContextual"/>
            </w:rPr>
          </w:pPr>
          <w:hyperlink w:anchor="_Toc192509387" w:history="1">
            <w:r w:rsidRPr="009F65B4">
              <w:rPr>
                <w:rStyle w:val="Hyperlink"/>
                <w:b/>
                <w:bCs/>
                <w:noProof/>
                <w:color w:val="auto"/>
              </w:rPr>
              <w:t>Appendix A</w:t>
            </w:r>
            <w:r w:rsidR="0020763C" w:rsidRPr="009F65B4">
              <w:rPr>
                <w:rStyle w:val="Hyperlink"/>
                <w:b/>
                <w:bCs/>
                <w:noProof/>
                <w:color w:val="auto"/>
              </w:rPr>
              <w:t xml:space="preserve"> – Materials Requiring a Biosafety Protocol</w:t>
            </w:r>
            <w:r w:rsidRPr="00720B94">
              <w:rPr>
                <w:noProof/>
                <w:webHidden/>
              </w:rPr>
              <w:tab/>
            </w:r>
            <w:r w:rsidRPr="00720B94">
              <w:rPr>
                <w:noProof/>
                <w:webHidden/>
              </w:rPr>
              <w:fldChar w:fldCharType="begin"/>
            </w:r>
            <w:r w:rsidRPr="00720B94">
              <w:rPr>
                <w:noProof/>
                <w:webHidden/>
              </w:rPr>
              <w:instrText xml:space="preserve"> PAGEREF _Toc192509387 \h </w:instrText>
            </w:r>
            <w:r w:rsidRPr="00720B94">
              <w:rPr>
                <w:noProof/>
                <w:webHidden/>
              </w:rPr>
            </w:r>
            <w:r w:rsidRPr="00720B94">
              <w:rPr>
                <w:noProof/>
                <w:webHidden/>
              </w:rPr>
              <w:fldChar w:fldCharType="separate"/>
            </w:r>
            <w:r w:rsidR="00A247F7">
              <w:rPr>
                <w:noProof/>
                <w:webHidden/>
              </w:rPr>
              <w:t>39</w:t>
            </w:r>
            <w:r w:rsidRPr="00720B94">
              <w:rPr>
                <w:noProof/>
                <w:webHidden/>
              </w:rPr>
              <w:fldChar w:fldCharType="end"/>
            </w:r>
          </w:hyperlink>
        </w:p>
        <w:p w14:paraId="3D89B62F" w14:textId="24E75E4C" w:rsidR="00505339" w:rsidRPr="00720B94" w:rsidRDefault="00505339" w:rsidP="00720B94">
          <w:pPr>
            <w:pStyle w:val="TOC1"/>
            <w:rPr>
              <w:rFonts w:asciiTheme="minorHAnsi" w:eastAsiaTheme="minorEastAsia" w:hAnsiTheme="minorHAnsi"/>
              <w:noProof/>
              <w:kern w:val="2"/>
              <w:sz w:val="24"/>
              <w:szCs w:val="24"/>
              <w14:ligatures w14:val="standardContextual"/>
            </w:rPr>
          </w:pPr>
          <w:hyperlink w:anchor="_Toc192509388" w:history="1">
            <w:r w:rsidRPr="009F65B4">
              <w:rPr>
                <w:rStyle w:val="Hyperlink"/>
                <w:b/>
                <w:bCs/>
                <w:noProof/>
                <w:color w:val="auto"/>
              </w:rPr>
              <w:t>Appendix B</w:t>
            </w:r>
            <w:r w:rsidR="0020763C" w:rsidRPr="009F65B4">
              <w:rPr>
                <w:rStyle w:val="Hyperlink"/>
                <w:b/>
                <w:bCs/>
                <w:noProof/>
                <w:color w:val="auto"/>
              </w:rPr>
              <w:t xml:space="preserve"> </w:t>
            </w:r>
            <w:r w:rsidR="004922DF" w:rsidRPr="009F65B4">
              <w:rPr>
                <w:rStyle w:val="Hyperlink"/>
                <w:b/>
                <w:bCs/>
                <w:noProof/>
                <w:color w:val="auto"/>
              </w:rPr>
              <w:t>–</w:t>
            </w:r>
            <w:r w:rsidR="0020763C" w:rsidRPr="009F65B4">
              <w:rPr>
                <w:rStyle w:val="Hyperlink"/>
                <w:b/>
                <w:bCs/>
                <w:noProof/>
                <w:color w:val="auto"/>
              </w:rPr>
              <w:t xml:space="preserve"> </w:t>
            </w:r>
            <w:r w:rsidR="004922DF" w:rsidRPr="009F65B4">
              <w:rPr>
                <w:rStyle w:val="Hyperlink"/>
                <w:b/>
                <w:bCs/>
                <w:noProof/>
                <w:color w:val="auto"/>
              </w:rPr>
              <w:t>Risk Groups &amp; Biosafety Levels</w:t>
            </w:r>
            <w:r w:rsidRPr="00720B94">
              <w:rPr>
                <w:noProof/>
                <w:webHidden/>
              </w:rPr>
              <w:tab/>
            </w:r>
            <w:r w:rsidRPr="00720B94">
              <w:rPr>
                <w:noProof/>
                <w:webHidden/>
              </w:rPr>
              <w:fldChar w:fldCharType="begin"/>
            </w:r>
            <w:r w:rsidRPr="00720B94">
              <w:rPr>
                <w:noProof/>
                <w:webHidden/>
              </w:rPr>
              <w:instrText xml:space="preserve"> PAGEREF _Toc192509388 \h </w:instrText>
            </w:r>
            <w:r w:rsidRPr="00720B94">
              <w:rPr>
                <w:noProof/>
                <w:webHidden/>
              </w:rPr>
            </w:r>
            <w:r w:rsidRPr="00720B94">
              <w:rPr>
                <w:noProof/>
                <w:webHidden/>
              </w:rPr>
              <w:fldChar w:fldCharType="separate"/>
            </w:r>
            <w:r w:rsidR="00A247F7">
              <w:rPr>
                <w:noProof/>
                <w:webHidden/>
              </w:rPr>
              <w:t>40</w:t>
            </w:r>
            <w:r w:rsidRPr="00720B94">
              <w:rPr>
                <w:noProof/>
                <w:webHidden/>
              </w:rPr>
              <w:fldChar w:fldCharType="end"/>
            </w:r>
          </w:hyperlink>
        </w:p>
        <w:p w14:paraId="671EF520" w14:textId="755FC319" w:rsidR="00505339" w:rsidRPr="00720B94" w:rsidRDefault="00505339" w:rsidP="00720B94">
          <w:pPr>
            <w:pStyle w:val="TOC3"/>
            <w:tabs>
              <w:tab w:val="right" w:leader="dot" w:pos="10070"/>
            </w:tabs>
            <w:rPr>
              <w:rFonts w:asciiTheme="minorHAnsi" w:eastAsiaTheme="minorEastAsia" w:hAnsiTheme="minorHAnsi"/>
              <w:noProof/>
              <w:kern w:val="2"/>
              <w:sz w:val="24"/>
              <w:szCs w:val="24"/>
              <w14:ligatures w14:val="standardContextual"/>
            </w:rPr>
          </w:pPr>
          <w:hyperlink w:anchor="_Toc192509389" w:history="1">
            <w:r w:rsidRPr="009F65B4">
              <w:rPr>
                <w:rStyle w:val="Hyperlink"/>
                <w:rFonts w:eastAsia="Arial"/>
                <w:noProof/>
                <w:color w:val="auto"/>
              </w:rPr>
              <w:t>Summary of Risk Groups (RGs)</w:t>
            </w:r>
            <w:r w:rsidRPr="00720B94">
              <w:rPr>
                <w:noProof/>
                <w:webHidden/>
              </w:rPr>
              <w:tab/>
            </w:r>
            <w:r w:rsidRPr="00720B94">
              <w:rPr>
                <w:noProof/>
                <w:webHidden/>
              </w:rPr>
              <w:fldChar w:fldCharType="begin"/>
            </w:r>
            <w:r w:rsidRPr="00720B94">
              <w:rPr>
                <w:noProof/>
                <w:webHidden/>
              </w:rPr>
              <w:instrText xml:space="preserve"> PAGEREF _Toc192509389 \h </w:instrText>
            </w:r>
            <w:r w:rsidRPr="00720B94">
              <w:rPr>
                <w:noProof/>
                <w:webHidden/>
              </w:rPr>
            </w:r>
            <w:r w:rsidRPr="00720B94">
              <w:rPr>
                <w:noProof/>
                <w:webHidden/>
              </w:rPr>
              <w:fldChar w:fldCharType="separate"/>
            </w:r>
            <w:r w:rsidR="00A247F7">
              <w:rPr>
                <w:noProof/>
                <w:webHidden/>
              </w:rPr>
              <w:t>40</w:t>
            </w:r>
            <w:r w:rsidRPr="00720B94">
              <w:rPr>
                <w:noProof/>
                <w:webHidden/>
              </w:rPr>
              <w:fldChar w:fldCharType="end"/>
            </w:r>
          </w:hyperlink>
        </w:p>
        <w:p w14:paraId="29AEB47A" w14:textId="4180C4CA" w:rsidR="00505339" w:rsidRPr="00720B94" w:rsidRDefault="00505339" w:rsidP="00720B94">
          <w:pPr>
            <w:pStyle w:val="TOC3"/>
            <w:tabs>
              <w:tab w:val="right" w:leader="dot" w:pos="10070"/>
            </w:tabs>
            <w:rPr>
              <w:rFonts w:asciiTheme="minorHAnsi" w:eastAsiaTheme="minorEastAsia" w:hAnsiTheme="minorHAnsi"/>
              <w:noProof/>
              <w:kern w:val="2"/>
              <w:sz w:val="24"/>
              <w:szCs w:val="24"/>
              <w14:ligatures w14:val="standardContextual"/>
            </w:rPr>
          </w:pPr>
          <w:hyperlink w:anchor="_Toc192509390" w:history="1">
            <w:r w:rsidRPr="009F65B4">
              <w:rPr>
                <w:rStyle w:val="Hyperlink"/>
                <w:noProof/>
                <w:color w:val="auto"/>
              </w:rPr>
              <w:t>Summary of Biosafety Levels (BSLs)</w:t>
            </w:r>
            <w:r w:rsidRPr="00720B94">
              <w:rPr>
                <w:noProof/>
                <w:webHidden/>
              </w:rPr>
              <w:tab/>
            </w:r>
            <w:r w:rsidRPr="00720B94">
              <w:rPr>
                <w:noProof/>
                <w:webHidden/>
              </w:rPr>
              <w:fldChar w:fldCharType="begin"/>
            </w:r>
            <w:r w:rsidRPr="00720B94">
              <w:rPr>
                <w:noProof/>
                <w:webHidden/>
              </w:rPr>
              <w:instrText xml:space="preserve"> PAGEREF _Toc192509390 \h </w:instrText>
            </w:r>
            <w:r w:rsidRPr="00720B94">
              <w:rPr>
                <w:noProof/>
                <w:webHidden/>
              </w:rPr>
            </w:r>
            <w:r w:rsidRPr="00720B94">
              <w:rPr>
                <w:noProof/>
                <w:webHidden/>
              </w:rPr>
              <w:fldChar w:fldCharType="separate"/>
            </w:r>
            <w:r w:rsidR="00A247F7">
              <w:rPr>
                <w:noProof/>
                <w:webHidden/>
              </w:rPr>
              <w:t>41</w:t>
            </w:r>
            <w:r w:rsidRPr="00720B94">
              <w:rPr>
                <w:noProof/>
                <w:webHidden/>
              </w:rPr>
              <w:fldChar w:fldCharType="end"/>
            </w:r>
          </w:hyperlink>
        </w:p>
        <w:p w14:paraId="2E4E7CB8" w14:textId="1D666984" w:rsidR="00505339" w:rsidRPr="00720B94" w:rsidRDefault="00505339" w:rsidP="00720B94">
          <w:pPr>
            <w:pStyle w:val="TOC1"/>
            <w:rPr>
              <w:rFonts w:asciiTheme="minorHAnsi" w:eastAsiaTheme="minorEastAsia" w:hAnsiTheme="minorHAnsi"/>
              <w:noProof/>
              <w:kern w:val="2"/>
              <w:sz w:val="24"/>
              <w:szCs w:val="24"/>
              <w14:ligatures w14:val="standardContextual"/>
            </w:rPr>
          </w:pPr>
          <w:hyperlink w:anchor="_Toc192509391" w:history="1">
            <w:r w:rsidRPr="009F65B4">
              <w:rPr>
                <w:rStyle w:val="Hyperlink"/>
                <w:b/>
                <w:bCs/>
                <w:noProof/>
                <w:color w:val="auto"/>
              </w:rPr>
              <w:t>Appendix C</w:t>
            </w:r>
            <w:r w:rsidR="004922DF" w:rsidRPr="009F65B4">
              <w:rPr>
                <w:rStyle w:val="Hyperlink"/>
                <w:b/>
                <w:bCs/>
                <w:noProof/>
                <w:color w:val="auto"/>
              </w:rPr>
              <w:t xml:space="preserve"> – Practices and Procedures: BSL3 Manual Requirements</w:t>
            </w:r>
            <w:r w:rsidRPr="00720B94">
              <w:rPr>
                <w:noProof/>
                <w:webHidden/>
              </w:rPr>
              <w:tab/>
            </w:r>
            <w:r w:rsidRPr="00720B94">
              <w:rPr>
                <w:noProof/>
                <w:webHidden/>
              </w:rPr>
              <w:fldChar w:fldCharType="begin"/>
            </w:r>
            <w:r w:rsidRPr="00720B94">
              <w:rPr>
                <w:noProof/>
                <w:webHidden/>
              </w:rPr>
              <w:instrText xml:space="preserve"> PAGEREF _Toc192509391 \h </w:instrText>
            </w:r>
            <w:r w:rsidRPr="00720B94">
              <w:rPr>
                <w:noProof/>
                <w:webHidden/>
              </w:rPr>
            </w:r>
            <w:r w:rsidRPr="00720B94">
              <w:rPr>
                <w:noProof/>
                <w:webHidden/>
              </w:rPr>
              <w:fldChar w:fldCharType="separate"/>
            </w:r>
            <w:r w:rsidR="00A247F7">
              <w:rPr>
                <w:noProof/>
                <w:webHidden/>
              </w:rPr>
              <w:t>42</w:t>
            </w:r>
            <w:r w:rsidRPr="00720B94">
              <w:rPr>
                <w:noProof/>
                <w:webHidden/>
              </w:rPr>
              <w:fldChar w:fldCharType="end"/>
            </w:r>
          </w:hyperlink>
        </w:p>
        <w:p w14:paraId="141374DD" w14:textId="52FF0C44" w:rsidR="00505339" w:rsidRPr="00720B94" w:rsidRDefault="00505339" w:rsidP="00720B94">
          <w:pPr>
            <w:pStyle w:val="TOC1"/>
            <w:rPr>
              <w:rFonts w:asciiTheme="minorHAnsi" w:eastAsiaTheme="minorEastAsia" w:hAnsiTheme="minorHAnsi"/>
              <w:noProof/>
              <w:kern w:val="2"/>
              <w:sz w:val="24"/>
              <w:szCs w:val="24"/>
              <w14:ligatures w14:val="standardContextual"/>
            </w:rPr>
          </w:pPr>
          <w:hyperlink w:anchor="_Toc192509392" w:history="1">
            <w:r w:rsidRPr="009F65B4">
              <w:rPr>
                <w:rStyle w:val="Hyperlink"/>
                <w:b/>
                <w:bCs/>
                <w:noProof/>
                <w:color w:val="auto"/>
              </w:rPr>
              <w:t>Appendix D</w:t>
            </w:r>
            <w:r w:rsidR="004922DF" w:rsidRPr="009F65B4">
              <w:rPr>
                <w:rStyle w:val="Hyperlink"/>
                <w:b/>
                <w:bCs/>
                <w:noProof/>
                <w:color w:val="auto"/>
              </w:rPr>
              <w:t xml:space="preserve"> – Summary of Safety Practices: Biosafety Level 1-3</w:t>
            </w:r>
            <w:r w:rsidRPr="00720B94">
              <w:rPr>
                <w:noProof/>
                <w:webHidden/>
              </w:rPr>
              <w:tab/>
            </w:r>
            <w:r w:rsidRPr="00720B94">
              <w:rPr>
                <w:noProof/>
                <w:webHidden/>
              </w:rPr>
              <w:fldChar w:fldCharType="begin"/>
            </w:r>
            <w:r w:rsidRPr="00720B94">
              <w:rPr>
                <w:noProof/>
                <w:webHidden/>
              </w:rPr>
              <w:instrText xml:space="preserve"> PAGEREF _Toc192509392 \h </w:instrText>
            </w:r>
            <w:r w:rsidRPr="00720B94">
              <w:rPr>
                <w:noProof/>
                <w:webHidden/>
              </w:rPr>
            </w:r>
            <w:r w:rsidRPr="00720B94">
              <w:rPr>
                <w:noProof/>
                <w:webHidden/>
              </w:rPr>
              <w:fldChar w:fldCharType="separate"/>
            </w:r>
            <w:r w:rsidR="00A247F7">
              <w:rPr>
                <w:noProof/>
                <w:webHidden/>
              </w:rPr>
              <w:t>45</w:t>
            </w:r>
            <w:r w:rsidRPr="00720B94">
              <w:rPr>
                <w:noProof/>
                <w:webHidden/>
              </w:rPr>
              <w:fldChar w:fldCharType="end"/>
            </w:r>
          </w:hyperlink>
        </w:p>
        <w:p w14:paraId="497709D7" w14:textId="49AB2210" w:rsidR="00505339" w:rsidRPr="00720B94" w:rsidRDefault="00505339" w:rsidP="00720B94">
          <w:pPr>
            <w:pStyle w:val="TOC1"/>
            <w:rPr>
              <w:rFonts w:asciiTheme="minorHAnsi" w:eastAsiaTheme="minorEastAsia" w:hAnsiTheme="minorHAnsi"/>
              <w:noProof/>
              <w:kern w:val="2"/>
              <w:sz w:val="24"/>
              <w:szCs w:val="24"/>
              <w14:ligatures w14:val="standardContextual"/>
            </w:rPr>
          </w:pPr>
          <w:hyperlink w:anchor="_Toc192509393" w:history="1">
            <w:r w:rsidRPr="009F65B4">
              <w:rPr>
                <w:rStyle w:val="Hyperlink"/>
                <w:b/>
                <w:bCs/>
                <w:noProof/>
                <w:color w:val="auto"/>
              </w:rPr>
              <w:t>Appendix E</w:t>
            </w:r>
            <w:r w:rsidR="004922DF" w:rsidRPr="009F65B4">
              <w:rPr>
                <w:rStyle w:val="Hyperlink"/>
                <w:b/>
                <w:bCs/>
                <w:noProof/>
                <w:color w:val="auto"/>
              </w:rPr>
              <w:t xml:space="preserve"> – Animal Biosafety</w:t>
            </w:r>
            <w:r w:rsidRPr="00720B94">
              <w:rPr>
                <w:noProof/>
                <w:webHidden/>
              </w:rPr>
              <w:tab/>
            </w:r>
            <w:r w:rsidRPr="00720B94">
              <w:rPr>
                <w:noProof/>
                <w:webHidden/>
              </w:rPr>
              <w:fldChar w:fldCharType="begin"/>
            </w:r>
            <w:r w:rsidRPr="00720B94">
              <w:rPr>
                <w:noProof/>
                <w:webHidden/>
              </w:rPr>
              <w:instrText xml:space="preserve"> PAGEREF _Toc192509393 \h </w:instrText>
            </w:r>
            <w:r w:rsidRPr="00720B94">
              <w:rPr>
                <w:noProof/>
                <w:webHidden/>
              </w:rPr>
            </w:r>
            <w:r w:rsidRPr="00720B94">
              <w:rPr>
                <w:noProof/>
                <w:webHidden/>
              </w:rPr>
              <w:fldChar w:fldCharType="separate"/>
            </w:r>
            <w:r w:rsidR="00A247F7">
              <w:rPr>
                <w:noProof/>
                <w:webHidden/>
              </w:rPr>
              <w:t>47</w:t>
            </w:r>
            <w:r w:rsidRPr="00720B94">
              <w:rPr>
                <w:noProof/>
                <w:webHidden/>
              </w:rPr>
              <w:fldChar w:fldCharType="end"/>
            </w:r>
          </w:hyperlink>
        </w:p>
        <w:p w14:paraId="76C168D9" w14:textId="4036B0B4" w:rsidR="00505339" w:rsidRPr="00720B94" w:rsidRDefault="00505339" w:rsidP="00720B94">
          <w:pPr>
            <w:pStyle w:val="TOC2"/>
            <w:rPr>
              <w:rFonts w:asciiTheme="minorHAnsi" w:eastAsiaTheme="minorEastAsia" w:hAnsiTheme="minorHAnsi"/>
              <w:noProof/>
              <w:kern w:val="2"/>
              <w:sz w:val="24"/>
              <w:szCs w:val="24"/>
              <w14:ligatures w14:val="standardContextual"/>
            </w:rPr>
          </w:pPr>
          <w:hyperlink w:anchor="_Toc192509394" w:history="1">
            <w:r w:rsidRPr="009F65B4">
              <w:rPr>
                <w:rStyle w:val="Hyperlink"/>
                <w:noProof/>
                <w:color w:val="auto"/>
              </w:rPr>
              <w:t>Animal Biosafety Level 1</w:t>
            </w:r>
            <w:r w:rsidRPr="00720B94">
              <w:rPr>
                <w:noProof/>
                <w:webHidden/>
              </w:rPr>
              <w:tab/>
            </w:r>
            <w:r w:rsidRPr="00720B94">
              <w:rPr>
                <w:noProof/>
                <w:webHidden/>
              </w:rPr>
              <w:fldChar w:fldCharType="begin"/>
            </w:r>
            <w:r w:rsidRPr="00720B94">
              <w:rPr>
                <w:noProof/>
                <w:webHidden/>
              </w:rPr>
              <w:instrText xml:space="preserve"> PAGEREF _Toc192509394 \h </w:instrText>
            </w:r>
            <w:r w:rsidRPr="00720B94">
              <w:rPr>
                <w:noProof/>
                <w:webHidden/>
              </w:rPr>
            </w:r>
            <w:r w:rsidRPr="00720B94">
              <w:rPr>
                <w:noProof/>
                <w:webHidden/>
              </w:rPr>
              <w:fldChar w:fldCharType="separate"/>
            </w:r>
            <w:r w:rsidR="00A247F7">
              <w:rPr>
                <w:noProof/>
                <w:webHidden/>
              </w:rPr>
              <w:t>47</w:t>
            </w:r>
            <w:r w:rsidRPr="00720B94">
              <w:rPr>
                <w:noProof/>
                <w:webHidden/>
              </w:rPr>
              <w:fldChar w:fldCharType="end"/>
            </w:r>
          </w:hyperlink>
        </w:p>
        <w:p w14:paraId="74E054AD" w14:textId="7B7D8E96" w:rsidR="00505339" w:rsidRPr="00720B94" w:rsidRDefault="00505339" w:rsidP="00720B94">
          <w:pPr>
            <w:pStyle w:val="TOC2"/>
            <w:rPr>
              <w:rFonts w:asciiTheme="minorHAnsi" w:eastAsiaTheme="minorEastAsia" w:hAnsiTheme="minorHAnsi"/>
              <w:noProof/>
              <w:kern w:val="2"/>
              <w:sz w:val="24"/>
              <w:szCs w:val="24"/>
              <w14:ligatures w14:val="standardContextual"/>
            </w:rPr>
          </w:pPr>
          <w:hyperlink w:anchor="_Toc192509395" w:history="1">
            <w:r w:rsidRPr="009F65B4">
              <w:rPr>
                <w:rStyle w:val="Hyperlink"/>
                <w:noProof/>
                <w:color w:val="auto"/>
              </w:rPr>
              <w:t>Animal Biosafety Level 2</w:t>
            </w:r>
            <w:r w:rsidRPr="00720B94">
              <w:rPr>
                <w:noProof/>
                <w:webHidden/>
              </w:rPr>
              <w:tab/>
            </w:r>
            <w:r w:rsidRPr="00720B94">
              <w:rPr>
                <w:noProof/>
                <w:webHidden/>
              </w:rPr>
              <w:fldChar w:fldCharType="begin"/>
            </w:r>
            <w:r w:rsidRPr="00720B94">
              <w:rPr>
                <w:noProof/>
                <w:webHidden/>
              </w:rPr>
              <w:instrText xml:space="preserve"> PAGEREF _Toc192509395 \h </w:instrText>
            </w:r>
            <w:r w:rsidRPr="00720B94">
              <w:rPr>
                <w:noProof/>
                <w:webHidden/>
              </w:rPr>
            </w:r>
            <w:r w:rsidRPr="00720B94">
              <w:rPr>
                <w:noProof/>
                <w:webHidden/>
              </w:rPr>
              <w:fldChar w:fldCharType="separate"/>
            </w:r>
            <w:r w:rsidR="00A247F7">
              <w:rPr>
                <w:noProof/>
                <w:webHidden/>
              </w:rPr>
              <w:t>47</w:t>
            </w:r>
            <w:r w:rsidRPr="00720B94">
              <w:rPr>
                <w:noProof/>
                <w:webHidden/>
              </w:rPr>
              <w:fldChar w:fldCharType="end"/>
            </w:r>
          </w:hyperlink>
        </w:p>
        <w:p w14:paraId="5D1D56D3" w14:textId="54AE0D1E" w:rsidR="00505339" w:rsidRPr="00720B94" w:rsidRDefault="00505339" w:rsidP="00720B94">
          <w:pPr>
            <w:pStyle w:val="TOC2"/>
            <w:rPr>
              <w:rFonts w:asciiTheme="minorHAnsi" w:eastAsiaTheme="minorEastAsia" w:hAnsiTheme="minorHAnsi"/>
              <w:noProof/>
              <w:kern w:val="2"/>
              <w:sz w:val="24"/>
              <w:szCs w:val="24"/>
              <w14:ligatures w14:val="standardContextual"/>
            </w:rPr>
          </w:pPr>
          <w:hyperlink w:anchor="_Toc192509396" w:history="1">
            <w:r w:rsidRPr="009F65B4">
              <w:rPr>
                <w:rStyle w:val="Hyperlink"/>
                <w:noProof/>
                <w:color w:val="auto"/>
              </w:rPr>
              <w:t>Animal Biosafety Level 3</w:t>
            </w:r>
            <w:r w:rsidRPr="00720B94">
              <w:rPr>
                <w:noProof/>
                <w:webHidden/>
              </w:rPr>
              <w:tab/>
            </w:r>
            <w:r w:rsidRPr="00720B94">
              <w:rPr>
                <w:noProof/>
                <w:webHidden/>
              </w:rPr>
              <w:fldChar w:fldCharType="begin"/>
            </w:r>
            <w:r w:rsidRPr="00720B94">
              <w:rPr>
                <w:noProof/>
                <w:webHidden/>
              </w:rPr>
              <w:instrText xml:space="preserve"> PAGEREF _Toc192509396 \h </w:instrText>
            </w:r>
            <w:r w:rsidRPr="00720B94">
              <w:rPr>
                <w:noProof/>
                <w:webHidden/>
              </w:rPr>
            </w:r>
            <w:r w:rsidRPr="00720B94">
              <w:rPr>
                <w:noProof/>
                <w:webHidden/>
              </w:rPr>
              <w:fldChar w:fldCharType="separate"/>
            </w:r>
            <w:r w:rsidR="00A247F7">
              <w:rPr>
                <w:noProof/>
                <w:webHidden/>
              </w:rPr>
              <w:t>47</w:t>
            </w:r>
            <w:r w:rsidRPr="00720B94">
              <w:rPr>
                <w:noProof/>
                <w:webHidden/>
              </w:rPr>
              <w:fldChar w:fldCharType="end"/>
            </w:r>
          </w:hyperlink>
        </w:p>
        <w:p w14:paraId="4998BEBC" w14:textId="33542AFF" w:rsidR="00505339" w:rsidRPr="00720B94" w:rsidRDefault="00505339" w:rsidP="00720B94">
          <w:pPr>
            <w:pStyle w:val="TOC1"/>
            <w:rPr>
              <w:rFonts w:asciiTheme="minorHAnsi" w:eastAsiaTheme="minorEastAsia" w:hAnsiTheme="minorHAnsi"/>
              <w:noProof/>
              <w:kern w:val="2"/>
              <w:sz w:val="24"/>
              <w:szCs w:val="24"/>
              <w14:ligatures w14:val="standardContextual"/>
            </w:rPr>
          </w:pPr>
          <w:hyperlink w:anchor="_Toc192509397" w:history="1">
            <w:r w:rsidRPr="009F65B4">
              <w:rPr>
                <w:rStyle w:val="Hyperlink"/>
                <w:b/>
                <w:bCs/>
                <w:noProof/>
                <w:color w:val="auto"/>
              </w:rPr>
              <w:t>Appendix F</w:t>
            </w:r>
            <w:r w:rsidR="004922DF" w:rsidRPr="009F65B4">
              <w:rPr>
                <w:rStyle w:val="Hyperlink"/>
                <w:b/>
                <w:bCs/>
                <w:noProof/>
                <w:color w:val="auto"/>
              </w:rPr>
              <w:t xml:space="preserve"> – Arthropod Containment Level 1-3</w:t>
            </w:r>
            <w:r w:rsidRPr="00720B94">
              <w:rPr>
                <w:noProof/>
                <w:webHidden/>
              </w:rPr>
              <w:tab/>
            </w:r>
            <w:r w:rsidRPr="00720B94">
              <w:rPr>
                <w:noProof/>
                <w:webHidden/>
              </w:rPr>
              <w:fldChar w:fldCharType="begin"/>
            </w:r>
            <w:r w:rsidRPr="00720B94">
              <w:rPr>
                <w:noProof/>
                <w:webHidden/>
              </w:rPr>
              <w:instrText xml:space="preserve"> PAGEREF _Toc192509397 \h </w:instrText>
            </w:r>
            <w:r w:rsidRPr="00720B94">
              <w:rPr>
                <w:noProof/>
                <w:webHidden/>
              </w:rPr>
            </w:r>
            <w:r w:rsidRPr="00720B94">
              <w:rPr>
                <w:noProof/>
                <w:webHidden/>
              </w:rPr>
              <w:fldChar w:fldCharType="separate"/>
            </w:r>
            <w:r w:rsidR="00A247F7">
              <w:rPr>
                <w:noProof/>
                <w:webHidden/>
              </w:rPr>
              <w:t>48</w:t>
            </w:r>
            <w:r w:rsidRPr="00720B94">
              <w:rPr>
                <w:noProof/>
                <w:webHidden/>
              </w:rPr>
              <w:fldChar w:fldCharType="end"/>
            </w:r>
          </w:hyperlink>
        </w:p>
        <w:p w14:paraId="03DA0339" w14:textId="558D963A" w:rsidR="00505339" w:rsidRPr="00720B94" w:rsidRDefault="00505339" w:rsidP="00720B94">
          <w:pPr>
            <w:pStyle w:val="TOC2"/>
            <w:rPr>
              <w:rFonts w:asciiTheme="minorHAnsi" w:eastAsiaTheme="minorEastAsia" w:hAnsiTheme="minorHAnsi"/>
              <w:noProof/>
              <w:kern w:val="2"/>
              <w:sz w:val="24"/>
              <w:szCs w:val="24"/>
              <w14:ligatures w14:val="standardContextual"/>
            </w:rPr>
          </w:pPr>
          <w:hyperlink w:anchor="_Toc192509398" w:history="1">
            <w:r w:rsidRPr="009F65B4">
              <w:rPr>
                <w:rStyle w:val="Hyperlink"/>
                <w:noProof/>
                <w:color w:val="auto"/>
              </w:rPr>
              <w:t>Arthropod Containment Level 1</w:t>
            </w:r>
            <w:r w:rsidRPr="00720B94">
              <w:rPr>
                <w:noProof/>
                <w:webHidden/>
              </w:rPr>
              <w:tab/>
            </w:r>
            <w:r w:rsidRPr="00720B94">
              <w:rPr>
                <w:noProof/>
                <w:webHidden/>
              </w:rPr>
              <w:fldChar w:fldCharType="begin"/>
            </w:r>
            <w:r w:rsidRPr="00720B94">
              <w:rPr>
                <w:noProof/>
                <w:webHidden/>
              </w:rPr>
              <w:instrText xml:space="preserve"> PAGEREF _Toc192509398 \h </w:instrText>
            </w:r>
            <w:r w:rsidRPr="00720B94">
              <w:rPr>
                <w:noProof/>
                <w:webHidden/>
              </w:rPr>
            </w:r>
            <w:r w:rsidRPr="00720B94">
              <w:rPr>
                <w:noProof/>
                <w:webHidden/>
              </w:rPr>
              <w:fldChar w:fldCharType="separate"/>
            </w:r>
            <w:r w:rsidR="00A247F7">
              <w:rPr>
                <w:noProof/>
                <w:webHidden/>
              </w:rPr>
              <w:t>48</w:t>
            </w:r>
            <w:r w:rsidRPr="00720B94">
              <w:rPr>
                <w:noProof/>
                <w:webHidden/>
              </w:rPr>
              <w:fldChar w:fldCharType="end"/>
            </w:r>
          </w:hyperlink>
        </w:p>
        <w:p w14:paraId="5DBA5BC6" w14:textId="432DFB65" w:rsidR="00505339" w:rsidRPr="00720B94" w:rsidRDefault="00505339" w:rsidP="00720B94">
          <w:pPr>
            <w:pStyle w:val="TOC3"/>
            <w:tabs>
              <w:tab w:val="right" w:leader="dot" w:pos="10070"/>
            </w:tabs>
            <w:rPr>
              <w:rFonts w:asciiTheme="minorHAnsi" w:eastAsiaTheme="minorEastAsia" w:hAnsiTheme="minorHAnsi"/>
              <w:noProof/>
              <w:kern w:val="2"/>
              <w:sz w:val="24"/>
              <w:szCs w:val="24"/>
              <w14:ligatures w14:val="standardContextual"/>
            </w:rPr>
          </w:pPr>
          <w:hyperlink w:anchor="_Toc192509399" w:history="1">
            <w:r w:rsidRPr="009F65B4">
              <w:rPr>
                <w:rStyle w:val="Hyperlink"/>
                <w:noProof/>
                <w:color w:val="auto"/>
              </w:rPr>
              <w:t>ACL1 practices</w:t>
            </w:r>
            <w:r w:rsidRPr="00720B94">
              <w:rPr>
                <w:noProof/>
                <w:webHidden/>
              </w:rPr>
              <w:tab/>
            </w:r>
            <w:r w:rsidRPr="00720B94">
              <w:rPr>
                <w:noProof/>
                <w:webHidden/>
              </w:rPr>
              <w:fldChar w:fldCharType="begin"/>
            </w:r>
            <w:r w:rsidRPr="00720B94">
              <w:rPr>
                <w:noProof/>
                <w:webHidden/>
              </w:rPr>
              <w:instrText xml:space="preserve"> PAGEREF _Toc192509399 \h </w:instrText>
            </w:r>
            <w:r w:rsidRPr="00720B94">
              <w:rPr>
                <w:noProof/>
                <w:webHidden/>
              </w:rPr>
            </w:r>
            <w:r w:rsidRPr="00720B94">
              <w:rPr>
                <w:noProof/>
                <w:webHidden/>
              </w:rPr>
              <w:fldChar w:fldCharType="separate"/>
            </w:r>
            <w:r w:rsidR="00A247F7">
              <w:rPr>
                <w:noProof/>
                <w:webHidden/>
              </w:rPr>
              <w:t>48</w:t>
            </w:r>
            <w:r w:rsidRPr="00720B94">
              <w:rPr>
                <w:noProof/>
                <w:webHidden/>
              </w:rPr>
              <w:fldChar w:fldCharType="end"/>
            </w:r>
          </w:hyperlink>
        </w:p>
        <w:p w14:paraId="515FB25D" w14:textId="0FAD0E25" w:rsidR="00505339" w:rsidRPr="00720B94" w:rsidRDefault="00505339" w:rsidP="00720B94">
          <w:pPr>
            <w:pStyle w:val="TOC3"/>
            <w:tabs>
              <w:tab w:val="right" w:leader="dot" w:pos="10070"/>
            </w:tabs>
            <w:rPr>
              <w:rFonts w:asciiTheme="minorHAnsi" w:eastAsiaTheme="minorEastAsia" w:hAnsiTheme="minorHAnsi"/>
              <w:noProof/>
              <w:kern w:val="2"/>
              <w:sz w:val="24"/>
              <w:szCs w:val="24"/>
              <w14:ligatures w14:val="standardContextual"/>
            </w:rPr>
          </w:pPr>
          <w:hyperlink w:anchor="_Toc192509400" w:history="1">
            <w:r w:rsidRPr="009F65B4">
              <w:rPr>
                <w:rStyle w:val="Hyperlink"/>
                <w:noProof/>
                <w:color w:val="auto"/>
              </w:rPr>
              <w:t>ACL1 facilities:</w:t>
            </w:r>
            <w:r w:rsidRPr="00720B94">
              <w:rPr>
                <w:noProof/>
                <w:webHidden/>
              </w:rPr>
              <w:tab/>
            </w:r>
            <w:r w:rsidRPr="00720B94">
              <w:rPr>
                <w:noProof/>
                <w:webHidden/>
              </w:rPr>
              <w:fldChar w:fldCharType="begin"/>
            </w:r>
            <w:r w:rsidRPr="00720B94">
              <w:rPr>
                <w:noProof/>
                <w:webHidden/>
              </w:rPr>
              <w:instrText xml:space="preserve"> PAGEREF _Toc192509400 \h </w:instrText>
            </w:r>
            <w:r w:rsidRPr="00720B94">
              <w:rPr>
                <w:noProof/>
                <w:webHidden/>
              </w:rPr>
            </w:r>
            <w:r w:rsidRPr="00720B94">
              <w:rPr>
                <w:noProof/>
                <w:webHidden/>
              </w:rPr>
              <w:fldChar w:fldCharType="separate"/>
            </w:r>
            <w:r w:rsidR="00A247F7">
              <w:rPr>
                <w:noProof/>
                <w:webHidden/>
              </w:rPr>
              <w:t>48</w:t>
            </w:r>
            <w:r w:rsidRPr="00720B94">
              <w:rPr>
                <w:noProof/>
                <w:webHidden/>
              </w:rPr>
              <w:fldChar w:fldCharType="end"/>
            </w:r>
          </w:hyperlink>
        </w:p>
        <w:p w14:paraId="5F4A8827" w14:textId="2BF25942" w:rsidR="00505339" w:rsidRPr="00720B94" w:rsidRDefault="00505339" w:rsidP="00720B94">
          <w:pPr>
            <w:pStyle w:val="TOC2"/>
            <w:rPr>
              <w:rFonts w:asciiTheme="minorHAnsi" w:eastAsiaTheme="minorEastAsia" w:hAnsiTheme="minorHAnsi"/>
              <w:noProof/>
              <w:kern w:val="2"/>
              <w:sz w:val="24"/>
              <w:szCs w:val="24"/>
              <w14:ligatures w14:val="standardContextual"/>
            </w:rPr>
          </w:pPr>
          <w:hyperlink w:anchor="_Toc192509401" w:history="1">
            <w:r w:rsidRPr="009F65B4">
              <w:rPr>
                <w:rStyle w:val="Hyperlink"/>
                <w:noProof/>
                <w:color w:val="auto"/>
              </w:rPr>
              <w:t>Arthropod Containment Level 2</w:t>
            </w:r>
            <w:r w:rsidRPr="00720B94">
              <w:rPr>
                <w:noProof/>
                <w:webHidden/>
              </w:rPr>
              <w:tab/>
            </w:r>
            <w:r w:rsidRPr="00720B94">
              <w:rPr>
                <w:noProof/>
                <w:webHidden/>
              </w:rPr>
              <w:fldChar w:fldCharType="begin"/>
            </w:r>
            <w:r w:rsidRPr="00720B94">
              <w:rPr>
                <w:noProof/>
                <w:webHidden/>
              </w:rPr>
              <w:instrText xml:space="preserve"> PAGEREF _Toc192509401 \h </w:instrText>
            </w:r>
            <w:r w:rsidRPr="00720B94">
              <w:rPr>
                <w:noProof/>
                <w:webHidden/>
              </w:rPr>
            </w:r>
            <w:r w:rsidRPr="00720B94">
              <w:rPr>
                <w:noProof/>
                <w:webHidden/>
              </w:rPr>
              <w:fldChar w:fldCharType="separate"/>
            </w:r>
            <w:r w:rsidR="00A247F7">
              <w:rPr>
                <w:noProof/>
                <w:webHidden/>
              </w:rPr>
              <w:t>49</w:t>
            </w:r>
            <w:r w:rsidRPr="00720B94">
              <w:rPr>
                <w:noProof/>
                <w:webHidden/>
              </w:rPr>
              <w:fldChar w:fldCharType="end"/>
            </w:r>
          </w:hyperlink>
        </w:p>
        <w:p w14:paraId="49562F5C" w14:textId="23EA4B16" w:rsidR="00505339" w:rsidRPr="00720B94" w:rsidRDefault="00505339" w:rsidP="00720B94">
          <w:pPr>
            <w:pStyle w:val="TOC3"/>
            <w:tabs>
              <w:tab w:val="right" w:leader="dot" w:pos="10070"/>
            </w:tabs>
            <w:rPr>
              <w:rFonts w:asciiTheme="minorHAnsi" w:eastAsiaTheme="minorEastAsia" w:hAnsiTheme="minorHAnsi"/>
              <w:noProof/>
              <w:kern w:val="2"/>
              <w:sz w:val="24"/>
              <w:szCs w:val="24"/>
              <w14:ligatures w14:val="standardContextual"/>
            </w:rPr>
          </w:pPr>
          <w:hyperlink w:anchor="_Toc192509402" w:history="1">
            <w:r w:rsidRPr="009F65B4">
              <w:rPr>
                <w:rStyle w:val="Hyperlink"/>
                <w:noProof/>
                <w:color w:val="auto"/>
              </w:rPr>
              <w:t>ACL2 practices</w:t>
            </w:r>
            <w:r w:rsidRPr="00720B94">
              <w:rPr>
                <w:noProof/>
                <w:webHidden/>
              </w:rPr>
              <w:tab/>
            </w:r>
            <w:r w:rsidRPr="00720B94">
              <w:rPr>
                <w:noProof/>
                <w:webHidden/>
              </w:rPr>
              <w:fldChar w:fldCharType="begin"/>
            </w:r>
            <w:r w:rsidRPr="00720B94">
              <w:rPr>
                <w:noProof/>
                <w:webHidden/>
              </w:rPr>
              <w:instrText xml:space="preserve"> PAGEREF _Toc192509402 \h </w:instrText>
            </w:r>
            <w:r w:rsidRPr="00720B94">
              <w:rPr>
                <w:noProof/>
                <w:webHidden/>
              </w:rPr>
            </w:r>
            <w:r w:rsidRPr="00720B94">
              <w:rPr>
                <w:noProof/>
                <w:webHidden/>
              </w:rPr>
              <w:fldChar w:fldCharType="separate"/>
            </w:r>
            <w:r w:rsidR="00A247F7">
              <w:rPr>
                <w:noProof/>
                <w:webHidden/>
              </w:rPr>
              <w:t>49</w:t>
            </w:r>
            <w:r w:rsidRPr="00720B94">
              <w:rPr>
                <w:noProof/>
                <w:webHidden/>
              </w:rPr>
              <w:fldChar w:fldCharType="end"/>
            </w:r>
          </w:hyperlink>
        </w:p>
        <w:p w14:paraId="0A63CB8B" w14:textId="73DF7373" w:rsidR="00505339" w:rsidRPr="00720B94" w:rsidRDefault="00505339" w:rsidP="00720B94">
          <w:pPr>
            <w:pStyle w:val="TOC3"/>
            <w:tabs>
              <w:tab w:val="right" w:leader="dot" w:pos="10070"/>
            </w:tabs>
            <w:rPr>
              <w:rFonts w:asciiTheme="minorHAnsi" w:eastAsiaTheme="minorEastAsia" w:hAnsiTheme="minorHAnsi"/>
              <w:noProof/>
              <w:kern w:val="2"/>
              <w:sz w:val="24"/>
              <w:szCs w:val="24"/>
              <w14:ligatures w14:val="standardContextual"/>
            </w:rPr>
          </w:pPr>
          <w:hyperlink w:anchor="_Toc192509403" w:history="1">
            <w:r w:rsidRPr="009F65B4">
              <w:rPr>
                <w:rStyle w:val="Hyperlink"/>
                <w:noProof/>
                <w:color w:val="auto"/>
              </w:rPr>
              <w:t>ACL2 facilities</w:t>
            </w:r>
            <w:r w:rsidRPr="00720B94">
              <w:rPr>
                <w:noProof/>
                <w:webHidden/>
              </w:rPr>
              <w:tab/>
            </w:r>
            <w:r w:rsidRPr="00720B94">
              <w:rPr>
                <w:noProof/>
                <w:webHidden/>
              </w:rPr>
              <w:fldChar w:fldCharType="begin"/>
            </w:r>
            <w:r w:rsidRPr="00720B94">
              <w:rPr>
                <w:noProof/>
                <w:webHidden/>
              </w:rPr>
              <w:instrText xml:space="preserve"> PAGEREF _Toc192509403 \h </w:instrText>
            </w:r>
            <w:r w:rsidRPr="00720B94">
              <w:rPr>
                <w:noProof/>
                <w:webHidden/>
              </w:rPr>
            </w:r>
            <w:r w:rsidRPr="00720B94">
              <w:rPr>
                <w:noProof/>
                <w:webHidden/>
              </w:rPr>
              <w:fldChar w:fldCharType="separate"/>
            </w:r>
            <w:r w:rsidR="00A247F7">
              <w:rPr>
                <w:noProof/>
                <w:webHidden/>
              </w:rPr>
              <w:t>49</w:t>
            </w:r>
            <w:r w:rsidRPr="00720B94">
              <w:rPr>
                <w:noProof/>
                <w:webHidden/>
              </w:rPr>
              <w:fldChar w:fldCharType="end"/>
            </w:r>
          </w:hyperlink>
        </w:p>
        <w:p w14:paraId="31845549" w14:textId="2EC445E7" w:rsidR="00505339" w:rsidRPr="00720B94" w:rsidRDefault="00505339" w:rsidP="00720B94">
          <w:pPr>
            <w:pStyle w:val="TOC2"/>
            <w:rPr>
              <w:rFonts w:asciiTheme="minorHAnsi" w:eastAsiaTheme="minorEastAsia" w:hAnsiTheme="minorHAnsi"/>
              <w:noProof/>
              <w:kern w:val="2"/>
              <w:sz w:val="24"/>
              <w:szCs w:val="24"/>
              <w14:ligatures w14:val="standardContextual"/>
            </w:rPr>
          </w:pPr>
          <w:hyperlink w:anchor="_Toc192509404" w:history="1">
            <w:r w:rsidRPr="009F65B4">
              <w:rPr>
                <w:rStyle w:val="Hyperlink"/>
                <w:noProof/>
                <w:color w:val="auto"/>
              </w:rPr>
              <w:t>Arthropod Containment Level 3</w:t>
            </w:r>
            <w:r w:rsidRPr="00720B94">
              <w:rPr>
                <w:noProof/>
                <w:webHidden/>
              </w:rPr>
              <w:tab/>
            </w:r>
            <w:r w:rsidRPr="00720B94">
              <w:rPr>
                <w:noProof/>
                <w:webHidden/>
              </w:rPr>
              <w:fldChar w:fldCharType="begin"/>
            </w:r>
            <w:r w:rsidRPr="00720B94">
              <w:rPr>
                <w:noProof/>
                <w:webHidden/>
              </w:rPr>
              <w:instrText xml:space="preserve"> PAGEREF _Toc192509404 \h </w:instrText>
            </w:r>
            <w:r w:rsidRPr="00720B94">
              <w:rPr>
                <w:noProof/>
                <w:webHidden/>
              </w:rPr>
            </w:r>
            <w:r w:rsidRPr="00720B94">
              <w:rPr>
                <w:noProof/>
                <w:webHidden/>
              </w:rPr>
              <w:fldChar w:fldCharType="separate"/>
            </w:r>
            <w:r w:rsidR="00A247F7">
              <w:rPr>
                <w:noProof/>
                <w:webHidden/>
              </w:rPr>
              <w:t>50</w:t>
            </w:r>
            <w:r w:rsidRPr="00720B94">
              <w:rPr>
                <w:noProof/>
                <w:webHidden/>
              </w:rPr>
              <w:fldChar w:fldCharType="end"/>
            </w:r>
          </w:hyperlink>
        </w:p>
        <w:p w14:paraId="3CC8976E" w14:textId="1CB39EFA" w:rsidR="00505339" w:rsidRPr="00720B94" w:rsidRDefault="00505339" w:rsidP="00720B94">
          <w:pPr>
            <w:pStyle w:val="TOC3"/>
            <w:tabs>
              <w:tab w:val="right" w:leader="dot" w:pos="10070"/>
            </w:tabs>
            <w:rPr>
              <w:rFonts w:asciiTheme="minorHAnsi" w:eastAsiaTheme="minorEastAsia" w:hAnsiTheme="minorHAnsi"/>
              <w:noProof/>
              <w:kern w:val="2"/>
              <w:sz w:val="24"/>
              <w:szCs w:val="24"/>
              <w14:ligatures w14:val="standardContextual"/>
            </w:rPr>
          </w:pPr>
          <w:hyperlink w:anchor="_Toc192509405" w:history="1">
            <w:r w:rsidRPr="009F65B4">
              <w:rPr>
                <w:rStyle w:val="Hyperlink"/>
                <w:noProof/>
                <w:color w:val="auto"/>
              </w:rPr>
              <w:t>ACL3 practices</w:t>
            </w:r>
            <w:r w:rsidRPr="00720B94">
              <w:rPr>
                <w:noProof/>
                <w:webHidden/>
              </w:rPr>
              <w:tab/>
            </w:r>
            <w:r w:rsidRPr="00720B94">
              <w:rPr>
                <w:noProof/>
                <w:webHidden/>
              </w:rPr>
              <w:fldChar w:fldCharType="begin"/>
            </w:r>
            <w:r w:rsidRPr="00720B94">
              <w:rPr>
                <w:noProof/>
                <w:webHidden/>
              </w:rPr>
              <w:instrText xml:space="preserve"> PAGEREF _Toc192509405 \h </w:instrText>
            </w:r>
            <w:r w:rsidRPr="00720B94">
              <w:rPr>
                <w:noProof/>
                <w:webHidden/>
              </w:rPr>
            </w:r>
            <w:r w:rsidRPr="00720B94">
              <w:rPr>
                <w:noProof/>
                <w:webHidden/>
              </w:rPr>
              <w:fldChar w:fldCharType="separate"/>
            </w:r>
            <w:r w:rsidR="00A247F7">
              <w:rPr>
                <w:noProof/>
                <w:webHidden/>
              </w:rPr>
              <w:t>50</w:t>
            </w:r>
            <w:r w:rsidRPr="00720B94">
              <w:rPr>
                <w:noProof/>
                <w:webHidden/>
              </w:rPr>
              <w:fldChar w:fldCharType="end"/>
            </w:r>
          </w:hyperlink>
        </w:p>
        <w:p w14:paraId="76661C7E" w14:textId="766857B3" w:rsidR="00505339" w:rsidRPr="00720B94" w:rsidRDefault="00505339" w:rsidP="00720B94">
          <w:pPr>
            <w:pStyle w:val="TOC3"/>
            <w:tabs>
              <w:tab w:val="right" w:leader="dot" w:pos="10070"/>
            </w:tabs>
            <w:rPr>
              <w:rFonts w:asciiTheme="minorHAnsi" w:eastAsiaTheme="minorEastAsia" w:hAnsiTheme="minorHAnsi"/>
              <w:noProof/>
              <w:kern w:val="2"/>
              <w:sz w:val="24"/>
              <w:szCs w:val="24"/>
              <w14:ligatures w14:val="standardContextual"/>
            </w:rPr>
          </w:pPr>
          <w:hyperlink w:anchor="_Toc192509406" w:history="1">
            <w:r w:rsidRPr="009F65B4">
              <w:rPr>
                <w:rStyle w:val="Hyperlink"/>
                <w:noProof/>
                <w:color w:val="auto"/>
              </w:rPr>
              <w:t>ACL3 facilities</w:t>
            </w:r>
            <w:r w:rsidRPr="00720B94">
              <w:rPr>
                <w:noProof/>
                <w:webHidden/>
              </w:rPr>
              <w:tab/>
            </w:r>
            <w:r w:rsidRPr="00720B94">
              <w:rPr>
                <w:noProof/>
                <w:webHidden/>
              </w:rPr>
              <w:fldChar w:fldCharType="begin"/>
            </w:r>
            <w:r w:rsidRPr="00720B94">
              <w:rPr>
                <w:noProof/>
                <w:webHidden/>
              </w:rPr>
              <w:instrText xml:space="preserve"> PAGEREF _Toc192509406 \h </w:instrText>
            </w:r>
            <w:r w:rsidRPr="00720B94">
              <w:rPr>
                <w:noProof/>
                <w:webHidden/>
              </w:rPr>
            </w:r>
            <w:r w:rsidRPr="00720B94">
              <w:rPr>
                <w:noProof/>
                <w:webHidden/>
              </w:rPr>
              <w:fldChar w:fldCharType="separate"/>
            </w:r>
            <w:r w:rsidR="00A247F7">
              <w:rPr>
                <w:noProof/>
                <w:webHidden/>
              </w:rPr>
              <w:t>51</w:t>
            </w:r>
            <w:r w:rsidRPr="00720B94">
              <w:rPr>
                <w:noProof/>
                <w:webHidden/>
              </w:rPr>
              <w:fldChar w:fldCharType="end"/>
            </w:r>
          </w:hyperlink>
        </w:p>
        <w:p w14:paraId="465FFD31" w14:textId="495A5286" w:rsidR="00505339" w:rsidRPr="00720B94" w:rsidRDefault="00505339" w:rsidP="00720B94">
          <w:pPr>
            <w:pStyle w:val="TOC1"/>
            <w:rPr>
              <w:rFonts w:asciiTheme="minorHAnsi" w:eastAsiaTheme="minorEastAsia" w:hAnsiTheme="minorHAnsi"/>
              <w:noProof/>
              <w:kern w:val="2"/>
              <w:sz w:val="24"/>
              <w:szCs w:val="24"/>
              <w14:ligatures w14:val="standardContextual"/>
            </w:rPr>
          </w:pPr>
          <w:hyperlink w:anchor="_Toc192509407" w:history="1">
            <w:r w:rsidRPr="009F65B4">
              <w:rPr>
                <w:rStyle w:val="Hyperlink"/>
                <w:b/>
                <w:bCs/>
                <w:noProof/>
                <w:color w:val="auto"/>
              </w:rPr>
              <w:t>Appendix G</w:t>
            </w:r>
            <w:r w:rsidR="004922DF" w:rsidRPr="009F65B4">
              <w:rPr>
                <w:rStyle w:val="Hyperlink"/>
                <w:b/>
                <w:bCs/>
                <w:noProof/>
                <w:color w:val="auto"/>
              </w:rPr>
              <w:t xml:space="preserve"> – Plant Biocontainment: Biosafety Level 1-3</w:t>
            </w:r>
            <w:r w:rsidRPr="00720B94">
              <w:rPr>
                <w:noProof/>
                <w:webHidden/>
              </w:rPr>
              <w:tab/>
            </w:r>
            <w:r w:rsidRPr="00720B94">
              <w:rPr>
                <w:noProof/>
                <w:webHidden/>
              </w:rPr>
              <w:fldChar w:fldCharType="begin"/>
            </w:r>
            <w:r w:rsidRPr="00720B94">
              <w:rPr>
                <w:noProof/>
                <w:webHidden/>
              </w:rPr>
              <w:instrText xml:space="preserve"> PAGEREF _Toc192509407 \h </w:instrText>
            </w:r>
            <w:r w:rsidRPr="00720B94">
              <w:rPr>
                <w:noProof/>
                <w:webHidden/>
              </w:rPr>
            </w:r>
            <w:r w:rsidRPr="00720B94">
              <w:rPr>
                <w:noProof/>
                <w:webHidden/>
              </w:rPr>
              <w:fldChar w:fldCharType="separate"/>
            </w:r>
            <w:r w:rsidR="00A247F7">
              <w:rPr>
                <w:noProof/>
                <w:webHidden/>
              </w:rPr>
              <w:t>52</w:t>
            </w:r>
            <w:r w:rsidRPr="00720B94">
              <w:rPr>
                <w:noProof/>
                <w:webHidden/>
              </w:rPr>
              <w:fldChar w:fldCharType="end"/>
            </w:r>
          </w:hyperlink>
        </w:p>
        <w:p w14:paraId="6B811E89" w14:textId="4FEDA052" w:rsidR="00505339" w:rsidRPr="00720B94" w:rsidRDefault="00505339" w:rsidP="00720B94">
          <w:pPr>
            <w:pStyle w:val="TOC2"/>
            <w:rPr>
              <w:rFonts w:asciiTheme="minorHAnsi" w:eastAsiaTheme="minorEastAsia" w:hAnsiTheme="minorHAnsi"/>
              <w:noProof/>
              <w:kern w:val="2"/>
              <w:sz w:val="24"/>
              <w:szCs w:val="24"/>
              <w14:ligatures w14:val="standardContextual"/>
            </w:rPr>
          </w:pPr>
          <w:hyperlink w:anchor="_Toc192509408" w:history="1">
            <w:r w:rsidRPr="009F65B4">
              <w:rPr>
                <w:rStyle w:val="Hyperlink"/>
                <w:noProof/>
                <w:color w:val="auto"/>
              </w:rPr>
              <w:t>Plant Biosafety Level 1</w:t>
            </w:r>
            <w:r w:rsidRPr="00720B94">
              <w:rPr>
                <w:noProof/>
                <w:webHidden/>
              </w:rPr>
              <w:tab/>
            </w:r>
            <w:r w:rsidRPr="00720B94">
              <w:rPr>
                <w:noProof/>
                <w:webHidden/>
              </w:rPr>
              <w:fldChar w:fldCharType="begin"/>
            </w:r>
            <w:r w:rsidRPr="00720B94">
              <w:rPr>
                <w:noProof/>
                <w:webHidden/>
              </w:rPr>
              <w:instrText xml:space="preserve"> PAGEREF _Toc192509408 \h </w:instrText>
            </w:r>
            <w:r w:rsidRPr="00720B94">
              <w:rPr>
                <w:noProof/>
                <w:webHidden/>
              </w:rPr>
            </w:r>
            <w:r w:rsidRPr="00720B94">
              <w:rPr>
                <w:noProof/>
                <w:webHidden/>
              </w:rPr>
              <w:fldChar w:fldCharType="separate"/>
            </w:r>
            <w:r w:rsidR="00A247F7">
              <w:rPr>
                <w:noProof/>
                <w:webHidden/>
              </w:rPr>
              <w:t>52</w:t>
            </w:r>
            <w:r w:rsidRPr="00720B94">
              <w:rPr>
                <w:noProof/>
                <w:webHidden/>
              </w:rPr>
              <w:fldChar w:fldCharType="end"/>
            </w:r>
          </w:hyperlink>
        </w:p>
        <w:p w14:paraId="537D5086" w14:textId="4111134E" w:rsidR="00505339" w:rsidRPr="00720B94" w:rsidRDefault="00505339" w:rsidP="00720B94">
          <w:pPr>
            <w:pStyle w:val="TOC3"/>
            <w:tabs>
              <w:tab w:val="right" w:leader="dot" w:pos="10070"/>
            </w:tabs>
            <w:rPr>
              <w:rFonts w:asciiTheme="minorHAnsi" w:eastAsiaTheme="minorEastAsia" w:hAnsiTheme="minorHAnsi"/>
              <w:noProof/>
              <w:kern w:val="2"/>
              <w:sz w:val="24"/>
              <w:szCs w:val="24"/>
              <w14:ligatures w14:val="standardContextual"/>
            </w:rPr>
          </w:pPr>
          <w:hyperlink w:anchor="_Toc192509409" w:history="1">
            <w:r w:rsidRPr="009F65B4">
              <w:rPr>
                <w:rStyle w:val="Hyperlink"/>
                <w:noProof/>
                <w:color w:val="auto"/>
              </w:rPr>
              <w:t>BSL1-P</w:t>
            </w:r>
            <w:r w:rsidRPr="00720B94">
              <w:rPr>
                <w:noProof/>
                <w:webHidden/>
              </w:rPr>
              <w:tab/>
            </w:r>
            <w:r w:rsidRPr="00720B94">
              <w:rPr>
                <w:noProof/>
                <w:webHidden/>
              </w:rPr>
              <w:fldChar w:fldCharType="begin"/>
            </w:r>
            <w:r w:rsidRPr="00720B94">
              <w:rPr>
                <w:noProof/>
                <w:webHidden/>
              </w:rPr>
              <w:instrText xml:space="preserve"> PAGEREF _Toc192509409 \h </w:instrText>
            </w:r>
            <w:r w:rsidRPr="00720B94">
              <w:rPr>
                <w:noProof/>
                <w:webHidden/>
              </w:rPr>
            </w:r>
            <w:r w:rsidRPr="00720B94">
              <w:rPr>
                <w:noProof/>
                <w:webHidden/>
              </w:rPr>
              <w:fldChar w:fldCharType="separate"/>
            </w:r>
            <w:r w:rsidR="00A247F7">
              <w:rPr>
                <w:noProof/>
                <w:webHidden/>
              </w:rPr>
              <w:t>52</w:t>
            </w:r>
            <w:r w:rsidRPr="00720B94">
              <w:rPr>
                <w:noProof/>
                <w:webHidden/>
              </w:rPr>
              <w:fldChar w:fldCharType="end"/>
            </w:r>
          </w:hyperlink>
        </w:p>
        <w:p w14:paraId="09870E1C" w14:textId="74F44802" w:rsidR="00505339" w:rsidRPr="00720B94" w:rsidRDefault="00505339" w:rsidP="00720B94">
          <w:pPr>
            <w:pStyle w:val="TOC2"/>
            <w:rPr>
              <w:rFonts w:asciiTheme="minorHAnsi" w:eastAsiaTheme="minorEastAsia" w:hAnsiTheme="minorHAnsi"/>
              <w:noProof/>
              <w:kern w:val="2"/>
              <w:sz w:val="24"/>
              <w:szCs w:val="24"/>
              <w14:ligatures w14:val="standardContextual"/>
            </w:rPr>
          </w:pPr>
          <w:hyperlink w:anchor="_Toc192509410" w:history="1">
            <w:r w:rsidRPr="009F65B4">
              <w:rPr>
                <w:rStyle w:val="Hyperlink"/>
                <w:noProof/>
                <w:color w:val="auto"/>
              </w:rPr>
              <w:t>Plant Biosafety Level 2</w:t>
            </w:r>
            <w:r w:rsidRPr="00720B94">
              <w:rPr>
                <w:noProof/>
                <w:webHidden/>
              </w:rPr>
              <w:tab/>
            </w:r>
            <w:r w:rsidRPr="00720B94">
              <w:rPr>
                <w:noProof/>
                <w:webHidden/>
              </w:rPr>
              <w:fldChar w:fldCharType="begin"/>
            </w:r>
            <w:r w:rsidRPr="00720B94">
              <w:rPr>
                <w:noProof/>
                <w:webHidden/>
              </w:rPr>
              <w:instrText xml:space="preserve"> PAGEREF _Toc192509410 \h </w:instrText>
            </w:r>
            <w:r w:rsidRPr="00720B94">
              <w:rPr>
                <w:noProof/>
                <w:webHidden/>
              </w:rPr>
            </w:r>
            <w:r w:rsidRPr="00720B94">
              <w:rPr>
                <w:noProof/>
                <w:webHidden/>
              </w:rPr>
              <w:fldChar w:fldCharType="separate"/>
            </w:r>
            <w:r w:rsidR="00A247F7">
              <w:rPr>
                <w:noProof/>
                <w:webHidden/>
              </w:rPr>
              <w:t>53</w:t>
            </w:r>
            <w:r w:rsidRPr="00720B94">
              <w:rPr>
                <w:noProof/>
                <w:webHidden/>
              </w:rPr>
              <w:fldChar w:fldCharType="end"/>
            </w:r>
          </w:hyperlink>
        </w:p>
        <w:p w14:paraId="1D34EB17" w14:textId="4DF0F83E" w:rsidR="00505339" w:rsidRPr="00720B94" w:rsidRDefault="00505339" w:rsidP="00720B94">
          <w:pPr>
            <w:pStyle w:val="TOC3"/>
            <w:tabs>
              <w:tab w:val="right" w:leader="dot" w:pos="10070"/>
            </w:tabs>
            <w:rPr>
              <w:rFonts w:asciiTheme="minorHAnsi" w:eastAsiaTheme="minorEastAsia" w:hAnsiTheme="minorHAnsi"/>
              <w:noProof/>
              <w:kern w:val="2"/>
              <w:sz w:val="24"/>
              <w:szCs w:val="24"/>
              <w14:ligatures w14:val="standardContextual"/>
            </w:rPr>
          </w:pPr>
          <w:hyperlink w:anchor="_Toc192509411" w:history="1">
            <w:r w:rsidRPr="009F65B4">
              <w:rPr>
                <w:rStyle w:val="Hyperlink"/>
                <w:noProof/>
                <w:color w:val="auto"/>
              </w:rPr>
              <w:t>BSL2-P</w:t>
            </w:r>
            <w:r w:rsidRPr="00720B94">
              <w:rPr>
                <w:noProof/>
                <w:webHidden/>
              </w:rPr>
              <w:tab/>
            </w:r>
            <w:r w:rsidRPr="00720B94">
              <w:rPr>
                <w:noProof/>
                <w:webHidden/>
              </w:rPr>
              <w:fldChar w:fldCharType="begin"/>
            </w:r>
            <w:r w:rsidRPr="00720B94">
              <w:rPr>
                <w:noProof/>
                <w:webHidden/>
              </w:rPr>
              <w:instrText xml:space="preserve"> PAGEREF _Toc192509411 \h </w:instrText>
            </w:r>
            <w:r w:rsidRPr="00720B94">
              <w:rPr>
                <w:noProof/>
                <w:webHidden/>
              </w:rPr>
            </w:r>
            <w:r w:rsidRPr="00720B94">
              <w:rPr>
                <w:noProof/>
                <w:webHidden/>
              </w:rPr>
              <w:fldChar w:fldCharType="separate"/>
            </w:r>
            <w:r w:rsidR="00A247F7">
              <w:rPr>
                <w:noProof/>
                <w:webHidden/>
              </w:rPr>
              <w:t>53</w:t>
            </w:r>
            <w:r w:rsidRPr="00720B94">
              <w:rPr>
                <w:noProof/>
                <w:webHidden/>
              </w:rPr>
              <w:fldChar w:fldCharType="end"/>
            </w:r>
          </w:hyperlink>
        </w:p>
        <w:p w14:paraId="122B9D90" w14:textId="5F49909E" w:rsidR="00505339" w:rsidRPr="00720B94" w:rsidRDefault="00505339" w:rsidP="00720B94">
          <w:pPr>
            <w:pStyle w:val="TOC2"/>
            <w:rPr>
              <w:rFonts w:asciiTheme="minorHAnsi" w:eastAsiaTheme="minorEastAsia" w:hAnsiTheme="minorHAnsi"/>
              <w:noProof/>
              <w:kern w:val="2"/>
              <w:sz w:val="24"/>
              <w:szCs w:val="24"/>
              <w14:ligatures w14:val="standardContextual"/>
            </w:rPr>
          </w:pPr>
          <w:hyperlink w:anchor="_Toc192509412" w:history="1">
            <w:r w:rsidRPr="009F65B4">
              <w:rPr>
                <w:rStyle w:val="Hyperlink"/>
                <w:noProof/>
                <w:color w:val="auto"/>
              </w:rPr>
              <w:t>Plant Biosafety Level 3</w:t>
            </w:r>
            <w:r w:rsidRPr="00720B94">
              <w:rPr>
                <w:noProof/>
                <w:webHidden/>
              </w:rPr>
              <w:tab/>
            </w:r>
            <w:r w:rsidRPr="00720B94">
              <w:rPr>
                <w:noProof/>
                <w:webHidden/>
              </w:rPr>
              <w:fldChar w:fldCharType="begin"/>
            </w:r>
            <w:r w:rsidRPr="00720B94">
              <w:rPr>
                <w:noProof/>
                <w:webHidden/>
              </w:rPr>
              <w:instrText xml:space="preserve"> PAGEREF _Toc192509412 \h </w:instrText>
            </w:r>
            <w:r w:rsidRPr="00720B94">
              <w:rPr>
                <w:noProof/>
                <w:webHidden/>
              </w:rPr>
            </w:r>
            <w:r w:rsidRPr="00720B94">
              <w:rPr>
                <w:noProof/>
                <w:webHidden/>
              </w:rPr>
              <w:fldChar w:fldCharType="separate"/>
            </w:r>
            <w:r w:rsidR="00A247F7">
              <w:rPr>
                <w:noProof/>
                <w:webHidden/>
              </w:rPr>
              <w:t>54</w:t>
            </w:r>
            <w:r w:rsidRPr="00720B94">
              <w:rPr>
                <w:noProof/>
                <w:webHidden/>
              </w:rPr>
              <w:fldChar w:fldCharType="end"/>
            </w:r>
          </w:hyperlink>
        </w:p>
        <w:p w14:paraId="2E484660" w14:textId="73A7EEA1" w:rsidR="00505339" w:rsidRPr="00720B94" w:rsidRDefault="00505339" w:rsidP="00720B94">
          <w:pPr>
            <w:pStyle w:val="TOC2"/>
            <w:rPr>
              <w:rFonts w:asciiTheme="minorHAnsi" w:eastAsiaTheme="minorEastAsia" w:hAnsiTheme="minorHAnsi"/>
              <w:noProof/>
              <w:kern w:val="2"/>
              <w:sz w:val="24"/>
              <w:szCs w:val="24"/>
              <w14:ligatures w14:val="standardContextual"/>
            </w:rPr>
          </w:pPr>
          <w:hyperlink w:anchor="_Toc192509413" w:history="1">
            <w:r w:rsidRPr="009F65B4">
              <w:rPr>
                <w:rStyle w:val="Hyperlink"/>
                <w:noProof/>
                <w:color w:val="auto"/>
              </w:rPr>
              <w:t>BSL3-P</w:t>
            </w:r>
            <w:r w:rsidRPr="00720B94">
              <w:rPr>
                <w:noProof/>
                <w:webHidden/>
              </w:rPr>
              <w:tab/>
            </w:r>
            <w:r w:rsidRPr="00720B94">
              <w:rPr>
                <w:noProof/>
                <w:webHidden/>
              </w:rPr>
              <w:fldChar w:fldCharType="begin"/>
            </w:r>
            <w:r w:rsidRPr="00720B94">
              <w:rPr>
                <w:noProof/>
                <w:webHidden/>
              </w:rPr>
              <w:instrText xml:space="preserve"> PAGEREF _Toc192509413 \h </w:instrText>
            </w:r>
            <w:r w:rsidRPr="00720B94">
              <w:rPr>
                <w:noProof/>
                <w:webHidden/>
              </w:rPr>
            </w:r>
            <w:r w:rsidRPr="00720B94">
              <w:rPr>
                <w:noProof/>
                <w:webHidden/>
              </w:rPr>
              <w:fldChar w:fldCharType="separate"/>
            </w:r>
            <w:r w:rsidR="00A247F7">
              <w:rPr>
                <w:noProof/>
                <w:webHidden/>
              </w:rPr>
              <w:t>54</w:t>
            </w:r>
            <w:r w:rsidRPr="00720B94">
              <w:rPr>
                <w:noProof/>
                <w:webHidden/>
              </w:rPr>
              <w:fldChar w:fldCharType="end"/>
            </w:r>
          </w:hyperlink>
        </w:p>
        <w:p w14:paraId="25C09908" w14:textId="56E26B63" w:rsidR="00505339" w:rsidRPr="00720B94" w:rsidRDefault="00505339" w:rsidP="00720B94">
          <w:pPr>
            <w:pStyle w:val="TOC1"/>
            <w:rPr>
              <w:rFonts w:asciiTheme="minorHAnsi" w:eastAsiaTheme="minorEastAsia" w:hAnsiTheme="minorHAnsi"/>
              <w:noProof/>
              <w:kern w:val="2"/>
              <w:sz w:val="24"/>
              <w:szCs w:val="24"/>
              <w14:ligatures w14:val="standardContextual"/>
            </w:rPr>
          </w:pPr>
          <w:hyperlink w:anchor="_Toc192509414" w:history="1">
            <w:r w:rsidRPr="009F65B4">
              <w:rPr>
                <w:rStyle w:val="Hyperlink"/>
                <w:b/>
                <w:bCs/>
                <w:noProof/>
                <w:color w:val="auto"/>
              </w:rPr>
              <w:t>Appendix H</w:t>
            </w:r>
            <w:r w:rsidR="004922DF" w:rsidRPr="009F65B4">
              <w:rPr>
                <w:rStyle w:val="Hyperlink"/>
                <w:b/>
                <w:bCs/>
                <w:noProof/>
                <w:color w:val="auto"/>
              </w:rPr>
              <w:t xml:space="preserve"> – Standards for Facilities &amp; Equipment for Biosafety Levels</w:t>
            </w:r>
            <w:r w:rsidRPr="00720B94">
              <w:rPr>
                <w:noProof/>
                <w:webHidden/>
              </w:rPr>
              <w:tab/>
            </w:r>
            <w:r w:rsidRPr="00720B94">
              <w:rPr>
                <w:noProof/>
                <w:webHidden/>
              </w:rPr>
              <w:fldChar w:fldCharType="begin"/>
            </w:r>
            <w:r w:rsidRPr="00720B94">
              <w:rPr>
                <w:noProof/>
                <w:webHidden/>
              </w:rPr>
              <w:instrText xml:space="preserve"> PAGEREF _Toc192509414 \h </w:instrText>
            </w:r>
            <w:r w:rsidRPr="00720B94">
              <w:rPr>
                <w:noProof/>
                <w:webHidden/>
              </w:rPr>
            </w:r>
            <w:r w:rsidRPr="00720B94">
              <w:rPr>
                <w:noProof/>
                <w:webHidden/>
              </w:rPr>
              <w:fldChar w:fldCharType="separate"/>
            </w:r>
            <w:r w:rsidR="00A247F7">
              <w:rPr>
                <w:noProof/>
                <w:webHidden/>
              </w:rPr>
              <w:t>56</w:t>
            </w:r>
            <w:r w:rsidRPr="00720B94">
              <w:rPr>
                <w:noProof/>
                <w:webHidden/>
              </w:rPr>
              <w:fldChar w:fldCharType="end"/>
            </w:r>
          </w:hyperlink>
        </w:p>
        <w:p w14:paraId="68BB9EAC" w14:textId="487A49AB" w:rsidR="00505339" w:rsidRPr="00720B94" w:rsidRDefault="00505339" w:rsidP="00720B94">
          <w:pPr>
            <w:pStyle w:val="TOC1"/>
            <w:rPr>
              <w:rFonts w:asciiTheme="minorHAnsi" w:eastAsiaTheme="minorEastAsia" w:hAnsiTheme="minorHAnsi"/>
              <w:noProof/>
              <w:kern w:val="2"/>
              <w:sz w:val="24"/>
              <w:szCs w:val="24"/>
              <w14:ligatures w14:val="standardContextual"/>
            </w:rPr>
          </w:pPr>
          <w:hyperlink w:anchor="_Toc192509415" w:history="1">
            <w:r w:rsidRPr="009F65B4">
              <w:rPr>
                <w:rStyle w:val="Hyperlink"/>
                <w:b/>
                <w:bCs/>
                <w:noProof/>
                <w:color w:val="auto"/>
              </w:rPr>
              <w:t>Appendix I</w:t>
            </w:r>
            <w:r w:rsidR="004922DF" w:rsidRPr="009F65B4">
              <w:rPr>
                <w:rStyle w:val="Hyperlink"/>
                <w:b/>
                <w:bCs/>
                <w:noProof/>
                <w:color w:val="auto"/>
              </w:rPr>
              <w:t xml:space="preserve"> – Chemical Disinfection</w:t>
            </w:r>
            <w:r w:rsidRPr="00720B94">
              <w:rPr>
                <w:noProof/>
                <w:webHidden/>
              </w:rPr>
              <w:tab/>
            </w:r>
            <w:r w:rsidRPr="00720B94">
              <w:rPr>
                <w:noProof/>
                <w:webHidden/>
              </w:rPr>
              <w:fldChar w:fldCharType="begin"/>
            </w:r>
            <w:r w:rsidRPr="00720B94">
              <w:rPr>
                <w:noProof/>
                <w:webHidden/>
              </w:rPr>
              <w:instrText xml:space="preserve"> PAGEREF _Toc192509415 \h </w:instrText>
            </w:r>
            <w:r w:rsidRPr="00720B94">
              <w:rPr>
                <w:noProof/>
                <w:webHidden/>
              </w:rPr>
            </w:r>
            <w:r w:rsidRPr="00720B94">
              <w:rPr>
                <w:noProof/>
                <w:webHidden/>
              </w:rPr>
              <w:fldChar w:fldCharType="separate"/>
            </w:r>
            <w:r w:rsidR="00A247F7">
              <w:rPr>
                <w:noProof/>
                <w:webHidden/>
              </w:rPr>
              <w:t>57</w:t>
            </w:r>
            <w:r w:rsidRPr="00720B94">
              <w:rPr>
                <w:noProof/>
                <w:webHidden/>
              </w:rPr>
              <w:fldChar w:fldCharType="end"/>
            </w:r>
          </w:hyperlink>
        </w:p>
        <w:p w14:paraId="00C3135D" w14:textId="553AD2D7" w:rsidR="00505339" w:rsidRPr="00720B94" w:rsidRDefault="00505339" w:rsidP="00720B94">
          <w:pPr>
            <w:pStyle w:val="TOC1"/>
            <w:rPr>
              <w:rFonts w:asciiTheme="minorHAnsi" w:eastAsiaTheme="minorEastAsia" w:hAnsiTheme="minorHAnsi"/>
              <w:noProof/>
              <w:kern w:val="2"/>
              <w:sz w:val="24"/>
              <w:szCs w:val="24"/>
              <w14:ligatures w14:val="standardContextual"/>
            </w:rPr>
          </w:pPr>
          <w:hyperlink w:anchor="_Toc192509416" w:history="1">
            <w:r w:rsidRPr="009F65B4">
              <w:rPr>
                <w:rStyle w:val="Hyperlink"/>
                <w:b/>
                <w:bCs/>
                <w:noProof/>
                <w:color w:val="auto"/>
              </w:rPr>
              <w:t>Appendix J</w:t>
            </w:r>
            <w:r w:rsidR="004922DF" w:rsidRPr="009F65B4">
              <w:rPr>
                <w:rStyle w:val="Hyperlink"/>
                <w:b/>
                <w:bCs/>
                <w:noProof/>
                <w:color w:val="auto"/>
              </w:rPr>
              <w:t xml:space="preserve"> – DURC &amp; PEPP Risk, Scope, and Review</w:t>
            </w:r>
            <w:r w:rsidRPr="00720B94">
              <w:rPr>
                <w:noProof/>
                <w:webHidden/>
              </w:rPr>
              <w:tab/>
            </w:r>
            <w:r w:rsidRPr="00720B94">
              <w:rPr>
                <w:noProof/>
                <w:webHidden/>
              </w:rPr>
              <w:fldChar w:fldCharType="begin"/>
            </w:r>
            <w:r w:rsidRPr="00720B94">
              <w:rPr>
                <w:noProof/>
                <w:webHidden/>
              </w:rPr>
              <w:instrText xml:space="preserve"> PAGEREF _Toc192509416 \h </w:instrText>
            </w:r>
            <w:r w:rsidRPr="00720B94">
              <w:rPr>
                <w:noProof/>
                <w:webHidden/>
              </w:rPr>
            </w:r>
            <w:r w:rsidRPr="00720B94">
              <w:rPr>
                <w:noProof/>
                <w:webHidden/>
              </w:rPr>
              <w:fldChar w:fldCharType="separate"/>
            </w:r>
            <w:r w:rsidR="00A247F7">
              <w:rPr>
                <w:noProof/>
                <w:webHidden/>
              </w:rPr>
              <w:t>58</w:t>
            </w:r>
            <w:r w:rsidRPr="00720B94">
              <w:rPr>
                <w:noProof/>
                <w:webHidden/>
              </w:rPr>
              <w:fldChar w:fldCharType="end"/>
            </w:r>
          </w:hyperlink>
        </w:p>
        <w:p w14:paraId="56CA9952" w14:textId="323DB9DA" w:rsidR="00505339" w:rsidRPr="00720B94" w:rsidRDefault="00505339" w:rsidP="00720B94">
          <w:pPr>
            <w:pStyle w:val="TOC1"/>
            <w:rPr>
              <w:rFonts w:asciiTheme="minorHAnsi" w:eastAsiaTheme="minorEastAsia" w:hAnsiTheme="minorHAnsi"/>
              <w:noProof/>
              <w:kern w:val="2"/>
              <w:sz w:val="24"/>
              <w:szCs w:val="24"/>
              <w14:ligatures w14:val="standardContextual"/>
            </w:rPr>
          </w:pPr>
          <w:hyperlink w:anchor="_Toc192509417" w:history="1">
            <w:r w:rsidRPr="009F65B4">
              <w:rPr>
                <w:rStyle w:val="Hyperlink"/>
                <w:b/>
                <w:bCs/>
                <w:noProof/>
                <w:color w:val="auto"/>
              </w:rPr>
              <w:t>Appendix K</w:t>
            </w:r>
            <w:r w:rsidR="004922DF" w:rsidRPr="009F65B4">
              <w:rPr>
                <w:rStyle w:val="Hyperlink"/>
                <w:b/>
                <w:bCs/>
                <w:noProof/>
                <w:color w:val="auto"/>
              </w:rPr>
              <w:t xml:space="preserve"> – Glossary of Terms</w:t>
            </w:r>
            <w:r w:rsidRPr="00720B94">
              <w:rPr>
                <w:noProof/>
                <w:webHidden/>
              </w:rPr>
              <w:tab/>
            </w:r>
            <w:r w:rsidRPr="00720B94">
              <w:rPr>
                <w:noProof/>
                <w:webHidden/>
              </w:rPr>
              <w:fldChar w:fldCharType="begin"/>
            </w:r>
            <w:r w:rsidRPr="00720B94">
              <w:rPr>
                <w:noProof/>
                <w:webHidden/>
              </w:rPr>
              <w:instrText xml:space="preserve"> PAGEREF _Toc192509417 \h </w:instrText>
            </w:r>
            <w:r w:rsidRPr="00720B94">
              <w:rPr>
                <w:noProof/>
                <w:webHidden/>
              </w:rPr>
            </w:r>
            <w:r w:rsidRPr="00720B94">
              <w:rPr>
                <w:noProof/>
                <w:webHidden/>
              </w:rPr>
              <w:fldChar w:fldCharType="separate"/>
            </w:r>
            <w:r w:rsidR="00A247F7">
              <w:rPr>
                <w:noProof/>
                <w:webHidden/>
              </w:rPr>
              <w:t>62</w:t>
            </w:r>
            <w:r w:rsidRPr="00720B94">
              <w:rPr>
                <w:noProof/>
                <w:webHidden/>
              </w:rPr>
              <w:fldChar w:fldCharType="end"/>
            </w:r>
          </w:hyperlink>
        </w:p>
        <w:p w14:paraId="3568C405" w14:textId="47CB1828" w:rsidR="00505339" w:rsidRPr="00720B94" w:rsidRDefault="00505339" w:rsidP="00720B94">
          <w:pPr>
            <w:pStyle w:val="TOC1"/>
            <w:rPr>
              <w:rFonts w:asciiTheme="minorHAnsi" w:eastAsiaTheme="minorEastAsia" w:hAnsiTheme="minorHAnsi"/>
              <w:noProof/>
              <w:kern w:val="2"/>
              <w:sz w:val="24"/>
              <w:szCs w:val="24"/>
              <w14:ligatures w14:val="standardContextual"/>
            </w:rPr>
          </w:pPr>
          <w:hyperlink w:anchor="_Toc192509418" w:history="1">
            <w:r w:rsidRPr="009F65B4">
              <w:rPr>
                <w:rStyle w:val="Hyperlink"/>
                <w:b/>
                <w:bCs/>
                <w:noProof/>
                <w:color w:val="auto"/>
              </w:rPr>
              <w:t>Appendix L</w:t>
            </w:r>
            <w:r w:rsidR="004922DF" w:rsidRPr="009F65B4">
              <w:rPr>
                <w:rStyle w:val="Hyperlink"/>
                <w:b/>
                <w:bCs/>
                <w:noProof/>
                <w:color w:val="auto"/>
              </w:rPr>
              <w:t xml:space="preserve"> – Glossary of Acronyms</w:t>
            </w:r>
            <w:r w:rsidRPr="00720B94">
              <w:rPr>
                <w:noProof/>
                <w:webHidden/>
              </w:rPr>
              <w:tab/>
            </w:r>
            <w:r w:rsidRPr="00720B94">
              <w:rPr>
                <w:noProof/>
                <w:webHidden/>
              </w:rPr>
              <w:fldChar w:fldCharType="begin"/>
            </w:r>
            <w:r w:rsidRPr="00720B94">
              <w:rPr>
                <w:noProof/>
                <w:webHidden/>
              </w:rPr>
              <w:instrText xml:space="preserve"> PAGEREF _Toc192509418 \h </w:instrText>
            </w:r>
            <w:r w:rsidRPr="00720B94">
              <w:rPr>
                <w:noProof/>
                <w:webHidden/>
              </w:rPr>
            </w:r>
            <w:r w:rsidRPr="00720B94">
              <w:rPr>
                <w:noProof/>
                <w:webHidden/>
              </w:rPr>
              <w:fldChar w:fldCharType="separate"/>
            </w:r>
            <w:r w:rsidR="00A247F7">
              <w:rPr>
                <w:noProof/>
                <w:webHidden/>
              </w:rPr>
              <w:t>65</w:t>
            </w:r>
            <w:r w:rsidRPr="00720B94">
              <w:rPr>
                <w:noProof/>
                <w:webHidden/>
              </w:rPr>
              <w:fldChar w:fldCharType="end"/>
            </w:r>
          </w:hyperlink>
        </w:p>
        <w:p w14:paraId="4CFDD564" w14:textId="0F34C1F8" w:rsidR="00132825" w:rsidRPr="00720B94" w:rsidRDefault="00123FF6" w:rsidP="00720B94">
          <w:pPr>
            <w:pStyle w:val="TOC1"/>
            <w:rPr>
              <w:rStyle w:val="Hyperlink"/>
              <w:noProof/>
            </w:rPr>
          </w:pPr>
          <w:r w:rsidRPr="00720B94">
            <w:fldChar w:fldCharType="end"/>
          </w:r>
        </w:p>
      </w:sdtContent>
    </w:sdt>
    <w:p w14:paraId="40DD142D" w14:textId="40F04C72" w:rsidR="00123FF6" w:rsidRPr="00720B94" w:rsidRDefault="00123FF6" w:rsidP="00720B94"/>
    <w:p w14:paraId="65E54544" w14:textId="77777777" w:rsidR="00637DF7" w:rsidRPr="00720B94" w:rsidRDefault="00145E8C" w:rsidP="00720B94">
      <w:pPr>
        <w:rPr>
          <w:i/>
          <w:iCs/>
        </w:rPr>
      </w:pPr>
      <w:r w:rsidRPr="00720B94">
        <w:t xml:space="preserve">Adapted with permission from </w:t>
      </w:r>
      <w:r w:rsidRPr="00720B94">
        <w:rPr>
          <w:i/>
          <w:iCs/>
        </w:rPr>
        <w:t>UW-Madison Researchers’ Biosafety Manual</w:t>
      </w:r>
    </w:p>
    <w:p w14:paraId="366BC7BE" w14:textId="70E0FB5B" w:rsidR="00123FF6" w:rsidRPr="00720B94" w:rsidRDefault="00637DF7" w:rsidP="00720B94">
      <w:pPr>
        <w:rPr>
          <w:rFonts w:asciiTheme="majorHAnsi" w:eastAsiaTheme="majorEastAsia" w:hAnsiTheme="majorHAnsi" w:cstheme="majorBidi"/>
          <w:color w:val="620012" w:themeColor="accent1" w:themeShade="BF"/>
          <w:sz w:val="32"/>
          <w:szCs w:val="32"/>
        </w:rPr>
      </w:pPr>
      <w:r w:rsidRPr="00720B94">
        <w:t xml:space="preserve">Revised </w:t>
      </w:r>
      <w:r w:rsidR="007D6C8A">
        <w:t>5</w:t>
      </w:r>
      <w:r w:rsidRPr="00720B94">
        <w:t>/202</w:t>
      </w:r>
      <w:r w:rsidR="00283E13" w:rsidRPr="00720B94">
        <w:t>5</w:t>
      </w:r>
    </w:p>
    <w:p w14:paraId="495ACA0C" w14:textId="3135C05B" w:rsidR="00123FF6" w:rsidRPr="00720B94" w:rsidRDefault="121F9A3E" w:rsidP="00720B94">
      <w:pPr>
        <w:rPr>
          <w:rFonts w:asciiTheme="majorHAnsi" w:eastAsiaTheme="majorEastAsia" w:hAnsiTheme="majorHAnsi" w:cstheme="majorBidi"/>
          <w:color w:val="620012" w:themeColor="accent1" w:themeShade="BF"/>
          <w:sz w:val="32"/>
          <w:szCs w:val="32"/>
        </w:rPr>
      </w:pPr>
      <w:r w:rsidRPr="00720B94">
        <w:t xml:space="preserve">Links </w:t>
      </w:r>
      <w:r w:rsidR="00717676">
        <w:t>v</w:t>
      </w:r>
      <w:r w:rsidRPr="00720B94">
        <w:t xml:space="preserve">erified </w:t>
      </w:r>
      <w:r w:rsidR="007D6C8A">
        <w:t>5</w:t>
      </w:r>
      <w:r w:rsidRPr="00720B94">
        <w:t>/2025</w:t>
      </w:r>
      <w:r w:rsidR="00B10070">
        <w:t>, but if broken please refer to IBC website</w:t>
      </w:r>
      <w:r w:rsidR="00717676" w:rsidRPr="00720B94">
        <w:t xml:space="preserve"> </w:t>
      </w:r>
      <w:r w:rsidR="00637DF7" w:rsidRPr="00720B94">
        <w:br w:type="page"/>
      </w:r>
    </w:p>
    <w:p w14:paraId="63909571" w14:textId="3DAECB09" w:rsidR="00CC0C72" w:rsidRPr="00720B94" w:rsidRDefault="00D00C75" w:rsidP="00720B94">
      <w:pPr>
        <w:pStyle w:val="Heading1"/>
      </w:pPr>
      <w:bookmarkStart w:id="0" w:name="_Toc192509308"/>
      <w:r w:rsidRPr="00720B94">
        <w:lastRenderedPageBreak/>
        <w:t>Introduction</w:t>
      </w:r>
      <w:bookmarkEnd w:id="0"/>
    </w:p>
    <w:p w14:paraId="5CA7FE06" w14:textId="7B296BC5" w:rsidR="00A93758" w:rsidRPr="00720B94" w:rsidRDefault="00F102E7" w:rsidP="00720B94">
      <w:pPr>
        <w:spacing w:line="276" w:lineRule="auto"/>
        <w:rPr>
          <w:rFonts w:eastAsia="Arial" w:cs="Arial"/>
        </w:rPr>
      </w:pPr>
      <w:r w:rsidRPr="00720B94">
        <w:rPr>
          <w:rFonts w:eastAsia="Arial" w:cs="Arial"/>
        </w:rPr>
        <w:t xml:space="preserve">The </w:t>
      </w:r>
      <w:r w:rsidR="00E63D92" w:rsidRPr="00720B94">
        <w:rPr>
          <w:rFonts w:eastAsia="Arial" w:cs="Arial"/>
        </w:rPr>
        <w:t>University of Wisconsin-La Crosse (</w:t>
      </w:r>
      <w:r w:rsidR="0005406C" w:rsidRPr="00720B94">
        <w:rPr>
          <w:rFonts w:eastAsia="Arial" w:cs="Arial"/>
        </w:rPr>
        <w:t>UWL</w:t>
      </w:r>
      <w:r w:rsidR="00E63D92" w:rsidRPr="00720B94">
        <w:rPr>
          <w:rFonts w:eastAsia="Arial" w:cs="Arial"/>
        </w:rPr>
        <w:t>)</w:t>
      </w:r>
      <w:r w:rsidRPr="00720B94">
        <w:rPr>
          <w:rFonts w:eastAsia="Arial" w:cs="Arial"/>
        </w:rPr>
        <w:t xml:space="preserve"> Bi</w:t>
      </w:r>
      <w:r w:rsidR="0005406C" w:rsidRPr="00720B94">
        <w:rPr>
          <w:rFonts w:eastAsia="Arial" w:cs="Arial"/>
        </w:rPr>
        <w:t>os</w:t>
      </w:r>
      <w:r w:rsidRPr="00720B94">
        <w:rPr>
          <w:rFonts w:eastAsia="Arial" w:cs="Arial"/>
        </w:rPr>
        <w:t>afety Manual is intended as a resource to provide personnel with the best practices for working with biological materials</w:t>
      </w:r>
      <w:r w:rsidR="00D43567" w:rsidRPr="00720B94">
        <w:rPr>
          <w:rFonts w:eastAsia="Arial" w:cs="Arial"/>
        </w:rPr>
        <w:t xml:space="preserve"> that entail a potential risk to humans, animals, or the environment.</w:t>
      </w:r>
      <w:r w:rsidRPr="00720B94">
        <w:rPr>
          <w:rFonts w:eastAsia="Arial" w:cs="Arial"/>
        </w:rPr>
        <w:t xml:space="preserve"> Complying with best practices helps ensure </w:t>
      </w:r>
      <w:r w:rsidR="0067543A" w:rsidRPr="00720B94">
        <w:rPr>
          <w:rFonts w:eastAsia="Arial" w:cs="Arial"/>
        </w:rPr>
        <w:t xml:space="preserve">research </w:t>
      </w:r>
      <w:r w:rsidR="003477DB" w:rsidRPr="00720B94">
        <w:rPr>
          <w:rFonts w:eastAsia="Arial" w:cs="Arial"/>
        </w:rPr>
        <w:t>is</w:t>
      </w:r>
      <w:r w:rsidRPr="00720B94">
        <w:rPr>
          <w:rFonts w:eastAsia="Arial" w:cs="Arial"/>
        </w:rPr>
        <w:t xml:space="preserve"> conducted in a safe and secure manner in accordance with all applicable regulations and guidelines. This manual is based on </w:t>
      </w:r>
      <w:r w:rsidR="00765CFD" w:rsidRPr="00720B94">
        <w:rPr>
          <w:rFonts w:eastAsia="Arial" w:cs="Arial"/>
        </w:rPr>
        <w:t xml:space="preserve">the </w:t>
      </w:r>
      <w:hyperlink r:id="rId13" w:history="1">
        <w:r w:rsidR="00D2406A" w:rsidRPr="00717676">
          <w:rPr>
            <w:rStyle w:val="Hyperlink"/>
            <w:rFonts w:eastAsia="Arial" w:cs="Arial"/>
            <w:i/>
            <w:iCs/>
            <w:color w:val="007D89" w:themeColor="accent3" w:themeShade="BF"/>
          </w:rPr>
          <w:t xml:space="preserve">National Institutes of Health (NIH) </w:t>
        </w:r>
        <w:r w:rsidR="00D2406A" w:rsidRPr="00717676">
          <w:rPr>
            <w:rStyle w:val="Hyperlink"/>
            <w:rFonts w:eastAsia="Arial" w:cs="Arial"/>
            <w:i/>
            <w:color w:val="007D89" w:themeColor="accent3" w:themeShade="BF"/>
          </w:rPr>
          <w:t>Guidelines for Research Involving Recombinant or Synthetic Nucleic Acid Molecules</w:t>
        </w:r>
      </w:hyperlink>
      <w:r w:rsidR="00A93758" w:rsidRPr="00720B94">
        <w:rPr>
          <w:rFonts w:eastAsia="Arial" w:cs="Arial"/>
        </w:rPr>
        <w:t xml:space="preserve"> </w:t>
      </w:r>
      <w:r w:rsidR="00765CFD" w:rsidRPr="00720B94">
        <w:rPr>
          <w:rFonts w:eastAsia="Arial" w:cs="Arial"/>
        </w:rPr>
        <w:t>(NIH Guidelines)</w:t>
      </w:r>
      <w:r w:rsidR="00DD34D6" w:rsidRPr="00720B94">
        <w:rPr>
          <w:rFonts w:eastAsia="Arial" w:cs="Arial"/>
        </w:rPr>
        <w:t xml:space="preserve"> and </w:t>
      </w:r>
      <w:r w:rsidRPr="00720B94">
        <w:rPr>
          <w:rFonts w:eastAsia="Arial" w:cs="Arial"/>
        </w:rPr>
        <w:t xml:space="preserve">the Centers for Disease Control </w:t>
      </w:r>
      <w:r w:rsidR="00DD34D6" w:rsidRPr="00720B94">
        <w:rPr>
          <w:rFonts w:eastAsia="Arial" w:cs="Arial"/>
        </w:rPr>
        <w:t>&amp;</w:t>
      </w:r>
      <w:r w:rsidRPr="00720B94">
        <w:rPr>
          <w:rFonts w:eastAsia="Arial" w:cs="Arial"/>
        </w:rPr>
        <w:t xml:space="preserve"> Prevention (CDC) </w:t>
      </w:r>
      <w:hyperlink r:id="rId14" w:history="1">
        <w:r w:rsidRPr="00717676">
          <w:rPr>
            <w:rStyle w:val="Hyperlink"/>
            <w:rFonts w:eastAsia="Arial" w:cs="Arial"/>
            <w:i/>
            <w:color w:val="007D89" w:themeColor="accent3" w:themeShade="BF"/>
          </w:rPr>
          <w:t>Biosafety in Microbiological and Biomedical Laboratories</w:t>
        </w:r>
      </w:hyperlink>
      <w:r w:rsidRPr="00720B94">
        <w:rPr>
          <w:rFonts w:eastAsia="Arial" w:cs="Arial"/>
        </w:rPr>
        <w:t xml:space="preserve"> </w:t>
      </w:r>
      <w:r w:rsidR="00DD34D6" w:rsidRPr="00720B94">
        <w:rPr>
          <w:rFonts w:eastAsia="Arial" w:cs="Arial"/>
        </w:rPr>
        <w:t>(BMBL)</w:t>
      </w:r>
      <w:r w:rsidRPr="00720B94">
        <w:rPr>
          <w:rFonts w:eastAsia="Arial" w:cs="Arial"/>
        </w:rPr>
        <w:t xml:space="preserve">. </w:t>
      </w:r>
    </w:p>
    <w:p w14:paraId="4758FDE4" w14:textId="12CFF266" w:rsidR="00D0447F" w:rsidRPr="00720B94" w:rsidRDefault="00F3467E" w:rsidP="00720B94">
      <w:pPr>
        <w:spacing w:line="276" w:lineRule="auto"/>
        <w:rPr>
          <w:rFonts w:cs="Arial"/>
        </w:rPr>
      </w:pPr>
      <w:r w:rsidRPr="00720B94">
        <w:rPr>
          <w:rFonts w:eastAsia="Arial" w:cs="Arial"/>
        </w:rPr>
        <w:t>For</w:t>
      </w:r>
      <w:r w:rsidR="000F19C6" w:rsidRPr="00720B94">
        <w:rPr>
          <w:rFonts w:eastAsia="Arial" w:cs="Arial"/>
        </w:rPr>
        <w:t xml:space="preserve"> applicable classroom projects and</w:t>
      </w:r>
      <w:r w:rsidRPr="00720B94">
        <w:rPr>
          <w:rFonts w:eastAsia="Arial" w:cs="Arial"/>
        </w:rPr>
        <w:t xml:space="preserve"> r</w:t>
      </w:r>
      <w:r w:rsidR="004F32DF" w:rsidRPr="00720B94">
        <w:rPr>
          <w:rFonts w:eastAsia="Arial" w:cs="Arial"/>
        </w:rPr>
        <w:t>esearch involving biological materials that entail a potential</w:t>
      </w:r>
      <w:r w:rsidRPr="00720B94">
        <w:rPr>
          <w:rFonts w:eastAsia="Arial" w:cs="Arial"/>
        </w:rPr>
        <w:t xml:space="preserve"> risk to humans, animals, plants, or the environment, a UWL faculty or staff member </w:t>
      </w:r>
      <w:r w:rsidR="00F63D06" w:rsidRPr="00720B94">
        <w:rPr>
          <w:rFonts w:eastAsia="Arial" w:cs="Arial"/>
        </w:rPr>
        <w:t xml:space="preserve">must complete a </w:t>
      </w:r>
      <w:hyperlink r:id="rId15" w:history="1">
        <w:r w:rsidR="00F63D06" w:rsidRPr="00717676">
          <w:rPr>
            <w:rStyle w:val="Hyperlink"/>
            <w:rFonts w:eastAsia="Arial" w:cs="Arial"/>
            <w:color w:val="007D89" w:themeColor="accent3" w:themeShade="BF"/>
          </w:rPr>
          <w:t>Biosafety Protocol Application</w:t>
        </w:r>
      </w:hyperlink>
      <w:r w:rsidR="00F63D06" w:rsidRPr="00720B94">
        <w:rPr>
          <w:rFonts w:eastAsia="Arial" w:cs="Arial"/>
        </w:rPr>
        <w:t xml:space="preserve"> to be reviewed by the Institutional Biosafety Committee (IBC). </w:t>
      </w:r>
      <w:r w:rsidR="00F102E7" w:rsidRPr="00720B94">
        <w:rPr>
          <w:rFonts w:eastAsia="Arial" w:cs="Arial"/>
        </w:rPr>
        <w:t xml:space="preserve">Failure to comply with these </w:t>
      </w:r>
      <w:r w:rsidR="00D0447F" w:rsidRPr="00720B94">
        <w:rPr>
          <w:rFonts w:eastAsia="Arial" w:cs="Arial"/>
        </w:rPr>
        <w:t>requirements</w:t>
      </w:r>
      <w:r w:rsidR="00F102E7" w:rsidRPr="00720B94">
        <w:rPr>
          <w:rFonts w:eastAsia="Arial" w:cs="Arial"/>
        </w:rPr>
        <w:t xml:space="preserve"> may result in intervention by the IBC, which could result in enforced cessation of the activity. </w:t>
      </w:r>
      <w:r w:rsidR="004A7BA0" w:rsidRPr="00720B94">
        <w:rPr>
          <w:rFonts w:eastAsia="Arial" w:cs="Arial"/>
        </w:rPr>
        <w:t>Act</w:t>
      </w:r>
      <w:r w:rsidR="00D0447F" w:rsidRPr="00720B94">
        <w:rPr>
          <w:rFonts w:eastAsia="Arial" w:cs="Arial"/>
        </w:rPr>
        <w:t xml:space="preserve">ivities involving human-derived materials must additionally comply with </w:t>
      </w:r>
      <w:hyperlink r:id="rId16">
        <w:r w:rsidR="00D0447F" w:rsidRPr="00717676">
          <w:rPr>
            <w:rStyle w:val="Hyperlink"/>
            <w:rFonts w:cs="Arial"/>
            <w:color w:val="007D89" w:themeColor="accent3" w:themeShade="BF"/>
          </w:rPr>
          <w:t>UWL Environmental Health &amp; Safety</w:t>
        </w:r>
      </w:hyperlink>
      <w:r w:rsidR="00D0447F" w:rsidRPr="00720B94">
        <w:rPr>
          <w:rFonts w:eastAsia="Arial" w:cs="Arial"/>
        </w:rPr>
        <w:t xml:space="preserve"> requirements (e.g., training, exposure control/BBP plan).</w:t>
      </w:r>
      <w:r w:rsidR="00D0447F" w:rsidRPr="00720B94">
        <w:rPr>
          <w:rFonts w:cs="Arial"/>
        </w:rPr>
        <w:t xml:space="preserve"> Activities involving vertebrate animals must additionally comply with </w:t>
      </w:r>
      <w:hyperlink r:id="rId17">
        <w:r w:rsidR="00D0447F" w:rsidRPr="00717676">
          <w:rPr>
            <w:rStyle w:val="Hyperlink"/>
            <w:rFonts w:cs="Arial"/>
            <w:color w:val="007D89" w:themeColor="accent3" w:themeShade="BF"/>
          </w:rPr>
          <w:t xml:space="preserve">UWL Institutional Animal Care &amp; Use Committee </w:t>
        </w:r>
        <w:r w:rsidR="00372221" w:rsidRPr="00717676">
          <w:rPr>
            <w:rStyle w:val="Hyperlink"/>
            <w:rFonts w:cs="Arial"/>
            <w:color w:val="007D89" w:themeColor="accent3" w:themeShade="BF"/>
          </w:rPr>
          <w:t xml:space="preserve">(IACUC) </w:t>
        </w:r>
        <w:r w:rsidR="00D0447F" w:rsidRPr="00717676">
          <w:rPr>
            <w:rStyle w:val="Hyperlink"/>
            <w:rFonts w:cs="Arial"/>
            <w:color w:val="007D89" w:themeColor="accent3" w:themeShade="BF"/>
          </w:rPr>
          <w:t>policies and procedures</w:t>
        </w:r>
      </w:hyperlink>
      <w:r w:rsidR="00D0447F" w:rsidRPr="00720B94">
        <w:rPr>
          <w:rFonts w:cs="Arial"/>
        </w:rPr>
        <w:t xml:space="preserve">. Activities involving the </w:t>
      </w:r>
      <w:r w:rsidR="00D0447F" w:rsidRPr="00720B94">
        <w:t>deliberate transfer of recombinant or synthetic nucleic acids, recombinant microbes</w:t>
      </w:r>
      <w:r w:rsidR="008A0BA8" w:rsidRPr="00720B94">
        <w:t>,</w:t>
      </w:r>
      <w:r w:rsidR="00D0447F" w:rsidRPr="00720B94">
        <w:t xml:space="preserve"> or cells into human research participants (human gene transfer studies) must additionally comply with </w:t>
      </w:r>
      <w:hyperlink r:id="rId18">
        <w:r w:rsidR="00D0447F" w:rsidRPr="00717676">
          <w:rPr>
            <w:rStyle w:val="Hyperlink"/>
            <w:color w:val="007D89" w:themeColor="accent3" w:themeShade="BF"/>
          </w:rPr>
          <w:t>UWL Institutional Review Board (IRB) for the Protection of Human Subjects</w:t>
        </w:r>
      </w:hyperlink>
      <w:r w:rsidR="00D0447F" w:rsidRPr="00720B94">
        <w:t xml:space="preserve"> requirements.</w:t>
      </w:r>
    </w:p>
    <w:p w14:paraId="3F956C6B" w14:textId="15DFD772" w:rsidR="007B6ED3" w:rsidRPr="00720B94" w:rsidRDefault="007B6ED3" w:rsidP="00720B94">
      <w:pPr>
        <w:rPr>
          <w:rFonts w:cs="Arial"/>
        </w:rPr>
      </w:pPr>
      <w:r w:rsidRPr="00720B94">
        <w:rPr>
          <w:rFonts w:cs="Arial"/>
        </w:rPr>
        <w:t>A copy of this guide, along with other I</w:t>
      </w:r>
      <w:r w:rsidR="00C8222E" w:rsidRPr="00720B94">
        <w:rPr>
          <w:rFonts w:cs="Arial"/>
        </w:rPr>
        <w:t>BC</w:t>
      </w:r>
      <w:r w:rsidRPr="00720B94">
        <w:rPr>
          <w:rFonts w:cs="Arial"/>
        </w:rPr>
        <w:t xml:space="preserve"> resources, is available at</w:t>
      </w:r>
      <w:r w:rsidR="00C8222E" w:rsidRPr="00720B94">
        <w:rPr>
          <w:rFonts w:cs="Arial"/>
        </w:rPr>
        <w:t xml:space="preserve"> </w:t>
      </w:r>
      <w:r w:rsidR="00F63D06" w:rsidRPr="00720B94">
        <w:rPr>
          <w:rFonts w:cs="Arial"/>
        </w:rPr>
        <w:t xml:space="preserve">the </w:t>
      </w:r>
      <w:hyperlink r:id="rId19" w:history="1">
        <w:r w:rsidR="00F63D06" w:rsidRPr="00717676">
          <w:rPr>
            <w:rStyle w:val="Hyperlink"/>
            <w:rFonts w:cs="Arial"/>
            <w:color w:val="007D89" w:themeColor="accent3" w:themeShade="BF"/>
          </w:rPr>
          <w:t>UWL IBC website</w:t>
        </w:r>
      </w:hyperlink>
      <w:r w:rsidR="00C8222E" w:rsidRPr="00720B94">
        <w:rPr>
          <w:rFonts w:cs="Arial"/>
        </w:rPr>
        <w:t xml:space="preserve">. </w:t>
      </w:r>
    </w:p>
    <w:p w14:paraId="16FE55DF" w14:textId="71CF60A8" w:rsidR="0043317F" w:rsidRPr="00720B94" w:rsidRDefault="0043317F" w:rsidP="00720B94">
      <w:pPr>
        <w:pStyle w:val="Heading1"/>
      </w:pPr>
      <w:bookmarkStart w:id="1" w:name="_Toc192509309"/>
      <w:r w:rsidRPr="00720B94">
        <w:t>Contacts</w:t>
      </w:r>
      <w:bookmarkEnd w:id="1"/>
    </w:p>
    <w:p w14:paraId="63A4EED0" w14:textId="5B19A023" w:rsidR="009E6DED" w:rsidRPr="00720B94" w:rsidRDefault="00594A87" w:rsidP="00720B94">
      <w:pPr>
        <w:spacing w:after="0"/>
        <w:rPr>
          <w:rFonts w:cs="Arial"/>
          <w:b/>
          <w:bCs/>
        </w:rPr>
      </w:pPr>
      <w:r w:rsidRPr="00720B94">
        <w:rPr>
          <w:rFonts w:cs="Arial"/>
          <w:b/>
          <w:bCs/>
        </w:rPr>
        <w:t xml:space="preserve">IBC </w:t>
      </w:r>
      <w:r w:rsidR="009E6DED" w:rsidRPr="00720B94">
        <w:rPr>
          <w:rFonts w:cs="Arial"/>
          <w:b/>
          <w:bCs/>
        </w:rPr>
        <w:t>Administrative Office:</w:t>
      </w:r>
    </w:p>
    <w:p w14:paraId="63512B00" w14:textId="284E4F43" w:rsidR="009E6DED" w:rsidRPr="00720B94" w:rsidRDefault="009E6DED" w:rsidP="00720B94">
      <w:pPr>
        <w:rPr>
          <w:rFonts w:cs="Arial"/>
        </w:rPr>
      </w:pPr>
      <w:r w:rsidRPr="00720B94">
        <w:rPr>
          <w:rFonts w:cs="Arial"/>
        </w:rPr>
        <w:t>Office of Research &amp; Sponsored Programs</w:t>
      </w:r>
      <w:r w:rsidR="00567C08" w:rsidRPr="00720B94">
        <w:rPr>
          <w:rFonts w:cs="Arial"/>
        </w:rPr>
        <w:t xml:space="preserve">, 608.785.8007, </w:t>
      </w:r>
      <w:r w:rsidR="00D0447F" w:rsidRPr="00720B94">
        <w:rPr>
          <w:rFonts w:cs="Arial"/>
        </w:rPr>
        <w:t>grants@uwlax.edu</w:t>
      </w:r>
      <w:r w:rsidR="00567C08" w:rsidRPr="00720B94">
        <w:rPr>
          <w:rFonts w:cs="Arial"/>
        </w:rPr>
        <w:t xml:space="preserve"> </w:t>
      </w:r>
    </w:p>
    <w:p w14:paraId="27FFCD11" w14:textId="3723F10E" w:rsidR="00875D5F" w:rsidRPr="00720B94" w:rsidRDefault="00875D5F" w:rsidP="00720B94">
      <w:pPr>
        <w:spacing w:after="0"/>
        <w:rPr>
          <w:rFonts w:cs="Arial"/>
          <w:b/>
          <w:bCs/>
        </w:rPr>
      </w:pPr>
      <w:r w:rsidRPr="00720B94">
        <w:rPr>
          <w:rFonts w:cs="Arial"/>
          <w:b/>
          <w:bCs/>
        </w:rPr>
        <w:t>IBC Chair:</w:t>
      </w:r>
    </w:p>
    <w:p w14:paraId="78E365D9" w14:textId="3D4565D1" w:rsidR="00875D5F" w:rsidRPr="00720B94" w:rsidRDefault="00EC12CF" w:rsidP="00720B94">
      <w:pPr>
        <w:rPr>
          <w:rFonts w:cs="Arial"/>
        </w:rPr>
      </w:pPr>
      <w:r w:rsidRPr="00720B94">
        <w:rPr>
          <w:rFonts w:cs="Arial"/>
        </w:rPr>
        <w:t>Paul Schweiger</w:t>
      </w:r>
      <w:r w:rsidR="00C80923" w:rsidRPr="00720B94">
        <w:rPr>
          <w:rFonts w:cs="Arial"/>
        </w:rPr>
        <w:t>, Associate Professor, Microbiology, 608.785.</w:t>
      </w:r>
      <w:r w:rsidR="00DB21C0" w:rsidRPr="00720B94">
        <w:rPr>
          <w:rFonts w:cs="Arial"/>
        </w:rPr>
        <w:t>8524, pschweiger@uwlax.edu</w:t>
      </w:r>
    </w:p>
    <w:p w14:paraId="18782CE1" w14:textId="48E470DC" w:rsidR="002A2E5E" w:rsidRPr="00720B94" w:rsidRDefault="7A958F0B" w:rsidP="00720B94">
      <w:pPr>
        <w:spacing w:after="0"/>
        <w:rPr>
          <w:rFonts w:cs="Arial"/>
          <w:b/>
          <w:bCs/>
        </w:rPr>
      </w:pPr>
      <w:r w:rsidRPr="00720B94">
        <w:rPr>
          <w:rFonts w:cs="Arial"/>
          <w:b/>
          <w:bCs/>
        </w:rPr>
        <w:t xml:space="preserve">IACUC &amp; </w:t>
      </w:r>
      <w:r w:rsidR="002A2E5E" w:rsidRPr="00720B94">
        <w:rPr>
          <w:rFonts w:cs="Arial"/>
          <w:b/>
          <w:bCs/>
        </w:rPr>
        <w:t>IBC Coordinator:</w:t>
      </w:r>
    </w:p>
    <w:p w14:paraId="69EA890A" w14:textId="3A6B9F76" w:rsidR="002A2E5E" w:rsidRPr="00720B94" w:rsidRDefault="522BA86A" w:rsidP="00720B94">
      <w:pPr>
        <w:spacing w:after="0"/>
        <w:rPr>
          <w:rFonts w:cs="Arial"/>
        </w:rPr>
      </w:pPr>
      <w:r w:rsidRPr="00720B94">
        <w:rPr>
          <w:rFonts w:cs="Arial"/>
        </w:rPr>
        <w:t>Sumei Liu, Professor, Biology, 608.785.6971, sliu@uwlax.edu</w:t>
      </w:r>
    </w:p>
    <w:p w14:paraId="21D3CE27" w14:textId="77777777" w:rsidR="002A2E5E" w:rsidRPr="00720B94" w:rsidRDefault="002A2E5E" w:rsidP="00720B94">
      <w:pPr>
        <w:spacing w:after="0"/>
        <w:rPr>
          <w:rFonts w:cs="Arial"/>
        </w:rPr>
      </w:pPr>
    </w:p>
    <w:p w14:paraId="42A6DBEA" w14:textId="578EB30F" w:rsidR="00401A72" w:rsidRPr="00720B94" w:rsidRDefault="005A7234" w:rsidP="00720B94">
      <w:pPr>
        <w:spacing w:after="0"/>
        <w:rPr>
          <w:rFonts w:cs="Arial"/>
          <w:b/>
          <w:bCs/>
        </w:rPr>
      </w:pPr>
      <w:r w:rsidRPr="00720B94">
        <w:rPr>
          <w:rFonts w:cs="Arial"/>
          <w:b/>
          <w:bCs/>
        </w:rPr>
        <w:t>IBC Institutional Oversight/Research Integrity Officer (RIO):</w:t>
      </w:r>
    </w:p>
    <w:p w14:paraId="3A118A71" w14:textId="721B675F" w:rsidR="005A7234" w:rsidRPr="00720B94" w:rsidRDefault="005A7234" w:rsidP="00720B94">
      <w:pPr>
        <w:rPr>
          <w:rFonts w:cs="Arial"/>
        </w:rPr>
      </w:pPr>
      <w:r w:rsidRPr="00720B94">
        <w:rPr>
          <w:rFonts w:cs="Arial"/>
        </w:rPr>
        <w:t xml:space="preserve">Sandy Grunwald, Associate Vice Chancellor for Academic Affairs, 608.785.8265, sgrunwald@uwlax.edu </w:t>
      </w:r>
    </w:p>
    <w:p w14:paraId="78AD9A75" w14:textId="5B5D8E9E" w:rsidR="00730EAE" w:rsidRPr="00720B94" w:rsidRDefault="00730EAE" w:rsidP="00720B94">
      <w:pPr>
        <w:spacing w:after="0"/>
        <w:rPr>
          <w:rFonts w:cs="Arial"/>
          <w:b/>
          <w:bCs/>
        </w:rPr>
      </w:pPr>
      <w:r w:rsidRPr="00720B94">
        <w:rPr>
          <w:rFonts w:cs="Arial"/>
          <w:b/>
          <w:bCs/>
        </w:rPr>
        <w:t>Environmental Health &amp; Safety Office:</w:t>
      </w:r>
    </w:p>
    <w:p w14:paraId="2F3532E5" w14:textId="3FFAACEA" w:rsidR="00730EAE" w:rsidRPr="00720B94" w:rsidRDefault="00730EAE" w:rsidP="00720B94">
      <w:pPr>
        <w:rPr>
          <w:rFonts w:cs="Arial"/>
        </w:rPr>
      </w:pPr>
      <w:r w:rsidRPr="00720B94">
        <w:rPr>
          <w:rFonts w:cs="Arial"/>
        </w:rPr>
        <w:t xml:space="preserve">Dan Sweetman, </w:t>
      </w:r>
      <w:r w:rsidR="001B6CE3" w:rsidRPr="00720B94">
        <w:rPr>
          <w:rFonts w:cs="Arial"/>
        </w:rPr>
        <w:t xml:space="preserve">Environmental Health &amp; Safety Associate Director, 608.785.6800, dsweetman@uwlax.edu, </w:t>
      </w:r>
      <w:r w:rsidRPr="00720B94">
        <w:rPr>
          <w:rFonts w:cs="Arial"/>
        </w:rPr>
        <w:t xml:space="preserve">https://www.uwlax.edu/ehs/ </w:t>
      </w:r>
    </w:p>
    <w:p w14:paraId="54EF830D" w14:textId="151B22BE" w:rsidR="005A7234" w:rsidRPr="00720B94" w:rsidRDefault="00372221" w:rsidP="00720B94">
      <w:pPr>
        <w:pStyle w:val="Heading1"/>
      </w:pPr>
      <w:bookmarkStart w:id="2" w:name="_Toc192509310"/>
      <w:r w:rsidRPr="00720B94">
        <w:t>Institutional Biosafety Committee (</w:t>
      </w:r>
      <w:r w:rsidR="00F72BE7" w:rsidRPr="00720B94">
        <w:t>IBC</w:t>
      </w:r>
      <w:r w:rsidRPr="00720B94">
        <w:t>)</w:t>
      </w:r>
      <w:r w:rsidR="00F72BE7" w:rsidRPr="00720B94">
        <w:t xml:space="preserve"> </w:t>
      </w:r>
      <w:r w:rsidR="00986FF5" w:rsidRPr="00720B94">
        <w:t>Statement of Purpose</w:t>
      </w:r>
      <w:bookmarkEnd w:id="2"/>
    </w:p>
    <w:p w14:paraId="126A93ED" w14:textId="2777844D" w:rsidR="00A441E6" w:rsidRPr="00720B94" w:rsidRDefault="00A441E6" w:rsidP="00720B94">
      <w:pPr>
        <w:rPr>
          <w:rFonts w:cs="Arial"/>
        </w:rPr>
      </w:pPr>
      <w:r w:rsidRPr="00720B94">
        <w:rPr>
          <w:rFonts w:cs="Arial"/>
        </w:rPr>
        <w:t>The</w:t>
      </w:r>
      <w:r w:rsidR="7E8DCF79" w:rsidRPr="00720B94">
        <w:rPr>
          <w:rFonts w:cs="Arial"/>
        </w:rPr>
        <w:t xml:space="preserve"> </w:t>
      </w:r>
      <w:r w:rsidRPr="00720B94">
        <w:rPr>
          <w:rFonts w:cs="Arial"/>
        </w:rPr>
        <w:t xml:space="preserve">IBC is charged with responsibility for oversight of </w:t>
      </w:r>
      <w:r w:rsidR="00236C7D" w:rsidRPr="00720B94">
        <w:rPr>
          <w:rFonts w:cs="Arial"/>
        </w:rPr>
        <w:t xml:space="preserve">classroom projects and </w:t>
      </w:r>
      <w:r w:rsidRPr="00720B94">
        <w:rPr>
          <w:rFonts w:cs="Arial"/>
        </w:rPr>
        <w:t>research</w:t>
      </w:r>
      <w:r w:rsidR="00724EE0" w:rsidRPr="00720B94">
        <w:rPr>
          <w:rFonts w:cs="Arial"/>
        </w:rPr>
        <w:t xml:space="preserve"> </w:t>
      </w:r>
      <w:r w:rsidRPr="00720B94">
        <w:rPr>
          <w:rFonts w:cs="Arial"/>
        </w:rPr>
        <w:t>using biological materials that entail a potential risk to humans, animals, or the environment. This includes</w:t>
      </w:r>
      <w:r w:rsidR="00030661" w:rsidRPr="00720B94">
        <w:rPr>
          <w:rFonts w:cs="Arial"/>
        </w:rPr>
        <w:t xml:space="preserve"> </w:t>
      </w:r>
      <w:r w:rsidR="00A068B5" w:rsidRPr="00720B94">
        <w:rPr>
          <w:rFonts w:cs="Arial"/>
        </w:rPr>
        <w:t>activities</w:t>
      </w:r>
      <w:r w:rsidRPr="00720B94">
        <w:rPr>
          <w:rFonts w:cs="Arial"/>
        </w:rPr>
        <w:t xml:space="preserve"> involving recombinant </w:t>
      </w:r>
      <w:r w:rsidR="00D551F9" w:rsidRPr="00720B94">
        <w:rPr>
          <w:rFonts w:cs="Arial"/>
        </w:rPr>
        <w:t>or synthetic nucleic acid molecules</w:t>
      </w:r>
      <w:r w:rsidR="00965F3A" w:rsidRPr="00720B94">
        <w:rPr>
          <w:rFonts w:cs="Arial"/>
        </w:rPr>
        <w:t>;</w:t>
      </w:r>
      <w:r w:rsidRPr="00720B94">
        <w:rPr>
          <w:rFonts w:cs="Arial"/>
        </w:rPr>
        <w:t xml:space="preserve"> infectious agents</w:t>
      </w:r>
      <w:r w:rsidR="00D551F9" w:rsidRPr="00720B94">
        <w:rPr>
          <w:rFonts w:cs="Arial"/>
        </w:rPr>
        <w:t xml:space="preserve"> or pathogens</w:t>
      </w:r>
      <w:r w:rsidR="00965F3A" w:rsidRPr="00720B94">
        <w:rPr>
          <w:rFonts w:cs="Arial"/>
        </w:rPr>
        <w:t>;</w:t>
      </w:r>
      <w:r w:rsidRPr="00720B94">
        <w:rPr>
          <w:rFonts w:cs="Arial"/>
        </w:rPr>
        <w:t xml:space="preserve"> </w:t>
      </w:r>
      <w:r w:rsidR="00D551F9" w:rsidRPr="00720B94">
        <w:rPr>
          <w:rFonts w:cs="Arial"/>
        </w:rPr>
        <w:t>biological toxins</w:t>
      </w:r>
      <w:r w:rsidR="00965F3A" w:rsidRPr="00720B94">
        <w:rPr>
          <w:rFonts w:cs="Arial"/>
        </w:rPr>
        <w:t>;</w:t>
      </w:r>
      <w:r w:rsidR="00D551F9" w:rsidRPr="00720B94">
        <w:rPr>
          <w:rFonts w:cs="Arial"/>
        </w:rPr>
        <w:t xml:space="preserve"> </w:t>
      </w:r>
      <w:r w:rsidR="00965F3A" w:rsidRPr="00720B94">
        <w:rPr>
          <w:rFonts w:cs="Arial"/>
        </w:rPr>
        <w:t>human</w:t>
      </w:r>
      <w:r w:rsidR="00030661" w:rsidRPr="00720B94">
        <w:rPr>
          <w:rFonts w:cs="Arial"/>
        </w:rPr>
        <w:t>-derived tissues, fluids, and cells;</w:t>
      </w:r>
      <w:r w:rsidR="00965F3A" w:rsidRPr="00720B94">
        <w:rPr>
          <w:rFonts w:cs="Arial"/>
        </w:rPr>
        <w:t xml:space="preserve"> non-human animal-derived tissues, fluids, and cells</w:t>
      </w:r>
      <w:r w:rsidR="00030661" w:rsidRPr="00720B94">
        <w:rPr>
          <w:rFonts w:cs="Arial"/>
        </w:rPr>
        <w:t xml:space="preserve"> that are infectious, potentially infectious, or recombinant</w:t>
      </w:r>
      <w:r w:rsidR="00965F3A" w:rsidRPr="00720B94">
        <w:rPr>
          <w:rFonts w:cs="Arial"/>
        </w:rPr>
        <w:t xml:space="preserve">; </w:t>
      </w:r>
      <w:r w:rsidRPr="00720B94">
        <w:rPr>
          <w:rFonts w:cs="Arial"/>
        </w:rPr>
        <w:t xml:space="preserve">or other </w:t>
      </w:r>
      <w:r w:rsidR="00565833" w:rsidRPr="00720B94">
        <w:rPr>
          <w:rFonts w:cs="Arial"/>
        </w:rPr>
        <w:t>biological materials</w:t>
      </w:r>
      <w:r w:rsidRPr="00720B94">
        <w:rPr>
          <w:rFonts w:cs="Arial"/>
        </w:rPr>
        <w:t xml:space="preserve"> that may be toxic to living organisms. The IBC is authorized to approve, require modifications to secure approval, or disapprove proposed activities. The IBC is further authorized to suspend or revoke authorization for </w:t>
      </w:r>
      <w:r w:rsidRPr="00720B94">
        <w:rPr>
          <w:rFonts w:cs="Arial"/>
        </w:rPr>
        <w:lastRenderedPageBreak/>
        <w:t xml:space="preserve">previously approved </w:t>
      </w:r>
      <w:r w:rsidR="00F35742" w:rsidRPr="00720B94">
        <w:rPr>
          <w:rFonts w:cs="Arial"/>
        </w:rPr>
        <w:t>activities</w:t>
      </w:r>
      <w:r w:rsidRPr="00720B94">
        <w:rPr>
          <w:rFonts w:cs="Arial"/>
        </w:rPr>
        <w:t xml:space="preserve"> that </w:t>
      </w:r>
      <w:r w:rsidR="00F35742" w:rsidRPr="00720B94">
        <w:rPr>
          <w:rFonts w:cs="Arial"/>
        </w:rPr>
        <w:t>are</w:t>
      </w:r>
      <w:r w:rsidRPr="00720B94">
        <w:rPr>
          <w:rFonts w:cs="Arial"/>
        </w:rPr>
        <w:t xml:space="preserve"> not being conducted in accordance with the approved protocol, the IBC’s requirements, federal or state laws or regulations, or institutional policies applicable to biological research. The IBC may also suspend or revoke authorization for previously approved research when the research or its conduct creates an unexpected serious potential threat to safety, health, or the environment. In addition, the IBC is authorized to draft and implement policy and to set other requirements related to the use of biological materials in research or teaching, and to </w:t>
      </w:r>
      <w:r w:rsidR="00B81D7A" w:rsidRPr="00720B94">
        <w:rPr>
          <w:rFonts w:cs="Arial"/>
        </w:rPr>
        <w:t>serve as the institutional review entity</w:t>
      </w:r>
      <w:r w:rsidRPr="00720B94">
        <w:rPr>
          <w:rFonts w:cs="Arial"/>
        </w:rPr>
        <w:t xml:space="preserve"> </w:t>
      </w:r>
      <w:r w:rsidR="00B81D7A" w:rsidRPr="00720B94">
        <w:rPr>
          <w:rFonts w:cs="Arial"/>
        </w:rPr>
        <w:t>for</w:t>
      </w:r>
      <w:r w:rsidRPr="00720B94">
        <w:rPr>
          <w:rFonts w:cs="Arial"/>
        </w:rPr>
        <w:t xml:space="preserve"> potential Dual Use Research of Concern</w:t>
      </w:r>
      <w:r w:rsidR="00E72186" w:rsidRPr="00720B94">
        <w:rPr>
          <w:rFonts w:cs="Arial"/>
        </w:rPr>
        <w:t xml:space="preserve"> (DURC)</w:t>
      </w:r>
      <w:r w:rsidR="00B81D7A" w:rsidRPr="00720B94">
        <w:rPr>
          <w:rFonts w:cs="Arial"/>
        </w:rPr>
        <w:t xml:space="preserve"> and research involving </w:t>
      </w:r>
      <w:r w:rsidR="009D3B54" w:rsidRPr="00720B94">
        <w:rPr>
          <w:rFonts w:cs="Arial"/>
        </w:rPr>
        <w:t xml:space="preserve">Pathogens with Enhanced Pandemic Potential and </w:t>
      </w:r>
      <w:r w:rsidR="00B81D7A" w:rsidRPr="00720B94">
        <w:rPr>
          <w:rFonts w:cs="Arial"/>
        </w:rPr>
        <w:t>Select Agents</w:t>
      </w:r>
      <w:r w:rsidR="008B269A" w:rsidRPr="00720B94">
        <w:rPr>
          <w:rFonts w:cs="Arial"/>
        </w:rPr>
        <w:t xml:space="preserve"> or Toxins</w:t>
      </w:r>
      <w:r w:rsidRPr="00720B94">
        <w:rPr>
          <w:rFonts w:cs="Arial"/>
        </w:rPr>
        <w:t>.</w:t>
      </w:r>
    </w:p>
    <w:p w14:paraId="06093163" w14:textId="25D0E669" w:rsidR="00D137BD" w:rsidRPr="00720B94" w:rsidRDefault="007A6230" w:rsidP="00720B94">
      <w:r w:rsidRPr="00720B94">
        <w:rPr>
          <w:rFonts w:cs="Arial"/>
        </w:rPr>
        <w:t xml:space="preserve">The Chancellor has designated the Associate Vice Chancellor for Academic Affairs/Research Integrity Officer (RIO) </w:t>
      </w:r>
      <w:r w:rsidR="0087605B" w:rsidRPr="00720B94">
        <w:rPr>
          <w:rFonts w:cs="Arial"/>
        </w:rPr>
        <w:t xml:space="preserve">to monitor the operation of the IBC and to appoint its membership. </w:t>
      </w:r>
      <w:r w:rsidR="00D137BD" w:rsidRPr="00720B94">
        <w:rPr>
          <w:rFonts w:cs="Arial"/>
        </w:rPr>
        <w:t>The Office of Research &amp; Sponsored Programs (ORSP) serves the IBC in an administrative role. The IBC is mandated by the US Department of Health and Human Services</w:t>
      </w:r>
      <w:r w:rsidR="00365B33" w:rsidRPr="00720B94">
        <w:rPr>
          <w:rFonts w:cs="Arial"/>
        </w:rPr>
        <w:t xml:space="preserve"> (HHS)</w:t>
      </w:r>
      <w:r w:rsidR="00D137BD" w:rsidRPr="00720B94">
        <w:rPr>
          <w:rFonts w:cs="Arial"/>
        </w:rPr>
        <w:t xml:space="preserve">, </w:t>
      </w:r>
      <w:hyperlink r:id="rId20" w:history="1">
        <w:r w:rsidR="00D137BD" w:rsidRPr="00717676">
          <w:rPr>
            <w:rStyle w:val="Hyperlink"/>
            <w:rFonts w:cs="Arial"/>
            <w:i/>
            <w:iCs/>
            <w:color w:val="007D89" w:themeColor="accent3" w:themeShade="BF"/>
          </w:rPr>
          <w:t>National Institutes of Health (NIH) Guidelines for Research Involving Recombinant or Synthetic Nucleic Acid Molecules</w:t>
        </w:r>
      </w:hyperlink>
      <w:r w:rsidR="00D137BD" w:rsidRPr="00720B94">
        <w:rPr>
          <w:rFonts w:cs="Arial"/>
          <w:i/>
          <w:iCs/>
        </w:rPr>
        <w:t xml:space="preserve"> </w:t>
      </w:r>
      <w:r w:rsidR="00795F25" w:rsidRPr="00720B94">
        <w:rPr>
          <w:rFonts w:cs="Arial"/>
        </w:rPr>
        <w:t>(</w:t>
      </w:r>
      <w:r w:rsidR="00BF5C34" w:rsidRPr="00720B94">
        <w:rPr>
          <w:rFonts w:cs="Arial"/>
        </w:rPr>
        <w:t xml:space="preserve">NIH </w:t>
      </w:r>
      <w:r w:rsidR="00795F25" w:rsidRPr="00720B94">
        <w:rPr>
          <w:rFonts w:cs="Arial"/>
        </w:rPr>
        <w:t>Guidelines)</w:t>
      </w:r>
      <w:r w:rsidR="006916C8" w:rsidRPr="00720B94">
        <w:rPr>
          <w:rFonts w:cs="Arial"/>
        </w:rPr>
        <w:t xml:space="preserve">. </w:t>
      </w:r>
      <w:r w:rsidR="00D137BD" w:rsidRPr="00720B94">
        <w:rPr>
          <w:rFonts w:cs="Arial"/>
        </w:rPr>
        <w:t xml:space="preserve">The responsibilities of this committee extend beyond </w:t>
      </w:r>
      <w:r w:rsidR="00742166" w:rsidRPr="00720B94">
        <w:rPr>
          <w:rFonts w:cs="Arial"/>
        </w:rPr>
        <w:t xml:space="preserve">activities involving </w:t>
      </w:r>
      <w:r w:rsidR="00D137BD" w:rsidRPr="00720B94">
        <w:rPr>
          <w:rFonts w:cs="Arial"/>
        </w:rPr>
        <w:t xml:space="preserve">recombinant </w:t>
      </w:r>
      <w:r w:rsidR="00742166" w:rsidRPr="00720B94">
        <w:rPr>
          <w:rFonts w:cs="Arial"/>
        </w:rPr>
        <w:t>or synthetic nucleic acid molecules</w:t>
      </w:r>
      <w:r w:rsidR="00D137BD" w:rsidRPr="00720B94">
        <w:rPr>
          <w:rFonts w:cs="Arial"/>
        </w:rPr>
        <w:t xml:space="preserve"> to all </w:t>
      </w:r>
      <w:r w:rsidR="000A6079" w:rsidRPr="00720B94">
        <w:rPr>
          <w:rFonts w:cs="Arial"/>
        </w:rPr>
        <w:t>biological materials that entail a potential risk to humans, animals, or the environment</w:t>
      </w:r>
      <w:r w:rsidR="00D137BD" w:rsidRPr="00720B94">
        <w:rPr>
          <w:rFonts w:cs="Arial"/>
        </w:rPr>
        <w:t xml:space="preserve">. In addition to the </w:t>
      </w:r>
      <w:r w:rsidR="00C16C19" w:rsidRPr="00720B94">
        <w:rPr>
          <w:rFonts w:cs="Arial"/>
        </w:rPr>
        <w:t xml:space="preserve">NIH </w:t>
      </w:r>
      <w:r w:rsidR="00D137BD" w:rsidRPr="00720B94">
        <w:rPr>
          <w:rFonts w:cs="Arial"/>
        </w:rPr>
        <w:t xml:space="preserve">Guidelines, the recommendations of the Centers for Disease Control </w:t>
      </w:r>
      <w:r w:rsidR="00023298" w:rsidRPr="00720B94">
        <w:rPr>
          <w:rFonts w:cs="Arial"/>
        </w:rPr>
        <w:t>&amp;</w:t>
      </w:r>
      <w:r w:rsidR="00D137BD" w:rsidRPr="00720B94">
        <w:rPr>
          <w:rFonts w:cs="Arial"/>
        </w:rPr>
        <w:t xml:space="preserve"> Prevention (CDC) </w:t>
      </w:r>
      <w:hyperlink r:id="rId21" w:history="1">
        <w:r w:rsidR="00D137BD" w:rsidRPr="00717676">
          <w:rPr>
            <w:rStyle w:val="Hyperlink"/>
            <w:rFonts w:cs="Arial"/>
            <w:i/>
            <w:iCs/>
            <w:color w:val="007D89" w:themeColor="accent3" w:themeShade="BF"/>
          </w:rPr>
          <w:t>Biosafety in Microbiological and Biomedical Laboratories</w:t>
        </w:r>
      </w:hyperlink>
      <w:r w:rsidR="00D137BD" w:rsidRPr="00720B94">
        <w:rPr>
          <w:rFonts w:cs="Arial"/>
        </w:rPr>
        <w:t xml:space="preserve"> (BMBL) are adopted as standards of conduct.</w:t>
      </w:r>
    </w:p>
    <w:p w14:paraId="3320768F" w14:textId="30CFDF24" w:rsidR="001914A3" w:rsidRPr="00720B94" w:rsidRDefault="001914A3" w:rsidP="00720B94">
      <w:pPr>
        <w:pStyle w:val="Heading1"/>
      </w:pPr>
      <w:bookmarkStart w:id="3" w:name="_Toc192509311"/>
      <w:r w:rsidRPr="00720B94">
        <w:t>IBC Responsibilities</w:t>
      </w:r>
      <w:bookmarkEnd w:id="3"/>
    </w:p>
    <w:p w14:paraId="16107B8B" w14:textId="3D2CB998" w:rsidR="00BF2836" w:rsidRPr="00720B94" w:rsidRDefault="001A7286" w:rsidP="00720B94">
      <w:r w:rsidRPr="00720B94">
        <w:t xml:space="preserve">IBC </w:t>
      </w:r>
      <w:r w:rsidR="00BF2836" w:rsidRPr="00720B94">
        <w:t>support</w:t>
      </w:r>
      <w:r w:rsidR="00A049A1" w:rsidRPr="00720B94">
        <w:t>s</w:t>
      </w:r>
      <w:r w:rsidR="00BF2836" w:rsidRPr="00720B94">
        <w:t xml:space="preserve"> and critically evaluate</w:t>
      </w:r>
      <w:r w:rsidR="00A049A1" w:rsidRPr="00720B94">
        <w:t>s</w:t>
      </w:r>
      <w:r w:rsidR="00BF2836" w:rsidRPr="00720B94">
        <w:t xml:space="preserve"> </w:t>
      </w:r>
      <w:r w:rsidR="00236C7D" w:rsidRPr="00720B94">
        <w:t xml:space="preserve">applicable </w:t>
      </w:r>
      <w:r w:rsidR="00BF2836" w:rsidRPr="00720B94">
        <w:t xml:space="preserve">UWL biological </w:t>
      </w:r>
      <w:r w:rsidR="00236C7D" w:rsidRPr="00720B94">
        <w:t xml:space="preserve">classroom projects and </w:t>
      </w:r>
      <w:r w:rsidR="005336FD" w:rsidRPr="00720B94">
        <w:t>research</w:t>
      </w:r>
      <w:r w:rsidR="00BF2836" w:rsidRPr="00720B94">
        <w:t xml:space="preserve"> to protect the health and safety of the university community, visitors, and neighbors, and ensure compliance with applicable regulations and guidelines. As part of fulfilling its charge, the IBC will: </w:t>
      </w:r>
    </w:p>
    <w:p w14:paraId="2F294B18" w14:textId="0287EB40" w:rsidR="004B0BD6" w:rsidRPr="00720B94" w:rsidRDefault="00BF2836" w:rsidP="0092380E">
      <w:pPr>
        <w:pStyle w:val="ListParagraph"/>
        <w:numPr>
          <w:ilvl w:val="0"/>
          <w:numId w:val="28"/>
        </w:numPr>
        <w:rPr>
          <w:sz w:val="22"/>
          <w:szCs w:val="22"/>
        </w:rPr>
      </w:pPr>
      <w:r w:rsidRPr="00720B94">
        <w:rPr>
          <w:sz w:val="22"/>
          <w:szCs w:val="22"/>
        </w:rPr>
        <w:t xml:space="preserve">Review protocols that involve biological materials for safety, regulatory compliance, and protection of human </w:t>
      </w:r>
      <w:r w:rsidR="00F8036C" w:rsidRPr="00720B94">
        <w:rPr>
          <w:sz w:val="22"/>
          <w:szCs w:val="22"/>
        </w:rPr>
        <w:t xml:space="preserve">and animal </w:t>
      </w:r>
      <w:r w:rsidRPr="00720B94">
        <w:rPr>
          <w:sz w:val="22"/>
          <w:szCs w:val="22"/>
        </w:rPr>
        <w:t>health and the environment. Collaborate with other committees</w:t>
      </w:r>
      <w:r w:rsidR="004B0BD6" w:rsidRPr="00720B94">
        <w:rPr>
          <w:sz w:val="22"/>
          <w:szCs w:val="22"/>
        </w:rPr>
        <w:t xml:space="preserve"> and offices</w:t>
      </w:r>
      <w:r w:rsidR="007B1FBA" w:rsidRPr="00720B94">
        <w:rPr>
          <w:sz w:val="22"/>
          <w:szCs w:val="22"/>
        </w:rPr>
        <w:t xml:space="preserve"> such as </w:t>
      </w:r>
      <w:r w:rsidRPr="00720B94">
        <w:rPr>
          <w:sz w:val="22"/>
          <w:szCs w:val="22"/>
        </w:rPr>
        <w:t xml:space="preserve">the </w:t>
      </w:r>
      <w:r w:rsidR="004B0BD6" w:rsidRPr="00720B94">
        <w:rPr>
          <w:sz w:val="22"/>
          <w:szCs w:val="22"/>
        </w:rPr>
        <w:t xml:space="preserve">Institutional </w:t>
      </w:r>
      <w:r w:rsidRPr="00720B94">
        <w:rPr>
          <w:sz w:val="22"/>
          <w:szCs w:val="22"/>
        </w:rPr>
        <w:t>Animal Care and Use Committee</w:t>
      </w:r>
      <w:r w:rsidR="004B0BD6" w:rsidRPr="00720B94">
        <w:rPr>
          <w:sz w:val="22"/>
          <w:szCs w:val="22"/>
        </w:rPr>
        <w:t xml:space="preserve"> (IACUC)</w:t>
      </w:r>
      <w:r w:rsidRPr="00720B94">
        <w:rPr>
          <w:sz w:val="22"/>
          <w:szCs w:val="22"/>
        </w:rPr>
        <w:t>,</w:t>
      </w:r>
      <w:r w:rsidR="004B0BD6" w:rsidRPr="00720B94">
        <w:rPr>
          <w:sz w:val="22"/>
          <w:szCs w:val="22"/>
        </w:rPr>
        <w:t xml:space="preserve"> Environmental Health &amp; Safety, and </w:t>
      </w:r>
      <w:r w:rsidRPr="00720B94">
        <w:rPr>
          <w:sz w:val="22"/>
          <w:szCs w:val="22"/>
        </w:rPr>
        <w:t>Institutional Review Board</w:t>
      </w:r>
      <w:r w:rsidR="004B0BD6" w:rsidRPr="00720B94">
        <w:rPr>
          <w:sz w:val="22"/>
          <w:szCs w:val="22"/>
        </w:rPr>
        <w:t xml:space="preserve"> (IRB)</w:t>
      </w:r>
      <w:r w:rsidRPr="00720B94">
        <w:rPr>
          <w:sz w:val="22"/>
          <w:szCs w:val="22"/>
        </w:rPr>
        <w:t xml:space="preserve"> to assure that biological safety issues are properly addressed. Periodically review criteria for mutual referral of protocols.</w:t>
      </w:r>
    </w:p>
    <w:p w14:paraId="091EEC69" w14:textId="42EE9D9F" w:rsidR="00D334F6" w:rsidRPr="00720B94" w:rsidRDefault="00BF2836" w:rsidP="0092380E">
      <w:pPr>
        <w:pStyle w:val="ListParagraph"/>
        <w:numPr>
          <w:ilvl w:val="0"/>
          <w:numId w:val="28"/>
        </w:numPr>
        <w:rPr>
          <w:sz w:val="22"/>
          <w:szCs w:val="22"/>
        </w:rPr>
      </w:pPr>
      <w:r w:rsidRPr="00720B94">
        <w:rPr>
          <w:sz w:val="22"/>
          <w:szCs w:val="22"/>
        </w:rPr>
        <w:t xml:space="preserve">Give advice and counsel to </w:t>
      </w:r>
      <w:r w:rsidR="004B0BD6" w:rsidRPr="00720B94">
        <w:rPr>
          <w:sz w:val="22"/>
          <w:szCs w:val="22"/>
        </w:rPr>
        <w:t xml:space="preserve">institutional officials </w:t>
      </w:r>
      <w:r w:rsidRPr="00720B94">
        <w:rPr>
          <w:sz w:val="22"/>
          <w:szCs w:val="22"/>
        </w:rPr>
        <w:t>concerning safe use and management of biological materials and compliance with regulations to support and achieve excellence in biological safety.</w:t>
      </w:r>
    </w:p>
    <w:p w14:paraId="7821CB82" w14:textId="2399BD36" w:rsidR="0095775F" w:rsidRPr="00720B94" w:rsidRDefault="00551DF6" w:rsidP="0092380E">
      <w:pPr>
        <w:pStyle w:val="ListParagraph"/>
        <w:numPr>
          <w:ilvl w:val="0"/>
          <w:numId w:val="28"/>
        </w:numPr>
        <w:rPr>
          <w:sz w:val="22"/>
          <w:szCs w:val="22"/>
        </w:rPr>
      </w:pPr>
      <w:r w:rsidRPr="00720B94">
        <w:rPr>
          <w:sz w:val="22"/>
          <w:szCs w:val="22"/>
        </w:rPr>
        <w:t>Adopt</w:t>
      </w:r>
      <w:r w:rsidR="00BF2836" w:rsidRPr="00720B94">
        <w:rPr>
          <w:sz w:val="22"/>
          <w:szCs w:val="22"/>
        </w:rPr>
        <w:t xml:space="preserve"> policies that guide</w:t>
      </w:r>
      <w:r w:rsidRPr="00720B94">
        <w:rPr>
          <w:sz w:val="22"/>
          <w:szCs w:val="22"/>
        </w:rPr>
        <w:t>,</w:t>
      </w:r>
      <w:r w:rsidR="00BF2836" w:rsidRPr="00720B94">
        <w:rPr>
          <w:sz w:val="22"/>
          <w:szCs w:val="22"/>
        </w:rPr>
        <w:t xml:space="preserve"> support</w:t>
      </w:r>
      <w:r w:rsidRPr="00720B94">
        <w:rPr>
          <w:sz w:val="22"/>
          <w:szCs w:val="22"/>
        </w:rPr>
        <w:t>,</w:t>
      </w:r>
      <w:r w:rsidR="00BF2836" w:rsidRPr="00720B94">
        <w:rPr>
          <w:sz w:val="22"/>
          <w:szCs w:val="22"/>
        </w:rPr>
        <w:t xml:space="preserve"> and promote high standards of safety, regulatory compliance</w:t>
      </w:r>
      <w:r w:rsidR="0095775F" w:rsidRPr="00720B94">
        <w:rPr>
          <w:sz w:val="22"/>
          <w:szCs w:val="22"/>
        </w:rPr>
        <w:t>,</w:t>
      </w:r>
      <w:r w:rsidR="00BF2836" w:rsidRPr="00720B94">
        <w:rPr>
          <w:sz w:val="22"/>
          <w:szCs w:val="22"/>
        </w:rPr>
        <w:t xml:space="preserve"> and protection of human and animal health and the environment in </w:t>
      </w:r>
      <w:r w:rsidR="00036483" w:rsidRPr="00720B94">
        <w:rPr>
          <w:sz w:val="22"/>
          <w:szCs w:val="22"/>
        </w:rPr>
        <w:t>activities</w:t>
      </w:r>
      <w:r w:rsidR="00BF2836" w:rsidRPr="00720B94">
        <w:rPr>
          <w:sz w:val="22"/>
          <w:szCs w:val="22"/>
        </w:rPr>
        <w:t xml:space="preserve"> involving biological materials.</w:t>
      </w:r>
    </w:p>
    <w:p w14:paraId="5AB28621" w14:textId="77777777" w:rsidR="0095775F" w:rsidRPr="00720B94" w:rsidRDefault="00BF2836" w:rsidP="0092380E">
      <w:pPr>
        <w:pStyle w:val="ListParagraph"/>
        <w:numPr>
          <w:ilvl w:val="0"/>
          <w:numId w:val="28"/>
        </w:numPr>
        <w:rPr>
          <w:sz w:val="22"/>
          <w:szCs w:val="22"/>
        </w:rPr>
      </w:pPr>
      <w:r w:rsidRPr="00720B94">
        <w:rPr>
          <w:sz w:val="22"/>
          <w:szCs w:val="22"/>
        </w:rPr>
        <w:t xml:space="preserve">Perform reviews of campus biological safety programs and biological safety aspects of regulatory compliance documents that require review. </w:t>
      </w:r>
    </w:p>
    <w:p w14:paraId="6687757A" w14:textId="77777777" w:rsidR="0095775F" w:rsidRPr="00720B94" w:rsidRDefault="00BF2836" w:rsidP="0092380E">
      <w:pPr>
        <w:pStyle w:val="ListParagraph"/>
        <w:numPr>
          <w:ilvl w:val="0"/>
          <w:numId w:val="28"/>
        </w:numPr>
        <w:rPr>
          <w:sz w:val="22"/>
          <w:szCs w:val="22"/>
        </w:rPr>
      </w:pPr>
      <w:r w:rsidRPr="00720B94">
        <w:rPr>
          <w:sz w:val="22"/>
          <w:szCs w:val="22"/>
        </w:rPr>
        <w:t xml:space="preserve">Review biological safety training programs, records, plans, and priorities as needed to help ensure optimum availability of needed and required training. </w:t>
      </w:r>
    </w:p>
    <w:p w14:paraId="4E2318BF" w14:textId="77777777" w:rsidR="00A34959" w:rsidRPr="00720B94" w:rsidRDefault="00BF2836" w:rsidP="0092380E">
      <w:pPr>
        <w:pStyle w:val="ListParagraph"/>
        <w:numPr>
          <w:ilvl w:val="0"/>
          <w:numId w:val="28"/>
        </w:numPr>
        <w:rPr>
          <w:sz w:val="22"/>
          <w:szCs w:val="22"/>
        </w:rPr>
      </w:pPr>
      <w:r w:rsidRPr="00720B94">
        <w:rPr>
          <w:sz w:val="22"/>
          <w:szCs w:val="22"/>
        </w:rPr>
        <w:t xml:space="preserve">Provide a forum for the campus community to raise concerns regarding the safe use and handling of biological materials and advise the </w:t>
      </w:r>
      <w:r w:rsidR="00A34959" w:rsidRPr="00720B94">
        <w:rPr>
          <w:sz w:val="22"/>
          <w:szCs w:val="22"/>
        </w:rPr>
        <w:t>Research Integrity Officer (RIO)</w:t>
      </w:r>
      <w:r w:rsidRPr="00720B94">
        <w:rPr>
          <w:sz w:val="22"/>
          <w:szCs w:val="22"/>
        </w:rPr>
        <w:t xml:space="preserve"> in the resolution of disputes regarding biological safety issues. </w:t>
      </w:r>
    </w:p>
    <w:p w14:paraId="363D5CB2" w14:textId="3BB1DE54" w:rsidR="00BF2836" w:rsidRPr="00720B94" w:rsidRDefault="00BF2836" w:rsidP="0092380E">
      <w:pPr>
        <w:pStyle w:val="ListParagraph"/>
        <w:numPr>
          <w:ilvl w:val="0"/>
          <w:numId w:val="28"/>
        </w:numPr>
        <w:spacing w:after="160"/>
        <w:rPr>
          <w:sz w:val="22"/>
          <w:szCs w:val="22"/>
        </w:rPr>
      </w:pPr>
      <w:r w:rsidRPr="00720B94">
        <w:rPr>
          <w:sz w:val="22"/>
          <w:szCs w:val="22"/>
        </w:rPr>
        <w:t>Suspend research</w:t>
      </w:r>
      <w:r w:rsidR="00EA3455" w:rsidRPr="00720B94">
        <w:rPr>
          <w:sz w:val="22"/>
          <w:szCs w:val="22"/>
        </w:rPr>
        <w:t xml:space="preserve"> </w:t>
      </w:r>
      <w:r w:rsidRPr="00720B94">
        <w:rPr>
          <w:sz w:val="22"/>
          <w:szCs w:val="22"/>
        </w:rPr>
        <w:t xml:space="preserve">and/or revoke a protocol in instances where necessary according to the IBC charge and responsibilities. </w:t>
      </w:r>
    </w:p>
    <w:p w14:paraId="50A49B63" w14:textId="0D49DA24" w:rsidR="001914A3" w:rsidRPr="00720B94" w:rsidRDefault="00BF2836" w:rsidP="00720B94">
      <w:r w:rsidRPr="00720B94">
        <w:t xml:space="preserve">Administrative support for the functions of the IBC is provided by the Office of Research &amp; Sponsored Programs (ORSP). Approval and registration of the protocols are transmitted to investigators and to </w:t>
      </w:r>
      <w:r w:rsidR="00A33681" w:rsidRPr="00720B94">
        <w:t xml:space="preserve">ORSP </w:t>
      </w:r>
      <w:r w:rsidRPr="00720B94">
        <w:t xml:space="preserve">to </w:t>
      </w:r>
      <w:r w:rsidR="00A33681" w:rsidRPr="00720B94">
        <w:t>comply with federal regulations</w:t>
      </w:r>
      <w:r w:rsidR="00EE3F78" w:rsidRPr="00720B94">
        <w:t>,</w:t>
      </w:r>
      <w:r w:rsidR="00A33681" w:rsidRPr="00720B94">
        <w:t xml:space="preserve"> funding agency requirements</w:t>
      </w:r>
      <w:r w:rsidR="00EE3F78" w:rsidRPr="00720B94">
        <w:t>, institutional policies</w:t>
      </w:r>
      <w:r w:rsidR="008519D8" w:rsidRPr="00720B94">
        <w:t xml:space="preserve">, and all other applicable </w:t>
      </w:r>
      <w:r w:rsidR="004B6CDD" w:rsidRPr="00720B94">
        <w:t>regulations and requirements</w:t>
      </w:r>
      <w:r w:rsidR="00A33681" w:rsidRPr="00720B94">
        <w:t>.</w:t>
      </w:r>
    </w:p>
    <w:p w14:paraId="59F0B9D4" w14:textId="73FD229B" w:rsidR="007B4217" w:rsidRPr="00720B94" w:rsidRDefault="007B4217" w:rsidP="00720B94">
      <w:pPr>
        <w:pStyle w:val="Heading2"/>
      </w:pPr>
      <w:bookmarkStart w:id="4" w:name="_Toc192509312"/>
      <w:r w:rsidRPr="00720B94">
        <w:lastRenderedPageBreak/>
        <w:t>Appointment Process &amp; Length of Service</w:t>
      </w:r>
      <w:bookmarkEnd w:id="4"/>
    </w:p>
    <w:p w14:paraId="7BAE5203" w14:textId="6E6E06A9" w:rsidR="00A93270" w:rsidRPr="00720B94" w:rsidRDefault="007B4217" w:rsidP="00720B94">
      <w:r w:rsidRPr="00720B94">
        <w:t>The IBC members are appointed by the Associate Vice Chancellor for Academic Affairs/Research Integrity Officer (RIO)</w:t>
      </w:r>
      <w:r w:rsidR="004D0F9F" w:rsidRPr="00720B94">
        <w:t xml:space="preserve"> with the concurrence of the </w:t>
      </w:r>
      <w:proofErr w:type="gramStart"/>
      <w:r w:rsidR="004D0F9F" w:rsidRPr="00720B94">
        <w:t>Provost</w:t>
      </w:r>
      <w:proofErr w:type="gramEnd"/>
      <w:r w:rsidR="004D0F9F" w:rsidRPr="00720B94">
        <w:t xml:space="preserve"> under the authority of the Chancellor</w:t>
      </w:r>
      <w:r w:rsidRPr="00720B94">
        <w:t xml:space="preserve">. </w:t>
      </w:r>
      <w:r w:rsidR="00A93270" w:rsidRPr="00720B94">
        <w:t xml:space="preserve">Each voting member of the IBC will serve for a three-year term. The Associate Vice Chancellor for Academic Affairs/Research Integrity Officer (RIO) may reappoint any member for </w:t>
      </w:r>
      <w:r w:rsidR="00F60D77" w:rsidRPr="00720B94">
        <w:t>additional term(s)</w:t>
      </w:r>
      <w:r w:rsidR="00A93270" w:rsidRPr="00720B94">
        <w:t>.</w:t>
      </w:r>
      <w:r w:rsidR="00671CE8" w:rsidRPr="00720B94">
        <w:t xml:space="preserve"> </w:t>
      </w:r>
      <w:r w:rsidR="00671CE8" w:rsidRPr="00720B94">
        <w:rPr>
          <w:i/>
          <w:iCs/>
        </w:rPr>
        <w:t>Ex officio</w:t>
      </w:r>
      <w:r w:rsidR="00671CE8" w:rsidRPr="00720B94">
        <w:t xml:space="preserve"> members serve </w:t>
      </w:r>
      <w:proofErr w:type="gramStart"/>
      <w:r w:rsidR="00671CE8" w:rsidRPr="00720B94">
        <w:t>as long as</w:t>
      </w:r>
      <w:proofErr w:type="gramEnd"/>
      <w:r w:rsidR="00671CE8" w:rsidRPr="00720B94">
        <w:t xml:space="preserve"> they are in their respective positions.</w:t>
      </w:r>
    </w:p>
    <w:p w14:paraId="195E6582" w14:textId="128402A7" w:rsidR="006F4F63" w:rsidRPr="00720B94" w:rsidRDefault="00364D0F" w:rsidP="00720B94">
      <w:pPr>
        <w:pStyle w:val="Heading2"/>
        <w:rPr>
          <w:rFonts w:eastAsiaTheme="minorEastAsia"/>
        </w:rPr>
      </w:pPr>
      <w:bookmarkStart w:id="5" w:name="_Toc192509313"/>
      <w:r w:rsidRPr="00720B94">
        <w:rPr>
          <w:rFonts w:eastAsiaTheme="minorEastAsia"/>
        </w:rPr>
        <w:t>IBC Membership</w:t>
      </w:r>
      <w:bookmarkEnd w:id="5"/>
    </w:p>
    <w:p w14:paraId="6D66847A" w14:textId="0D6D0AD1" w:rsidR="00364D0F" w:rsidRPr="00720B94" w:rsidRDefault="00364D0F" w:rsidP="00720B94">
      <w:r w:rsidRPr="00720B94">
        <w:t>The IBC is composed of faculty</w:t>
      </w:r>
      <w:r w:rsidR="00711A87" w:rsidRPr="00720B94">
        <w:t>/staff</w:t>
      </w:r>
      <w:r w:rsidR="00236C7D" w:rsidRPr="00720B94">
        <w:t>;</w:t>
      </w:r>
      <w:r w:rsidR="00711A87" w:rsidRPr="00720B94">
        <w:t xml:space="preserve"> </w:t>
      </w:r>
      <w:r w:rsidR="009C3039" w:rsidRPr="00720B94">
        <w:t xml:space="preserve">at least </w:t>
      </w:r>
      <w:r w:rsidRPr="00720B94">
        <w:t>two community members</w:t>
      </w:r>
      <w:r w:rsidR="00236C7D" w:rsidRPr="00720B94">
        <w:t>;</w:t>
      </w:r>
      <w:r w:rsidRPr="00720B94">
        <w:t xml:space="preserve"> </w:t>
      </w:r>
      <w:r w:rsidR="009C3039" w:rsidRPr="00720B94">
        <w:rPr>
          <w:i/>
          <w:iCs/>
        </w:rPr>
        <w:t>e</w:t>
      </w:r>
      <w:r w:rsidRPr="00720B94">
        <w:rPr>
          <w:i/>
          <w:iCs/>
        </w:rPr>
        <w:t>x officio</w:t>
      </w:r>
      <w:r w:rsidRPr="00720B94">
        <w:t xml:space="preserve"> members</w:t>
      </w:r>
      <w:r w:rsidR="00236C7D" w:rsidRPr="00720B94">
        <w:t>;</w:t>
      </w:r>
      <w:r w:rsidRPr="00720B94">
        <w:t xml:space="preserve"> subject matter experts</w:t>
      </w:r>
      <w:r w:rsidR="00236C7D" w:rsidRPr="00720B94">
        <w:t>;</w:t>
      </w:r>
      <w:r w:rsidRPr="00720B94">
        <w:t xml:space="preserve"> and </w:t>
      </w:r>
      <w:r w:rsidR="00624B4C" w:rsidRPr="00720B94">
        <w:t xml:space="preserve">ad hoc </w:t>
      </w:r>
      <w:r w:rsidRPr="00720B94">
        <w:t xml:space="preserve">consultants per NIH </w:t>
      </w:r>
      <w:r w:rsidR="00A62232" w:rsidRPr="00720B94">
        <w:t>G</w:t>
      </w:r>
      <w:r w:rsidRPr="00720B94">
        <w:t>uidelines</w:t>
      </w:r>
      <w:r w:rsidR="00730906" w:rsidRPr="00720B94">
        <w:t>,</w:t>
      </w:r>
      <w:r w:rsidRPr="00720B94">
        <w:t xml:space="preserve"> </w:t>
      </w:r>
      <w:hyperlink r:id="rId22" w:anchor="_Toc3457052">
        <w:r w:rsidR="00A62232" w:rsidRPr="00717676">
          <w:rPr>
            <w:rStyle w:val="Hyperlink"/>
            <w:color w:val="007D89" w:themeColor="accent3" w:themeShade="BF"/>
          </w:rPr>
          <w:t>S</w:t>
        </w:r>
        <w:r w:rsidRPr="00717676">
          <w:rPr>
            <w:rStyle w:val="Hyperlink"/>
            <w:color w:val="007D89" w:themeColor="accent3" w:themeShade="BF"/>
          </w:rPr>
          <w:t>ection IV</w:t>
        </w:r>
      </w:hyperlink>
      <w:r w:rsidRPr="00720B94">
        <w:t xml:space="preserve">. Regular members are selected for their expertise in subjects for which the committee will review protocols. The </w:t>
      </w:r>
      <w:r w:rsidR="00A62232" w:rsidRPr="00720B94">
        <w:t>RIO</w:t>
      </w:r>
      <w:r w:rsidR="00BB0C9F" w:rsidRPr="00720B94">
        <w:t xml:space="preserve"> and ORSP administrative support</w:t>
      </w:r>
      <w:r w:rsidR="00A62232" w:rsidRPr="00720B94">
        <w:t xml:space="preserve"> </w:t>
      </w:r>
      <w:r w:rsidRPr="00720B94">
        <w:t xml:space="preserve">serve as </w:t>
      </w:r>
      <w:r w:rsidR="00711A87" w:rsidRPr="00720B94">
        <w:t>a</w:t>
      </w:r>
      <w:r w:rsidR="00F26AA5" w:rsidRPr="00720B94">
        <w:t xml:space="preserve"> permanent, non-voting,</w:t>
      </w:r>
      <w:r w:rsidR="00711A87" w:rsidRPr="00720B94">
        <w:t xml:space="preserve"> </w:t>
      </w:r>
      <w:r w:rsidRPr="00720B94">
        <w:rPr>
          <w:i/>
          <w:iCs/>
        </w:rPr>
        <w:t>ex officio</w:t>
      </w:r>
      <w:r w:rsidRPr="00720B94">
        <w:t xml:space="preserve"> member</w:t>
      </w:r>
      <w:r w:rsidR="00BB0C9F" w:rsidRPr="00720B94">
        <w:t>s</w:t>
      </w:r>
      <w:r w:rsidRPr="00720B94">
        <w:t xml:space="preserve">. </w:t>
      </w:r>
      <w:r w:rsidR="00624B4C" w:rsidRPr="00720B94">
        <w:t xml:space="preserve">The IBC Coordinator is appointed by the RIO and serves as a voting, </w:t>
      </w:r>
      <w:r w:rsidR="00624B4C" w:rsidRPr="00720B94">
        <w:rPr>
          <w:i/>
          <w:iCs/>
        </w:rPr>
        <w:t>ex officio</w:t>
      </w:r>
      <w:r w:rsidR="00624B4C" w:rsidRPr="00720B94">
        <w:t xml:space="preserve"> member. </w:t>
      </w:r>
      <w:r w:rsidRPr="00720B94">
        <w:t>Subject matter experts may be appointed as</w:t>
      </w:r>
      <w:r w:rsidR="00075B4E" w:rsidRPr="00720B94">
        <w:t xml:space="preserve"> non-voting, ad hoc</w:t>
      </w:r>
      <w:r w:rsidRPr="00720B94">
        <w:t xml:space="preserve"> consultants to advise the committee in areas such as</w:t>
      </w:r>
      <w:r w:rsidR="00E51512" w:rsidRPr="00720B94">
        <w:t xml:space="preserve"> </w:t>
      </w:r>
      <w:r w:rsidR="00F26AA5" w:rsidRPr="00720B94">
        <w:t xml:space="preserve">vertebrate animals, </w:t>
      </w:r>
      <w:r w:rsidRPr="00720B94">
        <w:t>human subjects, Select Agents and Toxins, occupational health, and legal affairs.</w:t>
      </w:r>
    </w:p>
    <w:p w14:paraId="5B644B42" w14:textId="10E6A6BF" w:rsidR="00CD7478" w:rsidRPr="00720B94" w:rsidRDefault="00CD7478" w:rsidP="00720B94">
      <w:pPr>
        <w:pStyle w:val="Heading2"/>
      </w:pPr>
      <w:bookmarkStart w:id="6" w:name="_Toc192509314"/>
      <w:r w:rsidRPr="00720B94">
        <w:t xml:space="preserve">Research </w:t>
      </w:r>
      <w:r w:rsidR="00DC1845" w:rsidRPr="00720B94">
        <w:t>Requiring IBC Protocol Approval</w:t>
      </w:r>
      <w:bookmarkEnd w:id="6"/>
    </w:p>
    <w:p w14:paraId="6489BDA3" w14:textId="02C7172A" w:rsidR="00B84819" w:rsidRPr="00720B94" w:rsidRDefault="00DC1845" w:rsidP="00720B94">
      <w:r w:rsidRPr="00720B94">
        <w:t xml:space="preserve">If </w:t>
      </w:r>
      <w:r w:rsidR="00744527" w:rsidRPr="00720B94">
        <w:t xml:space="preserve">classroom projects and/or </w:t>
      </w:r>
      <w:r w:rsidRPr="00720B94">
        <w:t>research involve</w:t>
      </w:r>
      <w:r w:rsidR="003F177B" w:rsidRPr="00720B94">
        <w:t>s</w:t>
      </w:r>
      <w:r w:rsidRPr="00720B94">
        <w:t xml:space="preserve"> any </w:t>
      </w:r>
      <w:r w:rsidR="00121DA7" w:rsidRPr="00720B94">
        <w:t>biological materials</w:t>
      </w:r>
      <w:r w:rsidR="003B1820" w:rsidRPr="00720B94">
        <w:t xml:space="preserve"> that</w:t>
      </w:r>
      <w:r w:rsidR="00121DA7" w:rsidRPr="00720B94">
        <w:t xml:space="preserve"> entail a potential risk to </w:t>
      </w:r>
      <w:r w:rsidR="00121DA7" w:rsidRPr="00720B94">
        <w:rPr>
          <w:rFonts w:cs="Arial"/>
        </w:rPr>
        <w:t>humans, animals, or the environment</w:t>
      </w:r>
      <w:r w:rsidRPr="00720B94">
        <w:t xml:space="preserve">, a </w:t>
      </w:r>
      <w:hyperlink r:id="rId23" w:history="1">
        <w:r w:rsidRPr="00717676">
          <w:rPr>
            <w:rStyle w:val="Hyperlink"/>
            <w:color w:val="007D89" w:themeColor="accent3" w:themeShade="BF"/>
          </w:rPr>
          <w:t xml:space="preserve">Biosafety Protocol </w:t>
        </w:r>
        <w:r w:rsidR="00A73937" w:rsidRPr="00717676">
          <w:rPr>
            <w:rStyle w:val="Hyperlink"/>
            <w:color w:val="007D89" w:themeColor="accent3" w:themeShade="BF"/>
          </w:rPr>
          <w:t>Application</w:t>
        </w:r>
      </w:hyperlink>
      <w:r w:rsidR="00A73937" w:rsidRPr="00720B94">
        <w:t xml:space="preserve"> </w:t>
      </w:r>
      <w:r w:rsidR="00DB0F07" w:rsidRPr="00720B94">
        <w:t>must</w:t>
      </w:r>
      <w:r w:rsidRPr="00720B94">
        <w:t xml:space="preserve"> be completed. This includes work </w:t>
      </w:r>
      <w:r w:rsidR="00FB2E51" w:rsidRPr="00720B94">
        <w:t>with materials that are</w:t>
      </w:r>
      <w:r w:rsidR="004F7227" w:rsidRPr="00720B94">
        <w:t xml:space="preserve"> </w:t>
      </w:r>
      <w:r w:rsidR="009D143F" w:rsidRPr="00720B94">
        <w:t xml:space="preserve">not subject to the NIH Guidelines or that are </w:t>
      </w:r>
      <w:r w:rsidR="004F7227" w:rsidRPr="00720B94">
        <w:t xml:space="preserve">exempt </w:t>
      </w:r>
      <w:r w:rsidR="009D143F" w:rsidRPr="00720B94">
        <w:t>under the</w:t>
      </w:r>
      <w:r w:rsidR="004F7227" w:rsidRPr="00720B94">
        <w:t xml:space="preserve"> NIH Guidelines</w:t>
      </w:r>
      <w:r w:rsidR="008C3F8B" w:rsidRPr="00720B94">
        <w:t>,</w:t>
      </w:r>
      <w:r w:rsidR="009D143F" w:rsidRPr="00720B94">
        <w:t xml:space="preserve"> </w:t>
      </w:r>
      <w:hyperlink r:id="rId24" w:anchor="_Toc3457051" w:history="1">
        <w:r w:rsidR="009D143F" w:rsidRPr="00717676">
          <w:rPr>
            <w:rStyle w:val="Hyperlink"/>
            <w:color w:val="007D89" w:themeColor="accent3" w:themeShade="BF"/>
          </w:rPr>
          <w:t>Section III-F</w:t>
        </w:r>
      </w:hyperlink>
      <w:r w:rsidR="00837D90" w:rsidRPr="00720B94">
        <w:t xml:space="preserve"> (see Appendix A).</w:t>
      </w:r>
      <w:r w:rsidR="001A68A0" w:rsidRPr="00720B94">
        <w:t xml:space="preserve"> </w:t>
      </w:r>
      <w:r w:rsidR="00CC4B17" w:rsidRPr="00720B94">
        <w:t>Protocol Processing</w:t>
      </w:r>
    </w:p>
    <w:p w14:paraId="2C43DE07" w14:textId="56753E6B" w:rsidR="00CC4B17" w:rsidRPr="00720B94" w:rsidRDefault="00CC4B17" w:rsidP="00720B94">
      <w:r w:rsidRPr="00720B94">
        <w:t xml:space="preserve">The </w:t>
      </w:r>
      <w:hyperlink r:id="rId25" w:history="1">
        <w:r w:rsidR="00A96055" w:rsidRPr="00717676">
          <w:rPr>
            <w:rStyle w:val="Hyperlink"/>
            <w:color w:val="007D89" w:themeColor="accent3" w:themeShade="BF"/>
          </w:rPr>
          <w:t>Bi</w:t>
        </w:r>
        <w:r w:rsidRPr="00717676">
          <w:rPr>
            <w:rStyle w:val="Hyperlink"/>
            <w:color w:val="007D89" w:themeColor="accent3" w:themeShade="BF"/>
          </w:rPr>
          <w:t xml:space="preserve">osafety </w:t>
        </w:r>
        <w:r w:rsidR="00A96055" w:rsidRPr="00717676">
          <w:rPr>
            <w:rStyle w:val="Hyperlink"/>
            <w:color w:val="007D89" w:themeColor="accent3" w:themeShade="BF"/>
          </w:rPr>
          <w:t>P</w:t>
        </w:r>
        <w:r w:rsidRPr="00717676">
          <w:rPr>
            <w:rStyle w:val="Hyperlink"/>
            <w:color w:val="007D89" w:themeColor="accent3" w:themeShade="BF"/>
          </w:rPr>
          <w:t>rotocol</w:t>
        </w:r>
        <w:r w:rsidR="00154AB0" w:rsidRPr="00717676">
          <w:rPr>
            <w:rStyle w:val="Hyperlink"/>
            <w:color w:val="007D89" w:themeColor="accent3" w:themeShade="BF"/>
          </w:rPr>
          <w:t xml:space="preserve"> Application</w:t>
        </w:r>
      </w:hyperlink>
      <w:r w:rsidRPr="00720B94">
        <w:t xml:space="preserve"> serves as a tool to gather relevant information about </w:t>
      </w:r>
      <w:r w:rsidR="00154AB0" w:rsidRPr="00720B94">
        <w:t>activities</w:t>
      </w:r>
      <w:r w:rsidRPr="00720B94">
        <w:t xml:space="preserve"> that involve the criteria for which a protocol must be submitted. The protocol is submitted as an email attachment to the Office of Research &amp; Sponsored Programs at </w:t>
      </w:r>
      <w:hyperlink r:id="rId26">
        <w:r w:rsidRPr="00717676">
          <w:rPr>
            <w:rStyle w:val="Hyperlink"/>
            <w:color w:val="007D89" w:themeColor="accent3" w:themeShade="BF"/>
          </w:rPr>
          <w:t>grants@uwlax.edu</w:t>
        </w:r>
      </w:hyperlink>
      <w:r w:rsidRPr="00720B94">
        <w:t>. There are several types of submissions:</w:t>
      </w:r>
    </w:p>
    <w:p w14:paraId="7F3BC7F2" w14:textId="3A3C709A" w:rsidR="009E4FC8" w:rsidRPr="00720B94" w:rsidRDefault="00CC4B17" w:rsidP="0092380E">
      <w:pPr>
        <w:pStyle w:val="ListParagraph"/>
        <w:numPr>
          <w:ilvl w:val="0"/>
          <w:numId w:val="29"/>
        </w:numPr>
        <w:rPr>
          <w:sz w:val="22"/>
          <w:szCs w:val="22"/>
        </w:rPr>
      </w:pPr>
      <w:r w:rsidRPr="00720B94">
        <w:rPr>
          <w:b/>
          <w:bCs/>
          <w:sz w:val="22"/>
          <w:szCs w:val="22"/>
        </w:rPr>
        <w:t>New</w:t>
      </w:r>
      <w:r w:rsidRPr="00720B94">
        <w:rPr>
          <w:sz w:val="22"/>
          <w:szCs w:val="22"/>
        </w:rPr>
        <w:t xml:space="preserve"> protocols are the first submission</w:t>
      </w:r>
      <w:r w:rsidR="003F2375" w:rsidRPr="00720B94">
        <w:rPr>
          <w:sz w:val="22"/>
          <w:szCs w:val="22"/>
        </w:rPr>
        <w:t xml:space="preserve"> to</w:t>
      </w:r>
      <w:r w:rsidR="000F7EC5" w:rsidRPr="00720B94">
        <w:rPr>
          <w:sz w:val="22"/>
          <w:szCs w:val="22"/>
        </w:rPr>
        <w:t xml:space="preserve"> obtain IBC</w:t>
      </w:r>
      <w:r w:rsidR="003F2375" w:rsidRPr="00720B94">
        <w:rPr>
          <w:sz w:val="22"/>
          <w:szCs w:val="22"/>
        </w:rPr>
        <w:t xml:space="preserve"> approval </w:t>
      </w:r>
      <w:r w:rsidR="000F7EC5" w:rsidRPr="00720B94">
        <w:rPr>
          <w:sz w:val="22"/>
          <w:szCs w:val="22"/>
        </w:rPr>
        <w:t>for a 3-year period</w:t>
      </w:r>
      <w:r w:rsidRPr="00720B94">
        <w:rPr>
          <w:sz w:val="22"/>
          <w:szCs w:val="22"/>
        </w:rPr>
        <w:t xml:space="preserve">. </w:t>
      </w:r>
    </w:p>
    <w:p w14:paraId="230EA86A" w14:textId="7DC0118B" w:rsidR="009E4FC8" w:rsidRPr="00720B94" w:rsidRDefault="00CC4B17" w:rsidP="0092380E">
      <w:pPr>
        <w:pStyle w:val="ListParagraph"/>
        <w:numPr>
          <w:ilvl w:val="0"/>
          <w:numId w:val="29"/>
        </w:numPr>
        <w:rPr>
          <w:sz w:val="22"/>
          <w:szCs w:val="22"/>
        </w:rPr>
      </w:pPr>
      <w:r w:rsidRPr="00720B94">
        <w:rPr>
          <w:b/>
          <w:bCs/>
          <w:sz w:val="22"/>
          <w:szCs w:val="22"/>
        </w:rPr>
        <w:t>Renewals</w:t>
      </w:r>
      <w:r w:rsidRPr="00720B94">
        <w:rPr>
          <w:sz w:val="22"/>
          <w:szCs w:val="22"/>
        </w:rPr>
        <w:t xml:space="preserve"> of </w:t>
      </w:r>
      <w:bookmarkStart w:id="7" w:name="_Hlk132369741"/>
      <w:r w:rsidRPr="00720B94">
        <w:rPr>
          <w:sz w:val="22"/>
          <w:szCs w:val="22"/>
        </w:rPr>
        <w:t>existing protocols are required every 3 years</w:t>
      </w:r>
      <w:r w:rsidR="002D05FF" w:rsidRPr="00720B94">
        <w:rPr>
          <w:sz w:val="22"/>
          <w:szCs w:val="22"/>
        </w:rPr>
        <w:t xml:space="preserve"> to extend IBC approval of ongoing work</w:t>
      </w:r>
      <w:r w:rsidR="003F2375" w:rsidRPr="00720B94">
        <w:rPr>
          <w:sz w:val="22"/>
          <w:szCs w:val="22"/>
        </w:rPr>
        <w:t xml:space="preserve"> for another 3-year period</w:t>
      </w:r>
      <w:r w:rsidRPr="00720B94">
        <w:rPr>
          <w:sz w:val="22"/>
          <w:szCs w:val="22"/>
        </w:rPr>
        <w:t xml:space="preserve">. </w:t>
      </w:r>
    </w:p>
    <w:bookmarkEnd w:id="7"/>
    <w:p w14:paraId="2675F81B" w14:textId="5B3AD0F8" w:rsidR="009E4FC8" w:rsidRPr="00720B94" w:rsidRDefault="00067EFB" w:rsidP="0092380E">
      <w:pPr>
        <w:pStyle w:val="ListParagraph"/>
        <w:numPr>
          <w:ilvl w:val="0"/>
          <w:numId w:val="29"/>
        </w:numPr>
        <w:rPr>
          <w:sz w:val="22"/>
          <w:szCs w:val="22"/>
        </w:rPr>
      </w:pPr>
      <w:r w:rsidRPr="00720B94">
        <w:rPr>
          <w:b/>
          <w:bCs/>
          <w:sz w:val="22"/>
          <w:szCs w:val="22"/>
        </w:rPr>
        <w:t>Revisions</w:t>
      </w:r>
      <w:r w:rsidR="00CC4B17" w:rsidRPr="00720B94">
        <w:rPr>
          <w:sz w:val="22"/>
          <w:szCs w:val="22"/>
        </w:rPr>
        <w:t xml:space="preserve"> must be submitted for changes in research elements, </w:t>
      </w:r>
      <w:r w:rsidR="008C74FE" w:rsidRPr="00720B94">
        <w:rPr>
          <w:sz w:val="22"/>
          <w:szCs w:val="22"/>
        </w:rPr>
        <w:t>biological materials used</w:t>
      </w:r>
      <w:r w:rsidR="00CC4B17" w:rsidRPr="00720B94">
        <w:rPr>
          <w:sz w:val="22"/>
          <w:szCs w:val="22"/>
        </w:rPr>
        <w:t>, and/or locations.</w:t>
      </w:r>
    </w:p>
    <w:p w14:paraId="21E372DF" w14:textId="7236B905" w:rsidR="00CC4B17" w:rsidRPr="00720B94" w:rsidRDefault="00CC4B17" w:rsidP="0092380E">
      <w:pPr>
        <w:pStyle w:val="ListParagraph"/>
        <w:numPr>
          <w:ilvl w:val="0"/>
          <w:numId w:val="29"/>
        </w:numPr>
        <w:spacing w:after="160"/>
        <w:rPr>
          <w:sz w:val="22"/>
          <w:szCs w:val="22"/>
        </w:rPr>
      </w:pPr>
      <w:r w:rsidRPr="00720B94">
        <w:rPr>
          <w:b/>
          <w:bCs/>
          <w:sz w:val="22"/>
          <w:szCs w:val="22"/>
        </w:rPr>
        <w:t xml:space="preserve">Personnel </w:t>
      </w:r>
      <w:r w:rsidR="00067EFB" w:rsidRPr="00720B94">
        <w:rPr>
          <w:b/>
          <w:bCs/>
          <w:sz w:val="22"/>
          <w:szCs w:val="22"/>
        </w:rPr>
        <w:t>&amp; Award Modifications</w:t>
      </w:r>
      <w:r w:rsidRPr="00720B94">
        <w:rPr>
          <w:sz w:val="22"/>
          <w:szCs w:val="22"/>
        </w:rPr>
        <w:t xml:space="preserve"> serve to </w:t>
      </w:r>
      <w:r w:rsidR="0004281C" w:rsidRPr="00720B94">
        <w:rPr>
          <w:sz w:val="22"/>
          <w:szCs w:val="22"/>
        </w:rPr>
        <w:t xml:space="preserve">add or remove </w:t>
      </w:r>
      <w:r w:rsidRPr="00720B94">
        <w:rPr>
          <w:sz w:val="22"/>
          <w:szCs w:val="22"/>
        </w:rPr>
        <w:t>personnel</w:t>
      </w:r>
      <w:r w:rsidR="0004281C" w:rsidRPr="00720B94">
        <w:rPr>
          <w:sz w:val="22"/>
          <w:szCs w:val="22"/>
        </w:rPr>
        <w:t>,</w:t>
      </w:r>
      <w:r w:rsidRPr="00720B94">
        <w:rPr>
          <w:sz w:val="22"/>
          <w:szCs w:val="22"/>
        </w:rPr>
        <w:t xml:space="preserve"> </w:t>
      </w:r>
      <w:r w:rsidR="0004281C" w:rsidRPr="00720B94">
        <w:rPr>
          <w:sz w:val="22"/>
          <w:szCs w:val="22"/>
        </w:rPr>
        <w:t xml:space="preserve">add </w:t>
      </w:r>
      <w:r w:rsidR="009540C7" w:rsidRPr="00720B94">
        <w:rPr>
          <w:sz w:val="22"/>
          <w:szCs w:val="22"/>
        </w:rPr>
        <w:t>external</w:t>
      </w:r>
      <w:r w:rsidRPr="00720B94">
        <w:rPr>
          <w:sz w:val="22"/>
          <w:szCs w:val="22"/>
        </w:rPr>
        <w:t xml:space="preserve"> awards</w:t>
      </w:r>
      <w:r w:rsidR="0004281C" w:rsidRPr="00720B94">
        <w:rPr>
          <w:sz w:val="22"/>
          <w:szCs w:val="22"/>
        </w:rPr>
        <w:t xml:space="preserve">, or change </w:t>
      </w:r>
      <w:r w:rsidR="00DF31DF" w:rsidRPr="00720B94">
        <w:rPr>
          <w:sz w:val="22"/>
          <w:szCs w:val="22"/>
        </w:rPr>
        <w:t xml:space="preserve">the </w:t>
      </w:r>
      <w:r w:rsidR="0004281C" w:rsidRPr="00720B94">
        <w:rPr>
          <w:sz w:val="22"/>
          <w:szCs w:val="22"/>
        </w:rPr>
        <w:t>PI</w:t>
      </w:r>
      <w:r w:rsidRPr="00720B94">
        <w:rPr>
          <w:sz w:val="22"/>
          <w:szCs w:val="22"/>
        </w:rPr>
        <w:t xml:space="preserve"> </w:t>
      </w:r>
      <w:r w:rsidR="009540C7" w:rsidRPr="00720B94">
        <w:rPr>
          <w:sz w:val="22"/>
          <w:szCs w:val="22"/>
        </w:rPr>
        <w:t>associated with</w:t>
      </w:r>
      <w:r w:rsidRPr="00720B94">
        <w:rPr>
          <w:sz w:val="22"/>
          <w:szCs w:val="22"/>
        </w:rPr>
        <w:t xml:space="preserve"> </w:t>
      </w:r>
      <w:r w:rsidR="00DF31DF" w:rsidRPr="00720B94">
        <w:rPr>
          <w:sz w:val="22"/>
          <w:szCs w:val="22"/>
        </w:rPr>
        <w:t xml:space="preserve">an approved </w:t>
      </w:r>
      <w:r w:rsidRPr="00720B94">
        <w:rPr>
          <w:sz w:val="22"/>
          <w:szCs w:val="22"/>
        </w:rPr>
        <w:t>protocol.</w:t>
      </w:r>
    </w:p>
    <w:p w14:paraId="61EF8EB8" w14:textId="50A2D0BF" w:rsidR="009C3039" w:rsidRPr="00720B94" w:rsidRDefault="009C3039" w:rsidP="0092380E">
      <w:pPr>
        <w:pStyle w:val="ListParagraph"/>
        <w:numPr>
          <w:ilvl w:val="0"/>
          <w:numId w:val="29"/>
        </w:numPr>
        <w:spacing w:after="160"/>
        <w:rPr>
          <w:sz w:val="22"/>
          <w:szCs w:val="22"/>
        </w:rPr>
      </w:pPr>
      <w:r w:rsidRPr="00720B94">
        <w:rPr>
          <w:b/>
          <w:bCs/>
          <w:sz w:val="22"/>
          <w:szCs w:val="22"/>
        </w:rPr>
        <w:t xml:space="preserve">Protocol Progress Reviews </w:t>
      </w:r>
      <w:r w:rsidRPr="00720B94">
        <w:rPr>
          <w:sz w:val="22"/>
          <w:szCs w:val="22"/>
        </w:rPr>
        <w:t xml:space="preserve">for projects subject to </w:t>
      </w:r>
      <w:r w:rsidR="00D82EC9" w:rsidRPr="00720B94">
        <w:rPr>
          <w:sz w:val="22"/>
          <w:szCs w:val="22"/>
        </w:rPr>
        <w:t>DURC</w:t>
      </w:r>
      <w:r w:rsidRPr="00720B94">
        <w:rPr>
          <w:sz w:val="22"/>
          <w:szCs w:val="22"/>
        </w:rPr>
        <w:t xml:space="preserve"> and/or </w:t>
      </w:r>
      <w:r w:rsidR="00D82EC9" w:rsidRPr="00720B94">
        <w:rPr>
          <w:sz w:val="22"/>
          <w:szCs w:val="22"/>
        </w:rPr>
        <w:t>PEPP</w:t>
      </w:r>
      <w:r w:rsidRPr="00720B94">
        <w:rPr>
          <w:sz w:val="22"/>
          <w:szCs w:val="22"/>
        </w:rPr>
        <w:t xml:space="preserve"> </w:t>
      </w:r>
      <w:r w:rsidR="00D82EC9" w:rsidRPr="00720B94">
        <w:rPr>
          <w:sz w:val="22"/>
          <w:szCs w:val="22"/>
        </w:rPr>
        <w:t xml:space="preserve">standards </w:t>
      </w:r>
      <w:r w:rsidR="00744527" w:rsidRPr="00720B94">
        <w:rPr>
          <w:sz w:val="22"/>
          <w:szCs w:val="22"/>
        </w:rPr>
        <w:t>must</w:t>
      </w:r>
      <w:r w:rsidRPr="00720B94">
        <w:rPr>
          <w:sz w:val="22"/>
          <w:szCs w:val="22"/>
        </w:rPr>
        <w:t xml:space="preserve"> be submitted </w:t>
      </w:r>
      <w:r w:rsidR="000F19C6" w:rsidRPr="00720B94">
        <w:rPr>
          <w:sz w:val="22"/>
          <w:szCs w:val="22"/>
        </w:rPr>
        <w:t xml:space="preserve">annually or </w:t>
      </w:r>
      <w:r w:rsidRPr="00720B94">
        <w:rPr>
          <w:sz w:val="22"/>
          <w:szCs w:val="22"/>
        </w:rPr>
        <w:t>semi-annually.</w:t>
      </w:r>
    </w:p>
    <w:p w14:paraId="5555278C" w14:textId="0F4B490E" w:rsidR="00123090" w:rsidRPr="00720B94" w:rsidRDefault="006A54B8" w:rsidP="00720B94">
      <w:r w:rsidRPr="00720B94">
        <w:t>New B</w:t>
      </w:r>
      <w:r w:rsidR="00123090" w:rsidRPr="00720B94">
        <w:t xml:space="preserve">iosafety </w:t>
      </w:r>
      <w:r w:rsidR="00E83683" w:rsidRPr="00720B94">
        <w:t>P</w:t>
      </w:r>
      <w:r w:rsidR="00123090" w:rsidRPr="00720B94">
        <w:t>rotocols</w:t>
      </w:r>
      <w:r w:rsidR="0066293D" w:rsidRPr="00720B94">
        <w:t xml:space="preserve"> </w:t>
      </w:r>
      <w:r w:rsidR="00123090" w:rsidRPr="00720B94">
        <w:t xml:space="preserve">must be accompanied by copies of related CITI training completion </w:t>
      </w:r>
      <w:r w:rsidR="0066293D" w:rsidRPr="00720B94">
        <w:t>certificates</w:t>
      </w:r>
      <w:r w:rsidR="00123090" w:rsidRPr="00720B94">
        <w:t xml:space="preserve"> for all personnel listed in the protocol (faculty, staff, and students)</w:t>
      </w:r>
      <w:r w:rsidR="009B1F0B" w:rsidRPr="00720B94">
        <w:t xml:space="preserve"> (</w:t>
      </w:r>
      <w:r w:rsidR="00340125" w:rsidRPr="00720B94">
        <w:t xml:space="preserve">see the </w:t>
      </w:r>
      <w:hyperlink r:id="rId27" w:anchor="tm-267578" w:history="1">
        <w:r w:rsidR="00340125" w:rsidRPr="00717676">
          <w:rPr>
            <w:rStyle w:val="Hyperlink"/>
            <w:color w:val="007D89" w:themeColor="accent3" w:themeShade="BF"/>
          </w:rPr>
          <w:t>IBC webpage</w:t>
        </w:r>
      </w:hyperlink>
      <w:r w:rsidR="00340125" w:rsidRPr="00720B94">
        <w:t xml:space="preserve"> for </w:t>
      </w:r>
      <w:r w:rsidR="00CB4C5E" w:rsidRPr="00720B94">
        <w:t>information on how to</w:t>
      </w:r>
      <w:r w:rsidR="00753C21" w:rsidRPr="00720B94">
        <w:t xml:space="preserve"> access</w:t>
      </w:r>
      <w:r w:rsidR="00CB4C5E" w:rsidRPr="00720B94">
        <w:t xml:space="preserve"> and complete training</w:t>
      </w:r>
      <w:r w:rsidR="00340125" w:rsidRPr="00720B94">
        <w:t>)</w:t>
      </w:r>
      <w:r w:rsidR="00123090" w:rsidRPr="00720B94">
        <w:t>.</w:t>
      </w:r>
      <w:r w:rsidR="0066293D" w:rsidRPr="00720B94">
        <w:t xml:space="preserve"> Personnel modifications </w:t>
      </w:r>
      <w:r w:rsidR="00E171CF" w:rsidRPr="00720B94">
        <w:t xml:space="preserve">to </w:t>
      </w:r>
      <w:r w:rsidR="0066293D" w:rsidRPr="00720B94">
        <w:t xml:space="preserve">add </w:t>
      </w:r>
      <w:r w:rsidR="00E048E4" w:rsidRPr="00720B94">
        <w:t>faculty, staff, or students</w:t>
      </w:r>
      <w:r w:rsidR="0066293D" w:rsidRPr="00720B94">
        <w:t xml:space="preserve"> to a protocol must also be accompanied by copies of CITI training completion certificates</w:t>
      </w:r>
      <w:r w:rsidR="00C00FB1" w:rsidRPr="00720B94">
        <w:t xml:space="preserve"> for all individuals </w:t>
      </w:r>
      <w:r w:rsidR="00964B7A" w:rsidRPr="00720B94">
        <w:t xml:space="preserve">added </w:t>
      </w:r>
      <w:r w:rsidR="00C00FB1" w:rsidRPr="00720B94">
        <w:t>in the modification form</w:t>
      </w:r>
      <w:r w:rsidR="0066293D" w:rsidRPr="00720B94">
        <w:t>.</w:t>
      </w:r>
      <w:r w:rsidR="00E048E4" w:rsidRPr="00720B94">
        <w:t xml:space="preserve"> Personnel </w:t>
      </w:r>
      <w:r w:rsidR="006B5145" w:rsidRPr="00720B94">
        <w:t xml:space="preserve">modifications </w:t>
      </w:r>
      <w:r w:rsidR="00DB0F07" w:rsidRPr="00720B94">
        <w:t>must</w:t>
      </w:r>
      <w:r w:rsidR="006B5145" w:rsidRPr="00720B94">
        <w:t xml:space="preserve"> also be submitted to remove faculty or staff from a protocol; students do not need to be formally removed from a protocol.</w:t>
      </w:r>
      <w:r w:rsidR="00D06800" w:rsidRPr="00720B94">
        <w:t xml:space="preserve"> Students enrolling in laboratory courses do not need to be </w:t>
      </w:r>
      <w:r w:rsidR="00BA5D33" w:rsidRPr="00720B94">
        <w:t>added to protocols and are not required to complete CITI training modules unless directed by the instructor.</w:t>
      </w:r>
    </w:p>
    <w:p w14:paraId="2444916B" w14:textId="2147C89F" w:rsidR="000354C8" w:rsidRPr="00720B94" w:rsidRDefault="008860FB" w:rsidP="00720B94">
      <w:r w:rsidRPr="00720B94">
        <w:t>Biosafety Protocols</w:t>
      </w:r>
      <w:r w:rsidR="0058570A" w:rsidRPr="00720B94">
        <w:t xml:space="preserve"> may be subject to the NIH Guidelines. Protocols </w:t>
      </w:r>
      <w:r w:rsidR="00BA223F" w:rsidRPr="00720B94">
        <w:t xml:space="preserve">that are </w:t>
      </w:r>
      <w:r w:rsidR="0058570A" w:rsidRPr="00720B94">
        <w:t xml:space="preserve">not subject to the NIH Guidelines may not require </w:t>
      </w:r>
      <w:r w:rsidR="00460C98" w:rsidRPr="00720B94">
        <w:t xml:space="preserve">review by the full IBC and may be eligible for administrative review by ORSP and/or </w:t>
      </w:r>
      <w:r w:rsidR="00096DF8" w:rsidRPr="00720B94">
        <w:t>primary review by</w:t>
      </w:r>
      <w:r w:rsidR="00142660" w:rsidRPr="00720B94">
        <w:t xml:space="preserve"> the IBC </w:t>
      </w:r>
      <w:r w:rsidR="00D6080E" w:rsidRPr="00720B94">
        <w:t>Coordinator</w:t>
      </w:r>
      <w:r w:rsidR="00142660" w:rsidRPr="00720B94">
        <w:t xml:space="preserve"> or a designee with relevant expertise.</w:t>
      </w:r>
      <w:r w:rsidRPr="00720B94">
        <w:t xml:space="preserve"> </w:t>
      </w:r>
      <w:r w:rsidR="00A21F29" w:rsidRPr="00720B94">
        <w:t xml:space="preserve">For </w:t>
      </w:r>
      <w:r w:rsidR="00075B4E" w:rsidRPr="00720B94">
        <w:t>p</w:t>
      </w:r>
      <w:r w:rsidR="00A21F29" w:rsidRPr="00720B94">
        <w:t>rotocols subject to the NIH Guidelines, e</w:t>
      </w:r>
      <w:r w:rsidR="000354C8" w:rsidRPr="00720B94">
        <w:t xml:space="preserve">xpedited </w:t>
      </w:r>
      <w:r w:rsidR="00C538B0" w:rsidRPr="00720B94">
        <w:t xml:space="preserve">reviews by an individual or subcommittee </w:t>
      </w:r>
      <w:r w:rsidR="00DB3482" w:rsidRPr="00720B94">
        <w:t xml:space="preserve">to approve </w:t>
      </w:r>
      <w:r w:rsidR="00BA223F" w:rsidRPr="00720B94">
        <w:t>such p</w:t>
      </w:r>
      <w:r w:rsidR="00DB3482" w:rsidRPr="00720B94">
        <w:t>rotocols</w:t>
      </w:r>
      <w:r w:rsidR="00B06997" w:rsidRPr="00720B94">
        <w:t xml:space="preserve"> on behalf of the entire IBC</w:t>
      </w:r>
      <w:r w:rsidR="00DB3482" w:rsidRPr="00720B94">
        <w:t xml:space="preserve"> </w:t>
      </w:r>
      <w:r w:rsidR="00C538B0" w:rsidRPr="00720B94">
        <w:t>are not permitted by</w:t>
      </w:r>
      <w:r w:rsidR="00B06997" w:rsidRPr="00720B94">
        <w:t xml:space="preserve"> the</w:t>
      </w:r>
      <w:r w:rsidR="00C538B0" w:rsidRPr="00720B94">
        <w:t xml:space="preserve"> NIH Guidelines.</w:t>
      </w:r>
      <w:r w:rsidR="00DB3482" w:rsidRPr="00720B94">
        <w:t xml:space="preserve"> </w:t>
      </w:r>
      <w:r w:rsidR="00AD6AB3" w:rsidRPr="00720B94">
        <w:t>A</w:t>
      </w:r>
      <w:r w:rsidR="00DB3482" w:rsidRPr="00720B94">
        <w:t>ll protocols</w:t>
      </w:r>
      <w:r w:rsidR="00496BA0" w:rsidRPr="00720B94">
        <w:t xml:space="preserve"> subject </w:t>
      </w:r>
      <w:r w:rsidR="00496BA0" w:rsidRPr="00720B94">
        <w:lastRenderedPageBreak/>
        <w:t>to the NIH Guidelines</w:t>
      </w:r>
      <w:r w:rsidR="00AD6AB3" w:rsidRPr="00720B94">
        <w:t xml:space="preserve">, with the exception of </w:t>
      </w:r>
      <w:r w:rsidR="00C24152" w:rsidRPr="00720B94">
        <w:t>those</w:t>
      </w:r>
      <w:r w:rsidR="00AD6AB3" w:rsidRPr="00720B94">
        <w:t xml:space="preserve"> exempt under </w:t>
      </w:r>
      <w:hyperlink r:id="rId28" w:anchor="_Toc3457051" w:history="1">
        <w:r w:rsidR="00AD6AB3" w:rsidRPr="00717676">
          <w:rPr>
            <w:rStyle w:val="Hyperlink"/>
            <w:color w:val="007D89" w:themeColor="accent3" w:themeShade="BF"/>
          </w:rPr>
          <w:t>Section III-F</w:t>
        </w:r>
      </w:hyperlink>
      <w:r w:rsidR="00AD6AB3" w:rsidRPr="00720B94">
        <w:t xml:space="preserve"> of the Guidelines, will be reviewed </w:t>
      </w:r>
      <w:r w:rsidR="00C24152" w:rsidRPr="00720B94">
        <w:t>and approved when a</w:t>
      </w:r>
      <w:r w:rsidR="00DB3482" w:rsidRPr="00720B94">
        <w:t xml:space="preserve"> </w:t>
      </w:r>
      <w:r w:rsidR="00D50A25" w:rsidRPr="00720B94">
        <w:t>quorum of the IBC is present at a convened meeting</w:t>
      </w:r>
      <w:r w:rsidR="00C24152" w:rsidRPr="00720B94">
        <w:t>.</w:t>
      </w:r>
    </w:p>
    <w:p w14:paraId="14BBDFFC" w14:textId="441E96F7" w:rsidR="007F5AAF" w:rsidRPr="00720B94" w:rsidRDefault="007F5AAF" w:rsidP="00720B94">
      <w:r w:rsidRPr="00720B94">
        <w:t>Complete protocols must be submitted to the IBC at least two weeks prior to an IBC meeting to ensure the protocol will be reviewed at the upcoming meeting.</w:t>
      </w:r>
    </w:p>
    <w:p w14:paraId="7A74C26D" w14:textId="41A25F67" w:rsidR="00D840AE" w:rsidRPr="00720B94" w:rsidRDefault="00010F1E" w:rsidP="00720B94">
      <w:pPr>
        <w:pStyle w:val="Heading2"/>
      </w:pPr>
      <w:bookmarkStart w:id="8" w:name="_Toc192509315"/>
      <w:r w:rsidRPr="00720B94">
        <w:t xml:space="preserve">Exempt </w:t>
      </w:r>
      <w:r w:rsidR="00632F66" w:rsidRPr="00720B94">
        <w:t>Activities</w:t>
      </w:r>
      <w:bookmarkEnd w:id="8"/>
    </w:p>
    <w:p w14:paraId="7E18FA52" w14:textId="40653CBF" w:rsidR="00B56207" w:rsidRPr="00720B94" w:rsidRDefault="002B2750" w:rsidP="00720B94">
      <w:pPr>
        <w:spacing w:after="225" w:line="240" w:lineRule="auto"/>
      </w:pPr>
      <w:r w:rsidRPr="00720B94">
        <w:rPr>
          <w:b/>
          <w:bCs/>
        </w:rPr>
        <w:t xml:space="preserve">All </w:t>
      </w:r>
      <w:r w:rsidR="00A04188" w:rsidRPr="00720B94">
        <w:rPr>
          <w:b/>
          <w:bCs/>
        </w:rPr>
        <w:t>activities</w:t>
      </w:r>
      <w:r w:rsidRPr="00720B94">
        <w:rPr>
          <w:b/>
          <w:bCs/>
        </w:rPr>
        <w:t xml:space="preserve"> involving</w:t>
      </w:r>
      <w:r w:rsidR="00A04188" w:rsidRPr="00720B94">
        <w:rPr>
          <w:b/>
          <w:bCs/>
        </w:rPr>
        <w:t xml:space="preserve"> </w:t>
      </w:r>
      <w:r w:rsidR="007324D6" w:rsidRPr="00720B94">
        <w:rPr>
          <w:rFonts w:cs="Arial"/>
          <w:b/>
          <w:bCs/>
        </w:rPr>
        <w:t xml:space="preserve">biological materials that entail a potential risk to humans, animals, or the environment </w:t>
      </w:r>
      <w:r w:rsidR="0032663A" w:rsidRPr="00720B94">
        <w:rPr>
          <w:b/>
          <w:bCs/>
        </w:rPr>
        <w:t xml:space="preserve">must </w:t>
      </w:r>
      <w:r w:rsidR="00E22D7D" w:rsidRPr="00720B94">
        <w:rPr>
          <w:b/>
          <w:bCs/>
        </w:rPr>
        <w:t xml:space="preserve">have a corresponding </w:t>
      </w:r>
      <w:hyperlink r:id="rId29" w:history="1">
        <w:r w:rsidR="007502C9" w:rsidRPr="00717676">
          <w:rPr>
            <w:rStyle w:val="Hyperlink"/>
            <w:b/>
            <w:bCs/>
            <w:color w:val="007D89" w:themeColor="accent3" w:themeShade="BF"/>
          </w:rPr>
          <w:t>Biosafety Protocol</w:t>
        </w:r>
        <w:r w:rsidR="00DA27B8" w:rsidRPr="00717676">
          <w:rPr>
            <w:rStyle w:val="Hyperlink"/>
            <w:b/>
            <w:bCs/>
            <w:color w:val="007D89" w:themeColor="accent3" w:themeShade="BF"/>
          </w:rPr>
          <w:t xml:space="preserve"> Application</w:t>
        </w:r>
      </w:hyperlink>
      <w:r w:rsidR="00E22D7D" w:rsidRPr="00720B94">
        <w:rPr>
          <w:b/>
          <w:bCs/>
        </w:rPr>
        <w:t xml:space="preserve"> </w:t>
      </w:r>
      <w:r w:rsidR="009B2805" w:rsidRPr="00720B94">
        <w:rPr>
          <w:b/>
          <w:bCs/>
        </w:rPr>
        <w:t>registered with the IBC</w:t>
      </w:r>
      <w:r w:rsidR="00E22D7D" w:rsidRPr="00720B94">
        <w:rPr>
          <w:b/>
          <w:bCs/>
        </w:rPr>
        <w:t>.</w:t>
      </w:r>
      <w:r w:rsidR="00E22D7D" w:rsidRPr="00720B94">
        <w:t xml:space="preserve"> H</w:t>
      </w:r>
      <w:r w:rsidR="002F26AB" w:rsidRPr="00720B94">
        <w:t xml:space="preserve">owever, </w:t>
      </w:r>
      <w:r w:rsidR="009B2805" w:rsidRPr="00720B94">
        <w:t>activities</w:t>
      </w:r>
      <w:r w:rsidR="00C946BE" w:rsidRPr="00720B94">
        <w:t xml:space="preserve"> that </w:t>
      </w:r>
      <w:r w:rsidR="009E1F88" w:rsidRPr="00720B94">
        <w:t>are not subject to the NIH Guidelines (</w:t>
      </w:r>
      <w:r w:rsidR="00DA27B8" w:rsidRPr="00720B94">
        <w:t>e.g.</w:t>
      </w:r>
      <w:r w:rsidR="009E1F88" w:rsidRPr="00720B94">
        <w:t xml:space="preserve">, do not involve recombinant or synthetic nucleic acid molecules) </w:t>
      </w:r>
      <w:r w:rsidR="009E1F88" w:rsidRPr="00720B94">
        <w:rPr>
          <w:i/>
          <w:iCs/>
        </w:rPr>
        <w:t xml:space="preserve">or </w:t>
      </w:r>
      <w:r w:rsidR="009E1F88" w:rsidRPr="00720B94">
        <w:t>activities</w:t>
      </w:r>
      <w:r w:rsidR="009B2805" w:rsidRPr="00720B94">
        <w:t xml:space="preserve"> </w:t>
      </w:r>
      <w:r w:rsidR="006A58D3" w:rsidRPr="00720B94">
        <w:t xml:space="preserve">involving recombinant or synthetic nucleic acid molecules </w:t>
      </w:r>
      <w:r w:rsidR="009B2805" w:rsidRPr="00720B94">
        <w:t xml:space="preserve">that are exempt from the NIH Guidelines under </w:t>
      </w:r>
      <w:hyperlink r:id="rId30" w:anchor="_Toc3457051" w:history="1">
        <w:r w:rsidR="009B2805" w:rsidRPr="00717676">
          <w:rPr>
            <w:rStyle w:val="Hyperlink"/>
            <w:color w:val="007D89" w:themeColor="accent3" w:themeShade="BF"/>
          </w:rPr>
          <w:t>Section III-F</w:t>
        </w:r>
      </w:hyperlink>
      <w:r w:rsidR="002F26AB" w:rsidRPr="00720B94">
        <w:t xml:space="preserve"> </w:t>
      </w:r>
      <w:r w:rsidR="002558F7" w:rsidRPr="00720B94">
        <w:t>may</w:t>
      </w:r>
      <w:r w:rsidR="008004C6" w:rsidRPr="00720B94">
        <w:t xml:space="preserve"> have the protocol</w:t>
      </w:r>
      <w:r w:rsidR="002558F7" w:rsidRPr="00720B94">
        <w:t xml:space="preserve"> reviewed only by the IBC </w:t>
      </w:r>
      <w:r w:rsidR="00130D14" w:rsidRPr="00720B94">
        <w:t xml:space="preserve">Coordinator </w:t>
      </w:r>
      <w:r w:rsidR="009E1F88" w:rsidRPr="00720B94">
        <w:t>or designee</w:t>
      </w:r>
      <w:r w:rsidR="002558F7" w:rsidRPr="00720B94">
        <w:t xml:space="preserve"> rather than the full IBC</w:t>
      </w:r>
      <w:r w:rsidR="004C2D4F" w:rsidRPr="00720B94">
        <w:t xml:space="preserve">. The </w:t>
      </w:r>
      <w:proofErr w:type="gramStart"/>
      <w:r w:rsidR="00130D14" w:rsidRPr="00720B94">
        <w:t>Coordinator</w:t>
      </w:r>
      <w:proofErr w:type="gramEnd"/>
      <w:r w:rsidR="00130D14" w:rsidRPr="00720B94">
        <w:t xml:space="preserve"> </w:t>
      </w:r>
      <w:r w:rsidR="00406B83" w:rsidRPr="00720B94">
        <w:t xml:space="preserve">or designee </w:t>
      </w:r>
      <w:r w:rsidR="004C2D4F" w:rsidRPr="00720B94">
        <w:t xml:space="preserve">will </w:t>
      </w:r>
      <w:r w:rsidR="002558F7" w:rsidRPr="00720B94">
        <w:t xml:space="preserve">verify </w:t>
      </w:r>
      <w:r w:rsidR="002C291D" w:rsidRPr="00720B94">
        <w:t xml:space="preserve">the </w:t>
      </w:r>
      <w:r w:rsidR="00365B97" w:rsidRPr="00720B94">
        <w:t xml:space="preserve">activity </w:t>
      </w:r>
      <w:r w:rsidR="004C2D4F" w:rsidRPr="00720B94">
        <w:t xml:space="preserve">has been correctly categorized. </w:t>
      </w:r>
      <w:r w:rsidR="005D1681" w:rsidRPr="00720B94">
        <w:rPr>
          <w:b/>
          <w:bCs/>
        </w:rPr>
        <w:t>R</w:t>
      </w:r>
      <w:r w:rsidR="003C4078" w:rsidRPr="00720B94">
        <w:rPr>
          <w:b/>
          <w:bCs/>
        </w:rPr>
        <w:t>esearchers</w:t>
      </w:r>
      <w:r w:rsidR="00820458" w:rsidRPr="00720B94">
        <w:rPr>
          <w:b/>
          <w:bCs/>
        </w:rPr>
        <w:t>/</w:t>
      </w:r>
      <w:r w:rsidR="005D1681" w:rsidRPr="00720B94">
        <w:rPr>
          <w:b/>
          <w:bCs/>
        </w:rPr>
        <w:t>instructors</w:t>
      </w:r>
      <w:r w:rsidR="003C4078" w:rsidRPr="00720B94">
        <w:rPr>
          <w:b/>
          <w:bCs/>
        </w:rPr>
        <w:t xml:space="preserve"> are </w:t>
      </w:r>
      <w:r w:rsidR="005D1681" w:rsidRPr="00720B94">
        <w:rPr>
          <w:b/>
          <w:bCs/>
        </w:rPr>
        <w:t xml:space="preserve">not </w:t>
      </w:r>
      <w:r w:rsidR="003C4078" w:rsidRPr="00720B94">
        <w:rPr>
          <w:b/>
          <w:bCs/>
        </w:rPr>
        <w:t>permitted to deem their own research as being exempt from any review.</w:t>
      </w:r>
      <w:r w:rsidR="0022126F" w:rsidRPr="00720B94">
        <w:rPr>
          <w:b/>
          <w:bCs/>
        </w:rPr>
        <w:t xml:space="preserve"> </w:t>
      </w:r>
      <w:r w:rsidR="0022126F" w:rsidRPr="00720B94">
        <w:t xml:space="preserve">At the discretion of the </w:t>
      </w:r>
      <w:proofErr w:type="gramStart"/>
      <w:r w:rsidR="0022126F" w:rsidRPr="00720B94">
        <w:t>Coordinator</w:t>
      </w:r>
      <w:proofErr w:type="gramEnd"/>
      <w:r w:rsidR="0022126F" w:rsidRPr="00720B94">
        <w:t xml:space="preserve"> or designee, a protocol that is not subject to the NIH Guidelines may be required to undergo review by the full IBC (e.g., projects involving higher risk materials).</w:t>
      </w:r>
    </w:p>
    <w:p w14:paraId="00F4BDA6" w14:textId="724C2EF3" w:rsidR="00720084" w:rsidRPr="00720B94" w:rsidRDefault="00720084" w:rsidP="00720B94">
      <w:pPr>
        <w:pStyle w:val="Heading2"/>
      </w:pPr>
      <w:bookmarkStart w:id="9" w:name="_Toc192509316"/>
      <w:r w:rsidRPr="00720B94">
        <w:t>Meeting Procedures &amp; Protocol Review</w:t>
      </w:r>
      <w:bookmarkEnd w:id="9"/>
    </w:p>
    <w:p w14:paraId="6B56A75A" w14:textId="5CA14BFC" w:rsidR="004F7A3B" w:rsidRPr="00720B94" w:rsidRDefault="00720084" w:rsidP="00720B94">
      <w:r w:rsidRPr="00720B94">
        <w:t xml:space="preserve">Reviews of </w:t>
      </w:r>
      <w:r w:rsidR="00463B6D" w:rsidRPr="00720B94">
        <w:t>B</w:t>
      </w:r>
      <w:r w:rsidRPr="00720B94">
        <w:t xml:space="preserve">iosafety </w:t>
      </w:r>
      <w:r w:rsidR="00463B6D" w:rsidRPr="00720B94">
        <w:t>P</w:t>
      </w:r>
      <w:r w:rsidRPr="00720B94">
        <w:t>rotocols focus on the risks of the materials and the mitigating measures. The IBC does not judge the merits of the scientific inquiry, traditional ethical considerations (unless it pertains to elements of public safety under the IBC review purview per NIH Guidelines), or review the scientific approach of the research itself, but the committee reviews for the purpose of risk assessment in accordance with the NIH Guidelines</w:t>
      </w:r>
      <w:r w:rsidR="00D40893" w:rsidRPr="00720B94">
        <w:t xml:space="preserve">, </w:t>
      </w:r>
      <w:r w:rsidR="001B08D8" w:rsidRPr="00720B94">
        <w:t xml:space="preserve">the </w:t>
      </w:r>
      <w:r w:rsidR="00794782" w:rsidRPr="00720B94">
        <w:t xml:space="preserve">CDC </w:t>
      </w:r>
      <w:r w:rsidR="00B027D9" w:rsidRPr="00720B94">
        <w:rPr>
          <w:rFonts w:eastAsia="Arial" w:cs="Arial"/>
        </w:rPr>
        <w:t>Biosafety in Microbiological and Biomedical Laboratories (</w:t>
      </w:r>
      <w:r w:rsidR="00F32186" w:rsidRPr="00720B94">
        <w:t>BMBL</w:t>
      </w:r>
      <w:r w:rsidR="00B027D9" w:rsidRPr="00720B94">
        <w:t>)</w:t>
      </w:r>
      <w:r w:rsidR="00C70CEF" w:rsidRPr="00720B94">
        <w:t>, and applicable federal, state, and institutional regulations and policies</w:t>
      </w:r>
      <w:r w:rsidRPr="00720B94">
        <w:t>.</w:t>
      </w:r>
    </w:p>
    <w:p w14:paraId="79A7B2FF" w14:textId="063DCA06" w:rsidR="00E57E86" w:rsidRPr="00720B94" w:rsidRDefault="00D95B00" w:rsidP="00720B94">
      <w:pPr>
        <w:pStyle w:val="Heading3"/>
      </w:pPr>
      <w:bookmarkStart w:id="10" w:name="_Toc192509317"/>
      <w:r w:rsidRPr="00720B94">
        <w:t xml:space="preserve">Protocol </w:t>
      </w:r>
      <w:r w:rsidR="008D4965" w:rsidRPr="00720B94">
        <w:t xml:space="preserve">Administrative </w:t>
      </w:r>
      <w:r w:rsidR="00E57E86" w:rsidRPr="00720B94">
        <w:t>Pre-Review</w:t>
      </w:r>
      <w:bookmarkEnd w:id="10"/>
    </w:p>
    <w:p w14:paraId="40A25FD1" w14:textId="69AE3FDA" w:rsidR="00D95B00" w:rsidRPr="00720B94" w:rsidRDefault="00D95B00" w:rsidP="00720B94">
      <w:r w:rsidRPr="00720B94">
        <w:t xml:space="preserve">Protocols, renewals, </w:t>
      </w:r>
      <w:r w:rsidR="00250814" w:rsidRPr="00720B94">
        <w:t>r</w:t>
      </w:r>
      <w:r w:rsidR="007C5DBE" w:rsidRPr="00720B94">
        <w:t>evisions</w:t>
      </w:r>
      <w:r w:rsidR="00250814" w:rsidRPr="00720B94">
        <w:t>, and semi-annual reviews</w:t>
      </w:r>
      <w:r w:rsidRPr="00720B94">
        <w:t xml:space="preserve"> are submitted </w:t>
      </w:r>
      <w:r w:rsidR="003F3142" w:rsidRPr="00720B94">
        <w:t xml:space="preserve">by the PI </w:t>
      </w:r>
      <w:r w:rsidRPr="00720B94">
        <w:t xml:space="preserve">to the Office of Research &amp; Sponsored Programs </w:t>
      </w:r>
      <w:r w:rsidR="001D5988" w:rsidRPr="00720B94">
        <w:t xml:space="preserve">(ORSP) </w:t>
      </w:r>
      <w:r w:rsidRPr="00720B94">
        <w:t xml:space="preserve">at grants@uwlax.edu. </w:t>
      </w:r>
      <w:r w:rsidR="0095405C" w:rsidRPr="00720B94">
        <w:t xml:space="preserve">Complete protocols must be submitted at least two weeks prior to an IBC meeting to ensure the protocol will be reviewed at the upcoming meeting. </w:t>
      </w:r>
      <w:r w:rsidRPr="00720B94">
        <w:t xml:space="preserve">After submission, </w:t>
      </w:r>
      <w:r w:rsidR="00DF1424" w:rsidRPr="00720B94">
        <w:t xml:space="preserve">ORSP </w:t>
      </w:r>
      <w:r w:rsidR="00514DDD" w:rsidRPr="00720B94">
        <w:t xml:space="preserve">conducts an administrative pre-review to ensure </w:t>
      </w:r>
      <w:r w:rsidR="00DE05B2" w:rsidRPr="00720B94">
        <w:t xml:space="preserve">the submission includes all the required components and then forwards the protocol to the IBC </w:t>
      </w:r>
      <w:r w:rsidR="00130D14" w:rsidRPr="00720B94">
        <w:t>Coordinator</w:t>
      </w:r>
      <w:r w:rsidR="00DE05B2" w:rsidRPr="00720B94">
        <w:t>.</w:t>
      </w:r>
      <w:r w:rsidR="000323A4" w:rsidRPr="00720B94">
        <w:t xml:space="preserve"> Semi-annual reviews also follow this process.</w:t>
      </w:r>
    </w:p>
    <w:p w14:paraId="1C4145A2" w14:textId="50F5A47A" w:rsidR="001A55FC" w:rsidRPr="00720B94" w:rsidRDefault="00797A25" w:rsidP="00720B94">
      <w:r w:rsidRPr="00720B94">
        <w:t>P</w:t>
      </w:r>
      <w:r w:rsidR="001B08D8" w:rsidRPr="00720B94">
        <w:t xml:space="preserve">ersonnel </w:t>
      </w:r>
      <w:r w:rsidRPr="00720B94">
        <w:t>and award modifications</w:t>
      </w:r>
      <w:r w:rsidR="001B08D8" w:rsidRPr="00720B94">
        <w:t xml:space="preserve"> can be processed and approved by ORSP without the need for further review or approval.</w:t>
      </w:r>
    </w:p>
    <w:p w14:paraId="52292CD0" w14:textId="0F15E457" w:rsidR="00DE05B2" w:rsidRPr="00720B94" w:rsidRDefault="00DE05B2" w:rsidP="00720B94">
      <w:pPr>
        <w:pStyle w:val="Heading3"/>
      </w:pPr>
      <w:bookmarkStart w:id="11" w:name="_Toc192509318"/>
      <w:r w:rsidRPr="00720B94">
        <w:t>Protocol Primary Review</w:t>
      </w:r>
      <w:bookmarkEnd w:id="11"/>
    </w:p>
    <w:p w14:paraId="55E58B3C" w14:textId="4F826BBC" w:rsidR="00DE05B2" w:rsidRPr="00720B94" w:rsidRDefault="00683DDA" w:rsidP="00720B94">
      <w:r w:rsidRPr="00720B94">
        <w:t xml:space="preserve">Once ORSP forwards the </w:t>
      </w:r>
      <w:r w:rsidR="005F09E5" w:rsidRPr="00720B94">
        <w:t>p</w:t>
      </w:r>
      <w:r w:rsidRPr="00720B94">
        <w:t xml:space="preserve">rotocol, renewal, or </w:t>
      </w:r>
      <w:r w:rsidR="007C5DBE" w:rsidRPr="00720B94">
        <w:t>revision</w:t>
      </w:r>
      <w:r w:rsidR="003A5A32" w:rsidRPr="00720B94">
        <w:t xml:space="preserve"> to the IBC </w:t>
      </w:r>
      <w:r w:rsidR="005F09E5" w:rsidRPr="00720B94">
        <w:t>Coordinator</w:t>
      </w:r>
      <w:r w:rsidR="003A5A32" w:rsidRPr="00720B94">
        <w:t xml:space="preserve">, the </w:t>
      </w:r>
      <w:r w:rsidR="005F09E5" w:rsidRPr="00720B94">
        <w:t xml:space="preserve">Coordinator </w:t>
      </w:r>
      <w:r w:rsidR="003A5A32" w:rsidRPr="00720B94">
        <w:t xml:space="preserve">conducts a primary review. The </w:t>
      </w:r>
      <w:proofErr w:type="gramStart"/>
      <w:r w:rsidR="005F09E5" w:rsidRPr="00720B94">
        <w:t>Coordinator</w:t>
      </w:r>
      <w:proofErr w:type="gramEnd"/>
      <w:r w:rsidR="005F09E5" w:rsidRPr="00720B94">
        <w:t xml:space="preserve"> </w:t>
      </w:r>
      <w:r w:rsidR="003A5A32" w:rsidRPr="00720B94">
        <w:t xml:space="preserve">reviews for compliance with </w:t>
      </w:r>
      <w:r w:rsidR="001B08D8" w:rsidRPr="00720B94">
        <w:t xml:space="preserve">the </w:t>
      </w:r>
      <w:r w:rsidR="003A5A32" w:rsidRPr="00720B94">
        <w:t xml:space="preserve">NIH Guidelines, </w:t>
      </w:r>
      <w:r w:rsidR="00794782" w:rsidRPr="00720B94">
        <w:t xml:space="preserve">IBC policies and requirements, and standard biosafety practices outlined in the UWL Biosafety Manual and the CDC </w:t>
      </w:r>
      <w:r w:rsidR="00794782" w:rsidRPr="00720B94">
        <w:rPr>
          <w:rFonts w:eastAsia="Arial" w:cs="Arial"/>
        </w:rPr>
        <w:t>Biosafety in Microbiological and Biomedical Laboratories (</w:t>
      </w:r>
      <w:r w:rsidR="00794782" w:rsidRPr="00720B94">
        <w:t>BMBL).</w:t>
      </w:r>
      <w:r w:rsidR="00B12D6F" w:rsidRPr="00720B94">
        <w:t xml:space="preserve"> The </w:t>
      </w:r>
      <w:proofErr w:type="gramStart"/>
      <w:r w:rsidR="005F09E5" w:rsidRPr="00720B94">
        <w:t>Coordinator</w:t>
      </w:r>
      <w:proofErr w:type="gramEnd"/>
      <w:r w:rsidR="005F09E5" w:rsidRPr="00720B94">
        <w:t xml:space="preserve"> </w:t>
      </w:r>
      <w:r w:rsidR="00B12D6F" w:rsidRPr="00720B94">
        <w:t>determines whether review by the full IBC is required</w:t>
      </w:r>
      <w:r w:rsidR="00516DD5" w:rsidRPr="00720B94">
        <w:t xml:space="preserve"> and then communicates </w:t>
      </w:r>
      <w:r w:rsidR="005C450C" w:rsidRPr="00720B94">
        <w:t>that information to ORSP</w:t>
      </w:r>
      <w:r w:rsidR="00B12D6F" w:rsidRPr="00720B94">
        <w:t>.</w:t>
      </w:r>
    </w:p>
    <w:p w14:paraId="63907796" w14:textId="7BAE8B48" w:rsidR="002A7956" w:rsidRPr="00720B94" w:rsidRDefault="00A2234D" w:rsidP="00720B94">
      <w:r w:rsidRPr="00720B94">
        <w:rPr>
          <w:b/>
          <w:bCs/>
        </w:rPr>
        <w:t>P</w:t>
      </w:r>
      <w:r w:rsidR="00B12D6F" w:rsidRPr="00720B94">
        <w:rPr>
          <w:b/>
          <w:bCs/>
        </w:rPr>
        <w:t xml:space="preserve">rotocols </w:t>
      </w:r>
      <w:r w:rsidRPr="00720B94">
        <w:rPr>
          <w:b/>
          <w:bCs/>
        </w:rPr>
        <w:t xml:space="preserve">that </w:t>
      </w:r>
      <w:r w:rsidR="00B12D6F" w:rsidRPr="00720B94">
        <w:rPr>
          <w:b/>
          <w:bCs/>
        </w:rPr>
        <w:t>require full IBC review</w:t>
      </w:r>
      <w:r w:rsidRPr="00720B94">
        <w:t xml:space="preserve"> </w:t>
      </w:r>
      <w:r w:rsidR="00B74844" w:rsidRPr="00720B94">
        <w:t>are selected according to the following criteria:</w:t>
      </w:r>
      <w:r w:rsidR="002A7956" w:rsidRPr="00720B94">
        <w:t xml:space="preserve"> </w:t>
      </w:r>
    </w:p>
    <w:p w14:paraId="384895B3" w14:textId="0C5CF717" w:rsidR="002A7956" w:rsidRPr="00720B94" w:rsidRDefault="002A7956" w:rsidP="0092380E">
      <w:pPr>
        <w:pStyle w:val="ListParagraph"/>
        <w:numPr>
          <w:ilvl w:val="0"/>
          <w:numId w:val="31"/>
        </w:numPr>
        <w:rPr>
          <w:sz w:val="22"/>
          <w:szCs w:val="22"/>
        </w:rPr>
      </w:pPr>
      <w:r w:rsidRPr="00720B94">
        <w:rPr>
          <w:sz w:val="22"/>
          <w:szCs w:val="22"/>
        </w:rPr>
        <w:t>Projects involving organisms that could have a significant impact on the environment if accidentally released from the laboratory (e.g., exotic plants, nonindigenous plant pathogens</w:t>
      </w:r>
      <w:r w:rsidR="00B708C3" w:rsidRPr="00720B94">
        <w:rPr>
          <w:sz w:val="22"/>
          <w:szCs w:val="22"/>
        </w:rPr>
        <w:t>,</w:t>
      </w:r>
      <w:r w:rsidRPr="00720B94">
        <w:rPr>
          <w:sz w:val="22"/>
          <w:szCs w:val="22"/>
        </w:rPr>
        <w:t xml:space="preserve"> regulated insects)</w:t>
      </w:r>
    </w:p>
    <w:p w14:paraId="53A3D68F" w14:textId="4775F33B" w:rsidR="002A7956" w:rsidRPr="00720B94" w:rsidRDefault="002A7956" w:rsidP="0092380E">
      <w:pPr>
        <w:pStyle w:val="ListParagraph"/>
        <w:numPr>
          <w:ilvl w:val="0"/>
          <w:numId w:val="31"/>
        </w:numPr>
        <w:rPr>
          <w:sz w:val="22"/>
          <w:szCs w:val="22"/>
        </w:rPr>
      </w:pPr>
      <w:r w:rsidRPr="00720B94">
        <w:rPr>
          <w:sz w:val="22"/>
          <w:szCs w:val="22"/>
        </w:rPr>
        <w:t xml:space="preserve">Projects involving activities that are subject to the NIH Guidelines, </w:t>
      </w:r>
      <w:hyperlink r:id="rId31" w:anchor="_Toc3457032" w:history="1">
        <w:r w:rsidR="00572B31" w:rsidRPr="00717676">
          <w:rPr>
            <w:rStyle w:val="Hyperlink"/>
            <w:color w:val="007D89" w:themeColor="accent3" w:themeShade="BF"/>
            <w:sz w:val="22"/>
            <w:szCs w:val="22"/>
          </w:rPr>
          <w:t>S</w:t>
        </w:r>
        <w:r w:rsidRPr="00717676">
          <w:rPr>
            <w:rStyle w:val="Hyperlink"/>
            <w:color w:val="007D89" w:themeColor="accent3" w:themeShade="BF"/>
            <w:sz w:val="22"/>
            <w:szCs w:val="22"/>
          </w:rPr>
          <w:t>ection</w:t>
        </w:r>
        <w:r w:rsidR="00572B31" w:rsidRPr="00717676">
          <w:rPr>
            <w:rStyle w:val="Hyperlink"/>
            <w:color w:val="007D89" w:themeColor="accent3" w:themeShade="BF"/>
            <w:sz w:val="22"/>
            <w:szCs w:val="22"/>
          </w:rPr>
          <w:t>s</w:t>
        </w:r>
        <w:r w:rsidRPr="00717676">
          <w:rPr>
            <w:rStyle w:val="Hyperlink"/>
            <w:color w:val="007D89" w:themeColor="accent3" w:themeShade="BF"/>
            <w:sz w:val="22"/>
            <w:szCs w:val="22"/>
          </w:rPr>
          <w:t xml:space="preserve"> III-A through III-</w:t>
        </w:r>
        <w:r w:rsidR="00B31A97" w:rsidRPr="00717676">
          <w:rPr>
            <w:rStyle w:val="Hyperlink"/>
            <w:color w:val="007D89" w:themeColor="accent3" w:themeShade="BF"/>
            <w:sz w:val="22"/>
            <w:szCs w:val="22"/>
          </w:rPr>
          <w:t>E</w:t>
        </w:r>
      </w:hyperlink>
      <w:r w:rsidRPr="00720B94">
        <w:rPr>
          <w:sz w:val="22"/>
          <w:szCs w:val="22"/>
        </w:rPr>
        <w:t xml:space="preserve"> </w:t>
      </w:r>
    </w:p>
    <w:p w14:paraId="763036BC" w14:textId="3C8B131E" w:rsidR="00325BE2" w:rsidRPr="00720B94" w:rsidRDefault="00325BE2" w:rsidP="0092380E">
      <w:pPr>
        <w:pStyle w:val="ListParagraph"/>
        <w:numPr>
          <w:ilvl w:val="0"/>
          <w:numId w:val="31"/>
        </w:numPr>
        <w:rPr>
          <w:sz w:val="22"/>
          <w:szCs w:val="22"/>
        </w:rPr>
      </w:pPr>
      <w:r w:rsidRPr="00720B94">
        <w:rPr>
          <w:sz w:val="22"/>
          <w:szCs w:val="22"/>
        </w:rPr>
        <w:t>Projects involving gene drive modified organisms (GDMOs)</w:t>
      </w:r>
      <w:r w:rsidR="00A72F4A" w:rsidRPr="00720B94">
        <w:rPr>
          <w:sz w:val="22"/>
          <w:szCs w:val="22"/>
        </w:rPr>
        <w:t xml:space="preserve"> subject to the NIH Guidelines, </w:t>
      </w:r>
      <w:hyperlink r:id="rId32" w:anchor="SectionIIID8" w:history="1">
        <w:r w:rsidR="00A72F4A" w:rsidRPr="00717676">
          <w:rPr>
            <w:rStyle w:val="Hyperlink"/>
            <w:color w:val="007D89" w:themeColor="accent3" w:themeShade="BF"/>
            <w:sz w:val="22"/>
            <w:szCs w:val="22"/>
          </w:rPr>
          <w:t>Section III-D-8</w:t>
        </w:r>
      </w:hyperlink>
    </w:p>
    <w:p w14:paraId="4F6B0051" w14:textId="32A8F096" w:rsidR="002A7956" w:rsidRPr="00720B94" w:rsidRDefault="002A7956" w:rsidP="0092380E">
      <w:pPr>
        <w:pStyle w:val="ListParagraph"/>
        <w:numPr>
          <w:ilvl w:val="0"/>
          <w:numId w:val="31"/>
        </w:numPr>
        <w:rPr>
          <w:sz w:val="22"/>
          <w:szCs w:val="22"/>
        </w:rPr>
      </w:pPr>
      <w:r w:rsidRPr="00720B94">
        <w:rPr>
          <w:sz w:val="22"/>
          <w:szCs w:val="22"/>
        </w:rPr>
        <w:lastRenderedPageBreak/>
        <w:t>Projects that require BSL3 containment or involve large scale production under BSL1-LS or BSL2-LS</w:t>
      </w:r>
    </w:p>
    <w:p w14:paraId="56F8117F" w14:textId="7F734430" w:rsidR="002A7956" w:rsidRPr="00720B94" w:rsidRDefault="002A7956" w:rsidP="0092380E">
      <w:pPr>
        <w:pStyle w:val="ListParagraph"/>
        <w:numPr>
          <w:ilvl w:val="0"/>
          <w:numId w:val="31"/>
        </w:numPr>
        <w:rPr>
          <w:sz w:val="22"/>
          <w:szCs w:val="22"/>
        </w:rPr>
      </w:pPr>
      <w:r w:rsidRPr="00720B94">
        <w:rPr>
          <w:sz w:val="22"/>
          <w:szCs w:val="22"/>
        </w:rPr>
        <w:t xml:space="preserve">Human gene therapy trials, subject to NIH Guidelines, </w:t>
      </w:r>
      <w:hyperlink r:id="rId33" w:anchor="_Toc3457037" w:history="1">
        <w:r w:rsidR="00E62385" w:rsidRPr="00717676">
          <w:rPr>
            <w:rStyle w:val="Hyperlink"/>
            <w:color w:val="007D89" w:themeColor="accent3" w:themeShade="BF"/>
            <w:sz w:val="22"/>
            <w:szCs w:val="22"/>
          </w:rPr>
          <w:t>S</w:t>
        </w:r>
        <w:r w:rsidRPr="00717676">
          <w:rPr>
            <w:rStyle w:val="Hyperlink"/>
            <w:color w:val="007D89" w:themeColor="accent3" w:themeShade="BF"/>
            <w:sz w:val="22"/>
            <w:szCs w:val="22"/>
          </w:rPr>
          <w:t>ection III-C</w:t>
        </w:r>
      </w:hyperlink>
    </w:p>
    <w:p w14:paraId="05C40876" w14:textId="77777777" w:rsidR="002A7956" w:rsidRPr="00720B94" w:rsidRDefault="002A7956" w:rsidP="0092380E">
      <w:pPr>
        <w:pStyle w:val="ListParagraph"/>
        <w:numPr>
          <w:ilvl w:val="0"/>
          <w:numId w:val="31"/>
        </w:numPr>
        <w:rPr>
          <w:sz w:val="22"/>
          <w:szCs w:val="22"/>
        </w:rPr>
      </w:pPr>
      <w:r w:rsidRPr="00720B94">
        <w:rPr>
          <w:sz w:val="22"/>
          <w:szCs w:val="22"/>
        </w:rPr>
        <w:t>Dual Use Research of Concern</w:t>
      </w:r>
    </w:p>
    <w:p w14:paraId="084A980C" w14:textId="5AE8C84F" w:rsidR="00AE6436" w:rsidRPr="00720B94" w:rsidRDefault="00AE6436" w:rsidP="0092380E">
      <w:pPr>
        <w:pStyle w:val="ListParagraph"/>
        <w:numPr>
          <w:ilvl w:val="0"/>
          <w:numId w:val="31"/>
        </w:numPr>
        <w:rPr>
          <w:sz w:val="22"/>
          <w:szCs w:val="22"/>
        </w:rPr>
      </w:pPr>
      <w:r w:rsidRPr="00720B94">
        <w:rPr>
          <w:sz w:val="22"/>
          <w:szCs w:val="22"/>
        </w:rPr>
        <w:t>Pathogens with Enhanced Pandemic Potential</w:t>
      </w:r>
    </w:p>
    <w:p w14:paraId="05DE2316" w14:textId="77777777" w:rsidR="000A2462" w:rsidRPr="00720B94" w:rsidRDefault="002A7956" w:rsidP="0092380E">
      <w:pPr>
        <w:pStyle w:val="ListParagraph"/>
        <w:numPr>
          <w:ilvl w:val="0"/>
          <w:numId w:val="31"/>
        </w:numPr>
        <w:spacing w:after="160"/>
        <w:rPr>
          <w:sz w:val="22"/>
          <w:szCs w:val="22"/>
        </w:rPr>
      </w:pPr>
      <w:r w:rsidRPr="00720B94">
        <w:rPr>
          <w:sz w:val="22"/>
          <w:szCs w:val="22"/>
        </w:rPr>
        <w:t>Select Agents and Toxins</w:t>
      </w:r>
    </w:p>
    <w:p w14:paraId="1AF2E8B2" w14:textId="44350D1D" w:rsidR="00B12D6F" w:rsidRPr="00720B94" w:rsidRDefault="000A2462" w:rsidP="0092380E">
      <w:pPr>
        <w:pStyle w:val="ListParagraph"/>
        <w:numPr>
          <w:ilvl w:val="0"/>
          <w:numId w:val="31"/>
        </w:numPr>
        <w:spacing w:after="160"/>
        <w:rPr>
          <w:sz w:val="22"/>
          <w:szCs w:val="22"/>
        </w:rPr>
      </w:pPr>
      <w:r w:rsidRPr="00720B94">
        <w:rPr>
          <w:sz w:val="22"/>
          <w:szCs w:val="22"/>
        </w:rPr>
        <w:t>Protocols selected at the discretion of the IBC Coordinator or designee</w:t>
      </w:r>
      <w:r w:rsidR="002A7956" w:rsidRPr="00720B94">
        <w:rPr>
          <w:sz w:val="22"/>
          <w:szCs w:val="22"/>
        </w:rPr>
        <w:t xml:space="preserve"> </w:t>
      </w:r>
    </w:p>
    <w:p w14:paraId="5BFBDBCA" w14:textId="1BF7593E" w:rsidR="00B12D6F" w:rsidRPr="00720B94" w:rsidRDefault="005420D6" w:rsidP="00720B94">
      <w:r w:rsidRPr="00720B94">
        <w:rPr>
          <w:b/>
          <w:bCs/>
        </w:rPr>
        <w:t xml:space="preserve">Protocols that do not require full IBC review </w:t>
      </w:r>
      <w:r w:rsidRPr="00720B94">
        <w:t xml:space="preserve">and that may be approved by the IBC </w:t>
      </w:r>
      <w:r w:rsidR="005F09E5" w:rsidRPr="00720B94">
        <w:t xml:space="preserve">Coordinator </w:t>
      </w:r>
      <w:r w:rsidR="00263D74" w:rsidRPr="00720B94">
        <w:t>or a designee with subject matter expertise</w:t>
      </w:r>
      <w:r w:rsidRPr="00720B94">
        <w:t xml:space="preserve"> on behalf of the IBC include</w:t>
      </w:r>
      <w:r w:rsidR="00EA1A2B" w:rsidRPr="00720B94">
        <w:t xml:space="preserve"> the following:</w:t>
      </w:r>
    </w:p>
    <w:p w14:paraId="3DB0C296" w14:textId="595E27B3" w:rsidR="00EA1A2B" w:rsidRPr="00720B94" w:rsidRDefault="00EA1A2B" w:rsidP="0092380E">
      <w:pPr>
        <w:pStyle w:val="ListParagraph"/>
        <w:numPr>
          <w:ilvl w:val="0"/>
          <w:numId w:val="37"/>
        </w:numPr>
        <w:spacing w:after="160"/>
        <w:rPr>
          <w:sz w:val="22"/>
          <w:szCs w:val="22"/>
        </w:rPr>
      </w:pPr>
      <w:r w:rsidRPr="00720B94">
        <w:rPr>
          <w:sz w:val="22"/>
          <w:szCs w:val="22"/>
        </w:rPr>
        <w:t>Those th</w:t>
      </w:r>
      <w:r w:rsidR="000D127E" w:rsidRPr="00720B94">
        <w:rPr>
          <w:sz w:val="22"/>
          <w:szCs w:val="22"/>
        </w:rPr>
        <w:t>at are categorized</w:t>
      </w:r>
      <w:r w:rsidRPr="00720B94">
        <w:rPr>
          <w:sz w:val="22"/>
          <w:szCs w:val="22"/>
        </w:rPr>
        <w:t xml:space="preserve"> under NIH Guidelines</w:t>
      </w:r>
      <w:r w:rsidR="00E62385" w:rsidRPr="00720B94">
        <w:rPr>
          <w:sz w:val="22"/>
          <w:szCs w:val="22"/>
        </w:rPr>
        <w:t>,</w:t>
      </w:r>
      <w:r w:rsidRPr="00720B94">
        <w:rPr>
          <w:sz w:val="22"/>
          <w:szCs w:val="22"/>
        </w:rPr>
        <w:t xml:space="preserve"> </w:t>
      </w:r>
      <w:hyperlink r:id="rId34" w:anchor="_Toc3457051" w:history="1">
        <w:r w:rsidRPr="00717676">
          <w:rPr>
            <w:rStyle w:val="Hyperlink"/>
            <w:color w:val="007D89" w:themeColor="accent3" w:themeShade="BF"/>
            <w:sz w:val="22"/>
            <w:szCs w:val="22"/>
          </w:rPr>
          <w:t>Section III-F</w:t>
        </w:r>
      </w:hyperlink>
    </w:p>
    <w:p w14:paraId="55AEE549" w14:textId="2102C537" w:rsidR="00EA1A2B" w:rsidRPr="00720B94" w:rsidRDefault="00EA1A2B" w:rsidP="0092380E">
      <w:pPr>
        <w:pStyle w:val="ListParagraph"/>
        <w:numPr>
          <w:ilvl w:val="0"/>
          <w:numId w:val="37"/>
        </w:numPr>
        <w:spacing w:after="160"/>
        <w:rPr>
          <w:sz w:val="22"/>
          <w:szCs w:val="22"/>
        </w:rPr>
      </w:pPr>
      <w:r w:rsidRPr="00720B94">
        <w:rPr>
          <w:sz w:val="22"/>
          <w:szCs w:val="22"/>
        </w:rPr>
        <w:t>Protocols not subject to the NIH Guidelines</w:t>
      </w:r>
      <w:r w:rsidR="000A36D7" w:rsidRPr="00720B94">
        <w:rPr>
          <w:sz w:val="22"/>
          <w:szCs w:val="22"/>
        </w:rPr>
        <w:t xml:space="preserve"> that do not otherwise meet the criteria requiring full IBC review</w:t>
      </w:r>
    </w:p>
    <w:p w14:paraId="6944EFFE" w14:textId="0EA29EF0" w:rsidR="00EA1A2B" w:rsidRPr="00720B94" w:rsidRDefault="00EA1A2B" w:rsidP="0092380E">
      <w:pPr>
        <w:pStyle w:val="ListParagraph"/>
        <w:numPr>
          <w:ilvl w:val="0"/>
          <w:numId w:val="37"/>
        </w:numPr>
        <w:spacing w:after="160"/>
        <w:rPr>
          <w:sz w:val="22"/>
          <w:szCs w:val="22"/>
        </w:rPr>
      </w:pPr>
      <w:r w:rsidRPr="00720B94">
        <w:rPr>
          <w:sz w:val="22"/>
          <w:szCs w:val="22"/>
        </w:rPr>
        <w:t xml:space="preserve">Certain </w:t>
      </w:r>
      <w:r w:rsidR="0095735D" w:rsidRPr="00720B94">
        <w:rPr>
          <w:sz w:val="22"/>
          <w:szCs w:val="22"/>
        </w:rPr>
        <w:t>revisions</w:t>
      </w:r>
      <w:r w:rsidRPr="00720B94">
        <w:rPr>
          <w:sz w:val="22"/>
          <w:szCs w:val="22"/>
        </w:rPr>
        <w:t xml:space="preserve"> deemed similar enough to previously approved work</w:t>
      </w:r>
    </w:p>
    <w:p w14:paraId="54472DFD" w14:textId="2B8AF4EF" w:rsidR="005C450C" w:rsidRPr="00720B94" w:rsidRDefault="00615AA3" w:rsidP="00720B94">
      <w:r w:rsidRPr="00720B94">
        <w:t>If alternate or additional expertise is needed</w:t>
      </w:r>
      <w:r w:rsidR="00FF26AE" w:rsidRPr="00720B94">
        <w:t xml:space="preserve"> </w:t>
      </w:r>
      <w:r w:rsidR="00D31B11" w:rsidRPr="00720B94">
        <w:t>to evaluate</w:t>
      </w:r>
      <w:r w:rsidR="00FF26AE" w:rsidRPr="00720B94">
        <w:t xml:space="preserve"> protocols that do not require full IBC review</w:t>
      </w:r>
      <w:r w:rsidRPr="00720B94">
        <w:t xml:space="preserve">, the IBC </w:t>
      </w:r>
      <w:r w:rsidR="00447C80" w:rsidRPr="00720B94">
        <w:t xml:space="preserve">Coordinator </w:t>
      </w:r>
      <w:r w:rsidRPr="00720B94">
        <w:t xml:space="preserve">may designate another </w:t>
      </w:r>
      <w:r w:rsidR="006D4D1B" w:rsidRPr="00720B94">
        <w:t>individual</w:t>
      </w:r>
      <w:r w:rsidRPr="00720B94">
        <w:t xml:space="preserve"> with relevant expertise to conduct the primary review. </w:t>
      </w:r>
      <w:r w:rsidR="00FF26AE" w:rsidRPr="00720B94">
        <w:t>A</w:t>
      </w:r>
      <w:r w:rsidR="00805606" w:rsidRPr="00720B94">
        <w:t xml:space="preserve">pprovals </w:t>
      </w:r>
      <w:r w:rsidR="00FF26AE" w:rsidRPr="00720B94">
        <w:t xml:space="preserve">for protocols not requiring full IBC review </w:t>
      </w:r>
      <w:r w:rsidR="00805606" w:rsidRPr="00720B94">
        <w:t xml:space="preserve">will be </w:t>
      </w:r>
      <w:r w:rsidR="00D31B11" w:rsidRPr="00720B94">
        <w:t xml:space="preserve">provided in writing </w:t>
      </w:r>
      <w:r w:rsidR="00805606" w:rsidRPr="00720B94">
        <w:t>to the PI by ORSP</w:t>
      </w:r>
      <w:r w:rsidR="00B777A3" w:rsidRPr="00720B94">
        <w:t xml:space="preserve"> following IBC </w:t>
      </w:r>
      <w:r w:rsidR="00447C80" w:rsidRPr="00720B94">
        <w:t xml:space="preserve">Coordinator </w:t>
      </w:r>
      <w:r w:rsidR="00B777A3" w:rsidRPr="00720B94">
        <w:t>approval</w:t>
      </w:r>
      <w:r w:rsidR="00805606" w:rsidRPr="00720B94">
        <w:t>.</w:t>
      </w:r>
      <w:r w:rsidR="00790F0B" w:rsidRPr="00720B94">
        <w:t xml:space="preserve"> </w:t>
      </w:r>
      <w:r w:rsidR="00493390" w:rsidRPr="00720B94">
        <w:t xml:space="preserve">If information is missing, unclear, incongruent, or deviates from established standards, the protocol </w:t>
      </w:r>
      <w:r w:rsidR="00D31B11" w:rsidRPr="00720B94">
        <w:t>will be</w:t>
      </w:r>
      <w:r w:rsidR="00493390" w:rsidRPr="00720B94">
        <w:t xml:space="preserve"> returned to the PI for revision.</w:t>
      </w:r>
    </w:p>
    <w:p w14:paraId="2F2031C1" w14:textId="1A980F0C" w:rsidR="00493390" w:rsidRPr="00720B94" w:rsidRDefault="00493390" w:rsidP="00720B94">
      <w:pPr>
        <w:pStyle w:val="Heading3"/>
      </w:pPr>
      <w:bookmarkStart w:id="12" w:name="_Toc192509319"/>
      <w:r w:rsidRPr="00720B94">
        <w:t>Protocol IBC Review</w:t>
      </w:r>
      <w:bookmarkEnd w:id="12"/>
    </w:p>
    <w:p w14:paraId="37BD70F2" w14:textId="0564A107" w:rsidR="00493390" w:rsidRPr="00720B94" w:rsidRDefault="002872E5" w:rsidP="00720B94">
      <w:r w:rsidRPr="00720B94">
        <w:t xml:space="preserve">For protocols </w:t>
      </w:r>
      <w:r w:rsidR="009F5DC7" w:rsidRPr="00720B94">
        <w:t>requiring review</w:t>
      </w:r>
      <w:r w:rsidR="00A7560B" w:rsidRPr="00720B94">
        <w:t xml:space="preserve"> by the full IBC</w:t>
      </w:r>
      <w:r w:rsidR="009F5DC7" w:rsidRPr="00720B94">
        <w:t>,</w:t>
      </w:r>
      <w:r w:rsidR="00516DD5" w:rsidRPr="00720B94">
        <w:t xml:space="preserve"> protocols</w:t>
      </w:r>
      <w:r w:rsidR="009F5DC7" w:rsidRPr="00720B94">
        <w:t xml:space="preserve"> </w:t>
      </w:r>
      <w:r w:rsidR="00B777A3" w:rsidRPr="00720B94">
        <w:t xml:space="preserve">will be sent </w:t>
      </w:r>
      <w:r w:rsidR="00C01099" w:rsidRPr="00720B94">
        <w:t xml:space="preserve">by ORSP </w:t>
      </w:r>
      <w:r w:rsidR="00B777A3" w:rsidRPr="00720B94">
        <w:t>to IBC members</w:t>
      </w:r>
      <w:r w:rsidR="00CA023C" w:rsidRPr="00720B94">
        <w:t xml:space="preserve"> at least one week prior to a scheduled IBC meeting</w:t>
      </w:r>
      <w:r w:rsidR="00C01099" w:rsidRPr="00720B94">
        <w:t xml:space="preserve">. </w:t>
      </w:r>
      <w:r w:rsidR="008052E8" w:rsidRPr="00720B94">
        <w:t>I</w:t>
      </w:r>
      <w:r w:rsidR="009727D9" w:rsidRPr="00720B94">
        <w:t xml:space="preserve">f needed, </w:t>
      </w:r>
      <w:r w:rsidR="00447C80" w:rsidRPr="00720B94">
        <w:t xml:space="preserve">non-voting, </w:t>
      </w:r>
      <w:r w:rsidR="008052E8" w:rsidRPr="00720B94">
        <w:t xml:space="preserve">ad hoc consultants may </w:t>
      </w:r>
      <w:r w:rsidR="00120F39" w:rsidRPr="00720B94">
        <w:t xml:space="preserve">additionally </w:t>
      </w:r>
      <w:r w:rsidR="008052E8" w:rsidRPr="00720B94">
        <w:t xml:space="preserve">be invited to review and weigh in on specific aspects </w:t>
      </w:r>
      <w:r w:rsidR="00120F39" w:rsidRPr="00720B94">
        <w:t>of a protocol.</w:t>
      </w:r>
    </w:p>
    <w:p w14:paraId="4831FDF1" w14:textId="736B18D9" w:rsidR="0070018A" w:rsidRPr="00720B94" w:rsidRDefault="00120F39" w:rsidP="00720B94">
      <w:r w:rsidRPr="00720B94">
        <w:t xml:space="preserve">When a protocol is reviewed by the full IBC, </w:t>
      </w:r>
      <w:r w:rsidR="00720084" w:rsidRPr="00720B94">
        <w:t>one of the following decisions</w:t>
      </w:r>
      <w:r w:rsidR="00EA62E8" w:rsidRPr="00720B94">
        <w:t xml:space="preserve"> will be made</w:t>
      </w:r>
      <w:r w:rsidR="00720084" w:rsidRPr="00720B94">
        <w:t>:</w:t>
      </w:r>
    </w:p>
    <w:p w14:paraId="468BB28E" w14:textId="6EA52461" w:rsidR="0070018A" w:rsidRPr="00720B94" w:rsidRDefault="00720084" w:rsidP="0092380E">
      <w:pPr>
        <w:pStyle w:val="ListParagraph"/>
        <w:numPr>
          <w:ilvl w:val="0"/>
          <w:numId w:val="30"/>
        </w:numPr>
        <w:rPr>
          <w:sz w:val="22"/>
          <w:szCs w:val="22"/>
        </w:rPr>
      </w:pPr>
      <w:r w:rsidRPr="00720B94">
        <w:rPr>
          <w:b/>
          <w:bCs/>
          <w:sz w:val="22"/>
          <w:szCs w:val="22"/>
        </w:rPr>
        <w:t>Approve</w:t>
      </w:r>
      <w:r w:rsidRPr="00720B94">
        <w:rPr>
          <w:sz w:val="22"/>
          <w:szCs w:val="22"/>
        </w:rPr>
        <w:t>. The protocol is accepted as provided to the committee</w:t>
      </w:r>
      <w:r w:rsidR="00EA62E8" w:rsidRPr="00720B94">
        <w:rPr>
          <w:sz w:val="22"/>
          <w:szCs w:val="22"/>
        </w:rPr>
        <w:t xml:space="preserve"> and registered by ORSP</w:t>
      </w:r>
      <w:r w:rsidRPr="00720B94">
        <w:rPr>
          <w:sz w:val="22"/>
          <w:szCs w:val="22"/>
        </w:rPr>
        <w:t>.</w:t>
      </w:r>
    </w:p>
    <w:p w14:paraId="6FB21B75" w14:textId="208B2D8F" w:rsidR="00720084" w:rsidRPr="00720B94" w:rsidRDefault="00720084" w:rsidP="0092380E">
      <w:pPr>
        <w:pStyle w:val="ListParagraph"/>
        <w:numPr>
          <w:ilvl w:val="0"/>
          <w:numId w:val="30"/>
        </w:numPr>
        <w:rPr>
          <w:sz w:val="22"/>
          <w:szCs w:val="22"/>
        </w:rPr>
      </w:pPr>
      <w:r w:rsidRPr="00720B94">
        <w:rPr>
          <w:b/>
          <w:bCs/>
          <w:sz w:val="22"/>
          <w:szCs w:val="22"/>
        </w:rPr>
        <w:t>Approve with contingency</w:t>
      </w:r>
      <w:r w:rsidR="007903CC" w:rsidRPr="00720B94">
        <w:rPr>
          <w:b/>
          <w:bCs/>
          <w:sz w:val="22"/>
          <w:szCs w:val="22"/>
        </w:rPr>
        <w:t>/</w:t>
      </w:r>
      <w:proofErr w:type="spellStart"/>
      <w:r w:rsidR="007903CC" w:rsidRPr="00720B94">
        <w:rPr>
          <w:b/>
          <w:bCs/>
          <w:sz w:val="22"/>
          <w:szCs w:val="22"/>
        </w:rPr>
        <w:t>ie</w:t>
      </w:r>
      <w:r w:rsidRPr="00720B94">
        <w:rPr>
          <w:b/>
          <w:bCs/>
          <w:sz w:val="22"/>
          <w:szCs w:val="22"/>
        </w:rPr>
        <w:t>s</w:t>
      </w:r>
      <w:proofErr w:type="spellEnd"/>
      <w:r w:rsidRPr="00720B94">
        <w:rPr>
          <w:sz w:val="22"/>
          <w:szCs w:val="22"/>
        </w:rPr>
        <w:t xml:space="preserve">. The </w:t>
      </w:r>
      <w:r w:rsidR="00FA526C" w:rsidRPr="00720B94">
        <w:rPr>
          <w:sz w:val="22"/>
          <w:szCs w:val="22"/>
        </w:rPr>
        <w:t>protocol is returned to the PI, who is</w:t>
      </w:r>
      <w:r w:rsidRPr="00720B94">
        <w:rPr>
          <w:sz w:val="22"/>
          <w:szCs w:val="22"/>
        </w:rPr>
        <w:t xml:space="preserve"> required to take additional steps before the protocol will be approved. The protocol must be revised to the satisfaction of the </w:t>
      </w:r>
      <w:r w:rsidR="00272C07" w:rsidRPr="00720B94">
        <w:rPr>
          <w:sz w:val="22"/>
          <w:szCs w:val="22"/>
        </w:rPr>
        <w:t xml:space="preserve">IBC </w:t>
      </w:r>
      <w:r w:rsidR="00447C80" w:rsidRPr="00720B94">
        <w:rPr>
          <w:sz w:val="22"/>
          <w:szCs w:val="22"/>
        </w:rPr>
        <w:t>Coordinator</w:t>
      </w:r>
      <w:r w:rsidRPr="00720B94">
        <w:rPr>
          <w:sz w:val="22"/>
          <w:szCs w:val="22"/>
        </w:rPr>
        <w:t>.</w:t>
      </w:r>
    </w:p>
    <w:p w14:paraId="5EC5CC67" w14:textId="2ECBA116" w:rsidR="00B03847" w:rsidRPr="00720B94" w:rsidRDefault="00B03847" w:rsidP="0092380E">
      <w:pPr>
        <w:pStyle w:val="ListParagraph"/>
        <w:numPr>
          <w:ilvl w:val="0"/>
          <w:numId w:val="30"/>
        </w:numPr>
        <w:rPr>
          <w:sz w:val="22"/>
          <w:szCs w:val="22"/>
        </w:rPr>
      </w:pPr>
      <w:r w:rsidRPr="00720B94">
        <w:rPr>
          <w:b/>
          <w:bCs/>
          <w:sz w:val="22"/>
          <w:szCs w:val="22"/>
        </w:rPr>
        <w:t>Approv</w:t>
      </w:r>
      <w:r w:rsidR="00200975" w:rsidRPr="00720B94">
        <w:rPr>
          <w:b/>
          <w:bCs/>
          <w:sz w:val="22"/>
          <w:szCs w:val="22"/>
        </w:rPr>
        <w:t>e</w:t>
      </w:r>
      <w:r w:rsidRPr="00720B94">
        <w:rPr>
          <w:b/>
          <w:bCs/>
          <w:sz w:val="22"/>
          <w:szCs w:val="22"/>
        </w:rPr>
        <w:t xml:space="preserve"> with contingenc</w:t>
      </w:r>
      <w:r w:rsidR="00200975" w:rsidRPr="00720B94">
        <w:rPr>
          <w:b/>
          <w:bCs/>
          <w:sz w:val="22"/>
          <w:szCs w:val="22"/>
        </w:rPr>
        <w:t>y/</w:t>
      </w:r>
      <w:proofErr w:type="spellStart"/>
      <w:r w:rsidRPr="00720B94">
        <w:rPr>
          <w:b/>
          <w:bCs/>
          <w:sz w:val="22"/>
          <w:szCs w:val="22"/>
        </w:rPr>
        <w:t>ies</w:t>
      </w:r>
      <w:proofErr w:type="spellEnd"/>
      <w:r w:rsidR="00200975" w:rsidRPr="00720B94">
        <w:rPr>
          <w:b/>
          <w:bCs/>
          <w:sz w:val="22"/>
          <w:szCs w:val="22"/>
        </w:rPr>
        <w:t xml:space="preserve"> </w:t>
      </w:r>
      <w:r w:rsidR="00200975" w:rsidRPr="00720B94">
        <w:rPr>
          <w:sz w:val="22"/>
          <w:szCs w:val="22"/>
        </w:rPr>
        <w:t xml:space="preserve">– </w:t>
      </w:r>
      <w:r w:rsidR="00200975" w:rsidRPr="00720B94">
        <w:rPr>
          <w:b/>
          <w:bCs/>
          <w:sz w:val="22"/>
          <w:szCs w:val="22"/>
        </w:rPr>
        <w:t xml:space="preserve">must go back to </w:t>
      </w:r>
      <w:r w:rsidR="00EC3093" w:rsidRPr="00720B94">
        <w:rPr>
          <w:b/>
          <w:bCs/>
          <w:sz w:val="22"/>
          <w:szCs w:val="22"/>
        </w:rPr>
        <w:t xml:space="preserve">designated </w:t>
      </w:r>
      <w:r w:rsidR="00200975" w:rsidRPr="00720B94">
        <w:rPr>
          <w:b/>
          <w:bCs/>
          <w:sz w:val="22"/>
          <w:szCs w:val="22"/>
        </w:rPr>
        <w:t>reviewer</w:t>
      </w:r>
      <w:r w:rsidR="00F9776C" w:rsidRPr="00720B94">
        <w:rPr>
          <w:b/>
          <w:bCs/>
          <w:sz w:val="22"/>
          <w:szCs w:val="22"/>
        </w:rPr>
        <w:t>(</w:t>
      </w:r>
      <w:r w:rsidR="00200975" w:rsidRPr="00720B94">
        <w:rPr>
          <w:b/>
          <w:bCs/>
          <w:sz w:val="22"/>
          <w:szCs w:val="22"/>
        </w:rPr>
        <w:t>s</w:t>
      </w:r>
      <w:r w:rsidR="00F9776C" w:rsidRPr="00720B94">
        <w:rPr>
          <w:b/>
          <w:bCs/>
          <w:sz w:val="22"/>
          <w:szCs w:val="22"/>
        </w:rPr>
        <w:t>)</w:t>
      </w:r>
      <w:r w:rsidR="00200975" w:rsidRPr="00720B94">
        <w:rPr>
          <w:sz w:val="22"/>
          <w:szCs w:val="22"/>
        </w:rPr>
        <w:t xml:space="preserve">. The </w:t>
      </w:r>
      <w:r w:rsidR="00F67FCD" w:rsidRPr="00720B94">
        <w:rPr>
          <w:sz w:val="22"/>
          <w:szCs w:val="22"/>
        </w:rPr>
        <w:t>protocol is returned to the PI, who</w:t>
      </w:r>
      <w:r w:rsidR="00200975" w:rsidRPr="00720B94">
        <w:rPr>
          <w:sz w:val="22"/>
          <w:szCs w:val="22"/>
        </w:rPr>
        <w:t xml:space="preserve"> is required to take additional steps before the protocol will be approved. The protocol must be revised to the satisfaction of the </w:t>
      </w:r>
      <w:r w:rsidR="00F9776C" w:rsidRPr="00720B94">
        <w:rPr>
          <w:sz w:val="22"/>
          <w:szCs w:val="22"/>
        </w:rPr>
        <w:t xml:space="preserve">designated </w:t>
      </w:r>
      <w:r w:rsidR="00200975" w:rsidRPr="00720B94">
        <w:rPr>
          <w:sz w:val="22"/>
          <w:szCs w:val="22"/>
        </w:rPr>
        <w:t>IBC reviewer</w:t>
      </w:r>
      <w:r w:rsidR="00F9776C" w:rsidRPr="00720B94">
        <w:rPr>
          <w:sz w:val="22"/>
          <w:szCs w:val="22"/>
        </w:rPr>
        <w:t>(</w:t>
      </w:r>
      <w:r w:rsidR="00200975" w:rsidRPr="00720B94">
        <w:rPr>
          <w:sz w:val="22"/>
          <w:szCs w:val="22"/>
        </w:rPr>
        <w:t>s</w:t>
      </w:r>
      <w:r w:rsidR="00F9776C" w:rsidRPr="00720B94">
        <w:rPr>
          <w:sz w:val="22"/>
          <w:szCs w:val="22"/>
        </w:rPr>
        <w:t>) with the expertise to evaluate if the revision requirements have been met</w:t>
      </w:r>
      <w:r w:rsidR="00200975" w:rsidRPr="00720B94">
        <w:rPr>
          <w:sz w:val="22"/>
          <w:szCs w:val="22"/>
        </w:rPr>
        <w:t>.</w:t>
      </w:r>
    </w:p>
    <w:p w14:paraId="77484857" w14:textId="45B1184B" w:rsidR="00293DD5" w:rsidRPr="00720B94" w:rsidRDefault="00293DD5" w:rsidP="0092380E">
      <w:pPr>
        <w:pStyle w:val="ListParagraph"/>
        <w:numPr>
          <w:ilvl w:val="0"/>
          <w:numId w:val="30"/>
        </w:numPr>
        <w:rPr>
          <w:sz w:val="22"/>
          <w:szCs w:val="22"/>
        </w:rPr>
      </w:pPr>
      <w:r w:rsidRPr="00720B94">
        <w:rPr>
          <w:b/>
          <w:bCs/>
          <w:sz w:val="22"/>
          <w:szCs w:val="22"/>
        </w:rPr>
        <w:t>Table</w:t>
      </w:r>
      <w:r w:rsidRPr="00720B94">
        <w:rPr>
          <w:sz w:val="22"/>
          <w:szCs w:val="22"/>
        </w:rPr>
        <w:t xml:space="preserve">. The protocol has significant deficiencies </w:t>
      </w:r>
      <w:r w:rsidR="002A7956" w:rsidRPr="00720B94">
        <w:rPr>
          <w:sz w:val="22"/>
          <w:szCs w:val="22"/>
        </w:rPr>
        <w:t>and/</w:t>
      </w:r>
      <w:r w:rsidR="00500C16" w:rsidRPr="00720B94">
        <w:rPr>
          <w:sz w:val="22"/>
          <w:szCs w:val="22"/>
        </w:rPr>
        <w:t xml:space="preserve">or insufficient information to conduct the risk assessment </w:t>
      </w:r>
      <w:r w:rsidRPr="00720B94">
        <w:rPr>
          <w:sz w:val="22"/>
          <w:szCs w:val="22"/>
        </w:rPr>
        <w:t xml:space="preserve">that must be addressed before the committee will reconsider it. </w:t>
      </w:r>
    </w:p>
    <w:p w14:paraId="5D4C1649" w14:textId="6BC81B68" w:rsidR="00293DD5" w:rsidRPr="00720B94" w:rsidRDefault="00293DD5" w:rsidP="0092380E">
      <w:pPr>
        <w:pStyle w:val="ListParagraph"/>
        <w:numPr>
          <w:ilvl w:val="0"/>
          <w:numId w:val="30"/>
        </w:numPr>
        <w:spacing w:after="160"/>
        <w:rPr>
          <w:sz w:val="22"/>
          <w:szCs w:val="22"/>
        </w:rPr>
      </w:pPr>
      <w:r w:rsidRPr="00720B94">
        <w:rPr>
          <w:b/>
          <w:bCs/>
          <w:sz w:val="22"/>
          <w:szCs w:val="22"/>
        </w:rPr>
        <w:t>Reject</w:t>
      </w:r>
      <w:r w:rsidRPr="00720B94">
        <w:rPr>
          <w:sz w:val="22"/>
          <w:szCs w:val="22"/>
        </w:rPr>
        <w:t xml:space="preserve">. This action is indicative of significant problems with the protocol. The IBC </w:t>
      </w:r>
      <w:r w:rsidR="002A2E5E" w:rsidRPr="00720B94">
        <w:rPr>
          <w:sz w:val="22"/>
          <w:szCs w:val="22"/>
        </w:rPr>
        <w:t xml:space="preserve">Coordinator </w:t>
      </w:r>
      <w:r w:rsidRPr="00720B94">
        <w:rPr>
          <w:sz w:val="22"/>
          <w:szCs w:val="22"/>
        </w:rPr>
        <w:t xml:space="preserve">and/or </w:t>
      </w:r>
      <w:r w:rsidR="00022582" w:rsidRPr="00720B94">
        <w:rPr>
          <w:sz w:val="22"/>
          <w:szCs w:val="22"/>
        </w:rPr>
        <w:t xml:space="preserve">designated </w:t>
      </w:r>
      <w:r w:rsidRPr="00720B94">
        <w:rPr>
          <w:sz w:val="22"/>
          <w:szCs w:val="22"/>
        </w:rPr>
        <w:t>reviewer</w:t>
      </w:r>
      <w:r w:rsidR="00022582" w:rsidRPr="00720B94">
        <w:rPr>
          <w:sz w:val="22"/>
          <w:szCs w:val="22"/>
        </w:rPr>
        <w:t>(</w:t>
      </w:r>
      <w:r w:rsidRPr="00720B94">
        <w:rPr>
          <w:sz w:val="22"/>
          <w:szCs w:val="22"/>
        </w:rPr>
        <w:t>s</w:t>
      </w:r>
      <w:r w:rsidR="00022582" w:rsidRPr="00720B94">
        <w:rPr>
          <w:sz w:val="22"/>
          <w:szCs w:val="22"/>
        </w:rPr>
        <w:t>) with expertise in the related areas</w:t>
      </w:r>
      <w:r w:rsidRPr="00720B94">
        <w:rPr>
          <w:sz w:val="22"/>
          <w:szCs w:val="22"/>
        </w:rPr>
        <w:t xml:space="preserve"> sends a memo to the investigator explaining the action taken by the IBC.</w:t>
      </w:r>
    </w:p>
    <w:p w14:paraId="2468BBE5" w14:textId="66A40E43" w:rsidR="007800F3" w:rsidRPr="00720B94" w:rsidRDefault="001D7C65" w:rsidP="00720B94">
      <w:r w:rsidRPr="00720B94">
        <w:t xml:space="preserve">Previously approved protocols will be submitted for complete review at least every three years. In addition, any changes to the experiment to which the NIH Guidelines apply </w:t>
      </w:r>
      <w:r w:rsidR="00DB0F07" w:rsidRPr="00720B94">
        <w:t>must</w:t>
      </w:r>
      <w:r w:rsidRPr="00720B94">
        <w:t xml:space="preserve"> be reviewed by the IBC. Finally, protocol changes that require significant changes in safety precautions (e.g., changes in PPE, administrative controls, engineering controls) </w:t>
      </w:r>
      <w:r w:rsidR="00DB0F07" w:rsidRPr="00720B94">
        <w:t>must</w:t>
      </w:r>
      <w:r w:rsidRPr="00720B94">
        <w:t xml:space="preserve"> be reviewed by the IBC.</w:t>
      </w:r>
    </w:p>
    <w:p w14:paraId="68624C13" w14:textId="6C2ED351" w:rsidR="007800F3" w:rsidRPr="00720B94" w:rsidRDefault="007E187E" w:rsidP="00720B94">
      <w:r w:rsidRPr="00720B94">
        <w:t>The IBC</w:t>
      </w:r>
      <w:r w:rsidR="001D7C65" w:rsidRPr="00720B94">
        <w:t xml:space="preserve"> has the discretion to withhold protocols from the agenda if the protocol is deemed not ready for review.</w:t>
      </w:r>
    </w:p>
    <w:p w14:paraId="7B19A142" w14:textId="63A20F1A" w:rsidR="00272C07" w:rsidRPr="00720B94" w:rsidRDefault="001D7C65" w:rsidP="00720B94">
      <w:r w:rsidRPr="00720B94">
        <w:t xml:space="preserve">The IBC may ask the PI or representative to attend the meeting </w:t>
      </w:r>
      <w:proofErr w:type="gramStart"/>
      <w:r w:rsidRPr="00720B94">
        <w:t>in order to</w:t>
      </w:r>
      <w:proofErr w:type="gramEnd"/>
      <w:r w:rsidRPr="00720B94">
        <w:t xml:space="preserve"> help clarify points and answer questions when their protocol is being reviewed. A PI or representative may attend any open</w:t>
      </w:r>
      <w:r w:rsidR="002D52B5" w:rsidRPr="00720B94">
        <w:t xml:space="preserve"> </w:t>
      </w:r>
      <w:r w:rsidRPr="00720B94">
        <w:t xml:space="preserve">session IBC meeting or when their protocol is being discussed during </w:t>
      </w:r>
      <w:r w:rsidR="002D52B5" w:rsidRPr="00720B94">
        <w:t xml:space="preserve">a </w:t>
      </w:r>
      <w:r w:rsidRPr="00720B94">
        <w:t>closed</w:t>
      </w:r>
      <w:r w:rsidR="002D52B5" w:rsidRPr="00720B94">
        <w:t xml:space="preserve"> </w:t>
      </w:r>
      <w:r w:rsidRPr="00720B94">
        <w:t>session IBC meeting.</w:t>
      </w:r>
    </w:p>
    <w:p w14:paraId="2598A295" w14:textId="221C36B1" w:rsidR="007631FE" w:rsidRPr="00720B94" w:rsidRDefault="007631FE" w:rsidP="00720B94">
      <w:r w:rsidRPr="00720B94">
        <w:lastRenderedPageBreak/>
        <w:t xml:space="preserve">The results of the IBC’s review of </w:t>
      </w:r>
      <w:r w:rsidR="00FC3282" w:rsidRPr="00720B94">
        <w:t xml:space="preserve">a </w:t>
      </w:r>
      <w:r w:rsidRPr="00720B94">
        <w:t>protocol will be communicated to the PI in writing</w:t>
      </w:r>
      <w:r w:rsidR="00FC3282" w:rsidRPr="00720B94">
        <w:t>, facilitated by ORSP.</w:t>
      </w:r>
      <w:r w:rsidR="00017DE5" w:rsidRPr="00720B94">
        <w:t xml:space="preserve"> In the event a protocol is approved with contingency/</w:t>
      </w:r>
      <w:proofErr w:type="spellStart"/>
      <w:r w:rsidR="00017DE5" w:rsidRPr="00720B94">
        <w:t>ies</w:t>
      </w:r>
      <w:proofErr w:type="spellEnd"/>
      <w:r w:rsidR="00017DE5" w:rsidRPr="00720B94">
        <w:t xml:space="preserve">, the notification will include </w:t>
      </w:r>
      <w:r w:rsidR="00CD48CA" w:rsidRPr="00720B94">
        <w:t>the additional steps t</w:t>
      </w:r>
      <w:r w:rsidR="00017DE5" w:rsidRPr="00720B94">
        <w:t>he investigator is required to take before the protocol will be approved.</w:t>
      </w:r>
    </w:p>
    <w:p w14:paraId="0A1AF82B" w14:textId="477C9657" w:rsidR="000935F5" w:rsidRPr="00720B94" w:rsidRDefault="000935F5" w:rsidP="00720B94">
      <w:pPr>
        <w:pStyle w:val="Heading3"/>
      </w:pPr>
      <w:bookmarkStart w:id="13" w:name="_Toc192509320"/>
      <w:r w:rsidRPr="00720B94">
        <w:t>IBC Protocol Appeals Process</w:t>
      </w:r>
      <w:bookmarkEnd w:id="13"/>
    </w:p>
    <w:p w14:paraId="007A8866" w14:textId="5E79727B" w:rsidR="000935F5" w:rsidRPr="00720B94" w:rsidRDefault="000935F5" w:rsidP="00720B94">
      <w:r w:rsidRPr="00720B94">
        <w:t xml:space="preserve">If a PI disagrees with the determination of their submitted protocol to the IBC, they may appeal the decision initially to grants@uwlax.edu. To appeal, the PI must address why they disagree with the IBC’s decision using support from the applicable NIH statues and guidelines. The IBC will reevaluate the submitted protocol. If the matter is not resolved through this initial re-review, it </w:t>
      </w:r>
      <w:r w:rsidR="00676679" w:rsidRPr="00720B94">
        <w:t>can</w:t>
      </w:r>
      <w:r w:rsidRPr="00720B94">
        <w:t xml:space="preserve"> </w:t>
      </w:r>
      <w:r w:rsidR="00676679" w:rsidRPr="00720B94">
        <w:t>be</w:t>
      </w:r>
      <w:r w:rsidRPr="00720B94">
        <w:t xml:space="preserve"> escalated to </w:t>
      </w:r>
      <w:r w:rsidR="00676679" w:rsidRPr="00720B94">
        <w:t xml:space="preserve">the Research Integrity Officer (RIO) for </w:t>
      </w:r>
      <w:r w:rsidRPr="00720B94">
        <w:t>an external IBC for review and consultation</w:t>
      </w:r>
      <w:r w:rsidR="00676679" w:rsidRPr="00720B94">
        <w:t xml:space="preserve"> at the PI’s request</w:t>
      </w:r>
      <w:r w:rsidRPr="00720B94">
        <w:t>.</w:t>
      </w:r>
      <w:r w:rsidR="00837D90" w:rsidRPr="00720B94">
        <w:t xml:space="preserve"> </w:t>
      </w:r>
      <w:r w:rsidR="00582AC1" w:rsidRPr="00720B94">
        <w:t>The PI is responsible for identifying funding to cover the review costs for an externally administered IBC (e.g., extramural funding, start-up costs).</w:t>
      </w:r>
    </w:p>
    <w:p w14:paraId="2F6ADA07" w14:textId="04E0A435" w:rsidR="008948CC" w:rsidRPr="00720B94" w:rsidRDefault="00A10CB7" w:rsidP="00720B94">
      <w:pPr>
        <w:pStyle w:val="Heading3"/>
      </w:pPr>
      <w:bookmarkStart w:id="14" w:name="_Toc192509321"/>
      <w:r w:rsidRPr="00720B94">
        <w:t>Activities</w:t>
      </w:r>
      <w:r w:rsidR="008948CC" w:rsidRPr="00720B94">
        <w:t xml:space="preserve"> Requiring </w:t>
      </w:r>
      <w:r w:rsidR="00780536" w:rsidRPr="00720B94">
        <w:t>Oversight</w:t>
      </w:r>
      <w:r w:rsidR="008948CC" w:rsidRPr="00720B94">
        <w:t xml:space="preserve"> by Multiple Compliance Committees</w:t>
      </w:r>
      <w:bookmarkEnd w:id="14"/>
    </w:p>
    <w:p w14:paraId="233A15BA" w14:textId="6A7086E5" w:rsidR="006F0B59" w:rsidRPr="00720B94" w:rsidRDefault="00DB7072" w:rsidP="00720B94">
      <w:pPr>
        <w:rPr>
          <w:b/>
          <w:bCs/>
        </w:rPr>
      </w:pPr>
      <w:r w:rsidRPr="00720B94">
        <w:rPr>
          <w:b/>
          <w:bCs/>
        </w:rPr>
        <w:t>Activities</w:t>
      </w:r>
      <w:r w:rsidR="000E5362" w:rsidRPr="00720B94">
        <w:rPr>
          <w:b/>
          <w:bCs/>
        </w:rPr>
        <w:t xml:space="preserve"> requiring </w:t>
      </w:r>
      <w:r w:rsidR="00770F88" w:rsidRPr="00720B94">
        <w:rPr>
          <w:b/>
          <w:bCs/>
        </w:rPr>
        <w:t xml:space="preserve">oversight </w:t>
      </w:r>
      <w:r w:rsidR="000E5362" w:rsidRPr="00720B94">
        <w:rPr>
          <w:b/>
          <w:bCs/>
        </w:rPr>
        <w:t>by IBC and Environmental Health &amp; Safety</w:t>
      </w:r>
      <w:r w:rsidR="000935F5" w:rsidRPr="00720B94">
        <w:rPr>
          <w:b/>
          <w:bCs/>
        </w:rPr>
        <w:t xml:space="preserve"> (EHS)</w:t>
      </w:r>
      <w:r w:rsidR="000E5362" w:rsidRPr="00720B94">
        <w:rPr>
          <w:b/>
          <w:bCs/>
        </w:rPr>
        <w:t xml:space="preserve">: </w:t>
      </w:r>
      <w:r w:rsidR="008948CC" w:rsidRPr="00720B94">
        <w:t xml:space="preserve">If human-derived materials are included in the protocol, </w:t>
      </w:r>
      <w:r w:rsidR="00770F88" w:rsidRPr="00720B94">
        <w:t>researchers must contact UWL</w:t>
      </w:r>
      <w:r w:rsidR="008948CC" w:rsidRPr="00720B94">
        <w:t xml:space="preserve"> Environmental Health &amp; Safety </w:t>
      </w:r>
      <w:r w:rsidR="00770F88" w:rsidRPr="00720B94">
        <w:t>to ensure</w:t>
      </w:r>
      <w:r w:rsidR="008948CC" w:rsidRPr="00720B94">
        <w:t xml:space="preserve"> compliance with OSHA </w:t>
      </w:r>
      <w:hyperlink r:id="rId35" w:history="1">
        <w:r w:rsidR="008948CC" w:rsidRPr="00717676">
          <w:rPr>
            <w:rStyle w:val="Hyperlink"/>
            <w:color w:val="007D89" w:themeColor="accent3" w:themeShade="BF"/>
          </w:rPr>
          <w:t>bloodborne pathogens standards</w:t>
        </w:r>
      </w:hyperlink>
      <w:r w:rsidR="00780536" w:rsidRPr="00720B94">
        <w:t xml:space="preserve"> (e.g., annual training, </w:t>
      </w:r>
      <w:r w:rsidR="006C731F" w:rsidRPr="00720B94">
        <w:t>exposure control</w:t>
      </w:r>
      <w:r w:rsidR="00780536" w:rsidRPr="00720B94">
        <w:t>/BBP</w:t>
      </w:r>
      <w:r w:rsidR="006C731F" w:rsidRPr="00720B94">
        <w:t xml:space="preserve"> plan).</w:t>
      </w:r>
    </w:p>
    <w:p w14:paraId="72A598E4" w14:textId="6F5FB643" w:rsidR="002872E5" w:rsidRPr="00720B94" w:rsidRDefault="00DB7072" w:rsidP="00720B94">
      <w:r w:rsidRPr="00720B94">
        <w:rPr>
          <w:b/>
          <w:bCs/>
        </w:rPr>
        <w:t>Activities</w:t>
      </w:r>
      <w:r w:rsidR="000E5362" w:rsidRPr="00720B94">
        <w:rPr>
          <w:b/>
          <w:bCs/>
        </w:rPr>
        <w:t xml:space="preserve"> requiring review by IBC and IACUC: </w:t>
      </w:r>
      <w:r w:rsidRPr="00720B94">
        <w:t>Activities</w:t>
      </w:r>
      <w:r w:rsidR="00B05054" w:rsidRPr="00720B94">
        <w:t xml:space="preserve"> involving vertebrate animals that have been administered </w:t>
      </w:r>
      <w:r w:rsidR="00882464" w:rsidRPr="00720B94">
        <w:t>recombinant or synthetic nucleic acids, administered cells or microbes that have been recombinantly modified, administered pathogens or biological toxins, or genetically modified using recombinant techniques must be reviewed by IBC and IACUC</w:t>
      </w:r>
      <w:r w:rsidR="00A97A75" w:rsidRPr="00720B94">
        <w:t>.</w:t>
      </w:r>
      <w:r w:rsidR="00951BB5" w:rsidRPr="00720B94">
        <w:t xml:space="preserve"> IBC protocol approval is required before an IACUC protocol can be approved.</w:t>
      </w:r>
    </w:p>
    <w:p w14:paraId="62BCEE8E" w14:textId="2644C795" w:rsidR="00BD42A1" w:rsidRPr="00720B94" w:rsidRDefault="00DB7072" w:rsidP="00720B94">
      <w:r w:rsidRPr="00720B94">
        <w:rPr>
          <w:b/>
          <w:bCs/>
        </w:rPr>
        <w:t>Activities</w:t>
      </w:r>
      <w:r w:rsidR="00A97A75" w:rsidRPr="00720B94">
        <w:rPr>
          <w:b/>
          <w:bCs/>
        </w:rPr>
        <w:t xml:space="preserve"> requiring review by IBC and IRB:</w:t>
      </w:r>
      <w:r w:rsidR="00A97A75" w:rsidRPr="00720B94">
        <w:t xml:space="preserve"> </w:t>
      </w:r>
      <w:r w:rsidRPr="00720B94">
        <w:t>Activities</w:t>
      </w:r>
      <w:r w:rsidR="00BD42A1" w:rsidRPr="00720B94">
        <w:t xml:space="preserve"> involving the deliberate transfer of recombinant or synthetic nucleic acids, recombinant microbes or cells into human research participants (human gene transfer studies) must be reviewed by IBC and IRB.</w:t>
      </w:r>
      <w:r w:rsidR="00951BB5" w:rsidRPr="00720B94">
        <w:t xml:space="preserve"> IBC protocol approval is required before an IRB protocol can be approved.</w:t>
      </w:r>
    </w:p>
    <w:p w14:paraId="5CC5B494" w14:textId="3B3EC620" w:rsidR="00E86A86" w:rsidRPr="00720B94" w:rsidRDefault="00E86A86" w:rsidP="00720B94">
      <w:pPr>
        <w:pStyle w:val="Heading2"/>
      </w:pPr>
      <w:bookmarkStart w:id="15" w:name="_Toc192509322"/>
      <w:r w:rsidRPr="00720B94">
        <w:t>Open Meetings Law</w:t>
      </w:r>
      <w:bookmarkEnd w:id="15"/>
    </w:p>
    <w:p w14:paraId="38D45831" w14:textId="3BD5EF69" w:rsidR="00E86A86" w:rsidRPr="00720B94" w:rsidRDefault="00E86A86" w:rsidP="00720B94">
      <w:r w:rsidRPr="00720B94">
        <w:t xml:space="preserve">The committee is subject to Wisconsin Open Meetings Law. Actions may be taken only at meetings that are announced and open to the public. A notice of the meeting is </w:t>
      </w:r>
      <w:r w:rsidR="00052472" w:rsidRPr="00720B94">
        <w:t>publicly posted. Specific statutory exceptions from the requirement to meet in open session allow the conduct of certain business in closed session.</w:t>
      </w:r>
    </w:p>
    <w:p w14:paraId="2267BA26" w14:textId="52C361D0" w:rsidR="00B3485A" w:rsidRPr="00720B94" w:rsidRDefault="00B3485A" w:rsidP="00720B94">
      <w:pPr>
        <w:pStyle w:val="Heading2"/>
      </w:pPr>
      <w:bookmarkStart w:id="16" w:name="_Toc192509323"/>
      <w:r w:rsidRPr="00720B94">
        <w:t>Closed Session</w:t>
      </w:r>
      <w:r w:rsidR="00BF6B82" w:rsidRPr="00720B94">
        <w:t xml:space="preserve"> &amp; Confidentiality</w:t>
      </w:r>
      <w:bookmarkEnd w:id="16"/>
    </w:p>
    <w:p w14:paraId="54E8FCEB" w14:textId="4BDFBCF6" w:rsidR="00B3485A" w:rsidRPr="00720B94" w:rsidRDefault="00B3485A" w:rsidP="00720B94">
      <w:r w:rsidRPr="00720B94">
        <w:t>Protocols may contain information that must be protected due to confidentiality agreements and/or impact of disclosure on competitive positioning or the ability to obtain a patent and/or to ensure the safety and security of research facilities, such as in the case of work involving Select Agents and Toxins or research subject to Dual Use Research of Concern (DURC). Such protocols will be discussed in closed session.</w:t>
      </w:r>
    </w:p>
    <w:p w14:paraId="08092E44" w14:textId="3B52421E" w:rsidR="003275DF" w:rsidRPr="00720B94" w:rsidRDefault="003275DF" w:rsidP="00720B94">
      <w:r w:rsidRPr="00720B94">
        <w:t>Every protocol is assumed to contain confidential information</w:t>
      </w:r>
      <w:r w:rsidR="00BC2CD2" w:rsidRPr="00720B94">
        <w:t>,</w:t>
      </w:r>
      <w:r w:rsidRPr="00720B94">
        <w:t xml:space="preserve"> and release of copies to an individual outside of the committee may be done only with the permission of the PI. If an external person or entity requests a copy of the protocol, </w:t>
      </w:r>
      <w:r w:rsidR="00BF6B82" w:rsidRPr="00720B94">
        <w:t xml:space="preserve">UWL’s </w:t>
      </w:r>
      <w:r w:rsidRPr="00720B94">
        <w:t xml:space="preserve">records custodian should be contacted so that the request can be handled pursuant to the </w:t>
      </w:r>
      <w:r w:rsidR="00BF6B82" w:rsidRPr="00720B94">
        <w:t>u</w:t>
      </w:r>
      <w:r w:rsidRPr="00720B94">
        <w:t>niversity’s standard processes. Copies of protocols may not be retained by committee members and consultants and must be destroyed (e.g., shredded) prior to disposal.</w:t>
      </w:r>
    </w:p>
    <w:p w14:paraId="6E1C3EA9" w14:textId="39D73F38" w:rsidR="00440332" w:rsidRPr="00720B94" w:rsidRDefault="00440332" w:rsidP="00720B94">
      <w:pPr>
        <w:pStyle w:val="Heading2"/>
      </w:pPr>
      <w:bookmarkStart w:id="17" w:name="_Toc192509324"/>
      <w:r w:rsidRPr="00720B94">
        <w:lastRenderedPageBreak/>
        <w:t xml:space="preserve">Reporting </w:t>
      </w:r>
      <w:r w:rsidR="00215449" w:rsidRPr="00720B94">
        <w:t>of Incidents, Violations, Accidents &amp; Illnesses</w:t>
      </w:r>
      <w:bookmarkEnd w:id="17"/>
    </w:p>
    <w:p w14:paraId="7FC4D14E" w14:textId="438BA594" w:rsidR="00215449" w:rsidRPr="00720B94" w:rsidRDefault="00215449" w:rsidP="00720B94">
      <w:pPr>
        <w:rPr>
          <w:rFonts w:cs="Arial"/>
          <w:color w:val="000000"/>
          <w:shd w:val="clear" w:color="auto" w:fill="FFFFFF"/>
        </w:rPr>
      </w:pPr>
      <w:r w:rsidRPr="00720B94">
        <w:t xml:space="preserve">In accordance with the NIH Guidelines, significant </w:t>
      </w:r>
      <w:r w:rsidR="00F74CD4" w:rsidRPr="00720B94">
        <w:t xml:space="preserve">problems with or violations of the NIH Guidelines and any </w:t>
      </w:r>
      <w:r w:rsidR="00784D8A" w:rsidRPr="00720B94">
        <w:t xml:space="preserve">significant research-related </w:t>
      </w:r>
      <w:r w:rsidRPr="00720B94">
        <w:t xml:space="preserve">accidents </w:t>
      </w:r>
      <w:r w:rsidR="00784D8A" w:rsidRPr="00720B94">
        <w:t>or</w:t>
      </w:r>
      <w:r w:rsidRPr="00720B94">
        <w:t xml:space="preserve"> illnesses will be reported to </w:t>
      </w:r>
      <w:r w:rsidR="001421AB" w:rsidRPr="00720B94">
        <w:t xml:space="preserve">the </w:t>
      </w:r>
      <w:r w:rsidRPr="00720B94">
        <w:t xml:space="preserve">NIH </w:t>
      </w:r>
      <w:r w:rsidR="008C5811" w:rsidRPr="00720B94">
        <w:t>Office of Science Policy (</w:t>
      </w:r>
      <w:r w:rsidRPr="00720B94">
        <w:t>OSP</w:t>
      </w:r>
      <w:r w:rsidR="008C5811" w:rsidRPr="00720B94">
        <w:t>)</w:t>
      </w:r>
      <w:r w:rsidRPr="00720B94">
        <w:t xml:space="preserve"> within thirty days or immediately depending on the nature of the incident. </w:t>
      </w:r>
      <w:r w:rsidR="0077232E" w:rsidRPr="00720B94">
        <w:t xml:space="preserve">PIs are responsible for reporting </w:t>
      </w:r>
      <w:r w:rsidR="00F94686" w:rsidRPr="00720B94">
        <w:t xml:space="preserve">incidents </w:t>
      </w:r>
      <w:r w:rsidR="008C5811" w:rsidRPr="00720B94">
        <w:t>within 24 hours</w:t>
      </w:r>
      <w:r w:rsidR="00F94686" w:rsidRPr="00720B94">
        <w:t xml:space="preserve"> </w:t>
      </w:r>
      <w:r w:rsidR="00CD7D31" w:rsidRPr="00720B94">
        <w:t>by submitting a</w:t>
      </w:r>
      <w:r w:rsidR="007542CF" w:rsidRPr="00720B94">
        <w:t xml:space="preserve">n </w:t>
      </w:r>
      <w:hyperlink r:id="rId36" w:history="1">
        <w:r w:rsidR="007542CF" w:rsidRPr="00717676">
          <w:rPr>
            <w:rStyle w:val="Hyperlink"/>
            <w:color w:val="007D89" w:themeColor="accent3" w:themeShade="BF"/>
          </w:rPr>
          <w:t>IBC Incident Report Form</w:t>
        </w:r>
      </w:hyperlink>
      <w:r w:rsidR="007542CF" w:rsidRPr="00720B94">
        <w:t xml:space="preserve"> to </w:t>
      </w:r>
      <w:hyperlink r:id="rId37" w:history="1">
        <w:r w:rsidR="007542CF" w:rsidRPr="00717676">
          <w:rPr>
            <w:rStyle w:val="Hyperlink"/>
            <w:color w:val="007D89" w:themeColor="accent3" w:themeShade="BF"/>
          </w:rPr>
          <w:t>grants@uwlax.edu</w:t>
        </w:r>
      </w:hyperlink>
      <w:r w:rsidR="00F94686" w:rsidRPr="00720B94">
        <w:t xml:space="preserve">. </w:t>
      </w:r>
      <w:r w:rsidR="00FB7459" w:rsidRPr="00720B94">
        <w:t xml:space="preserve">Reports will be submitted </w:t>
      </w:r>
      <w:r w:rsidR="00F94686" w:rsidRPr="00720B94">
        <w:t xml:space="preserve">to the NIH OSP </w:t>
      </w:r>
      <w:r w:rsidR="00FB7459" w:rsidRPr="00720B94">
        <w:t xml:space="preserve">by the Associate Vice Chancellor for Academic Affairs/Research Integrity Officer (RIO). Additional information about incident reporting requirements can be found in the </w:t>
      </w:r>
      <w:hyperlink r:id="rId38" w:history="1">
        <w:r w:rsidR="00FB7459" w:rsidRPr="00717676">
          <w:rPr>
            <w:rStyle w:val="Hyperlink"/>
            <w:color w:val="007D89" w:themeColor="accent3" w:themeShade="BF"/>
          </w:rPr>
          <w:t xml:space="preserve">NIH incident </w:t>
        </w:r>
        <w:r w:rsidR="00FB7459" w:rsidRPr="00717676">
          <w:rPr>
            <w:rStyle w:val="Hyperlink"/>
            <w:rFonts w:cs="Arial"/>
            <w:color w:val="007D89" w:themeColor="accent3" w:themeShade="BF"/>
          </w:rPr>
          <w:t>reporting FAQs</w:t>
        </w:r>
      </w:hyperlink>
      <w:r w:rsidR="00FB7459" w:rsidRPr="00720B94">
        <w:rPr>
          <w:rFonts w:cs="Arial"/>
          <w:color w:val="000000"/>
          <w:shd w:val="clear" w:color="auto" w:fill="FFFFFF"/>
        </w:rPr>
        <w:t xml:space="preserve">. </w:t>
      </w:r>
    </w:p>
    <w:p w14:paraId="175FDF2B" w14:textId="2CB34FAA" w:rsidR="00171A98" w:rsidRPr="00720B94" w:rsidRDefault="00171A98" w:rsidP="00720B94">
      <w:pPr>
        <w:spacing w:after="0"/>
        <w:rPr>
          <w:rFonts w:cs="Arial"/>
        </w:rPr>
      </w:pPr>
      <w:r w:rsidRPr="00720B94">
        <w:rPr>
          <w:rFonts w:cs="Arial"/>
        </w:rPr>
        <w:t xml:space="preserve">The following </w:t>
      </w:r>
      <w:r w:rsidR="0027499A" w:rsidRPr="00720B94">
        <w:rPr>
          <w:rFonts w:cs="Arial"/>
        </w:rPr>
        <w:t xml:space="preserve">types of </w:t>
      </w:r>
      <w:r w:rsidRPr="00720B94">
        <w:rPr>
          <w:rFonts w:cs="Arial"/>
        </w:rPr>
        <w:t xml:space="preserve">incidents </w:t>
      </w:r>
      <w:r w:rsidR="0027499A" w:rsidRPr="00720B94">
        <w:rPr>
          <w:rFonts w:cs="Arial"/>
        </w:rPr>
        <w:t>must</w:t>
      </w:r>
      <w:r w:rsidRPr="00720B94">
        <w:rPr>
          <w:rFonts w:cs="Arial"/>
        </w:rPr>
        <w:t xml:space="preserve"> be reported to OSP immediately: </w:t>
      </w:r>
    </w:p>
    <w:p w14:paraId="5401446B" w14:textId="77777777" w:rsidR="00171A98" w:rsidRPr="00720B94" w:rsidRDefault="00171A98" w:rsidP="0092380E">
      <w:pPr>
        <w:pStyle w:val="ListParagraph"/>
        <w:numPr>
          <w:ilvl w:val="0"/>
          <w:numId w:val="40"/>
        </w:numPr>
        <w:spacing w:line="259" w:lineRule="auto"/>
        <w:rPr>
          <w:rFonts w:cs="Arial"/>
          <w:sz w:val="22"/>
          <w:szCs w:val="22"/>
        </w:rPr>
      </w:pPr>
      <w:r w:rsidRPr="00720B94">
        <w:rPr>
          <w:rFonts w:cs="Arial"/>
          <w:sz w:val="22"/>
          <w:szCs w:val="22"/>
        </w:rPr>
        <w:t xml:space="preserve">Any spills or accidents in BSL-2 laboratories resulting in an overt exposure </w:t>
      </w:r>
      <w:r w:rsidRPr="00720B94">
        <w:rPr>
          <w:rFonts w:cs="Arial"/>
          <w:i/>
          <w:iCs/>
          <w:sz w:val="22"/>
          <w:szCs w:val="22"/>
        </w:rPr>
        <w:t>or</w:t>
      </w:r>
    </w:p>
    <w:p w14:paraId="4FAAA7DE" w14:textId="77777777" w:rsidR="00171A98" w:rsidRPr="00720B94" w:rsidRDefault="00171A98" w:rsidP="0092380E">
      <w:pPr>
        <w:pStyle w:val="ListParagraph"/>
        <w:numPr>
          <w:ilvl w:val="0"/>
          <w:numId w:val="40"/>
        </w:numPr>
        <w:spacing w:after="160" w:line="259" w:lineRule="auto"/>
        <w:rPr>
          <w:rFonts w:cs="Arial"/>
          <w:sz w:val="22"/>
          <w:szCs w:val="22"/>
        </w:rPr>
      </w:pPr>
      <w:r w:rsidRPr="00720B94">
        <w:rPr>
          <w:rFonts w:cs="Arial"/>
          <w:sz w:val="22"/>
          <w:szCs w:val="22"/>
        </w:rPr>
        <w:t>Spills or accidents occurring in high containment (BSL-3 or BSL-4) laboratories resulting in overt or potential exposure</w:t>
      </w:r>
    </w:p>
    <w:p w14:paraId="78CFF8BB" w14:textId="64ACD582" w:rsidR="00171A98" w:rsidRPr="00720B94" w:rsidRDefault="00171A98" w:rsidP="00720B94">
      <w:pPr>
        <w:rPr>
          <w:rFonts w:cs="Arial"/>
        </w:rPr>
      </w:pPr>
      <w:r w:rsidRPr="00720B94">
        <w:rPr>
          <w:rFonts w:cs="Arial"/>
        </w:rPr>
        <w:t xml:space="preserve">Any spill or accident involving recombinant DNA </w:t>
      </w:r>
      <w:r w:rsidR="00A875FA" w:rsidRPr="00720B94">
        <w:rPr>
          <w:rFonts w:cs="Arial"/>
        </w:rPr>
        <w:t>or synthetic nucleic acid mo</w:t>
      </w:r>
      <w:r w:rsidR="00A276F7" w:rsidRPr="00720B94">
        <w:rPr>
          <w:rFonts w:cs="Arial"/>
        </w:rPr>
        <w:t>lecule</w:t>
      </w:r>
      <w:r w:rsidR="00382CA0" w:rsidRPr="00720B94">
        <w:rPr>
          <w:rFonts w:cs="Arial"/>
        </w:rPr>
        <w:t>s</w:t>
      </w:r>
      <w:r w:rsidR="00A276F7" w:rsidRPr="00720B94">
        <w:rPr>
          <w:rFonts w:cs="Arial"/>
        </w:rPr>
        <w:t xml:space="preserve"> </w:t>
      </w:r>
      <w:r w:rsidRPr="00720B94">
        <w:rPr>
          <w:rFonts w:cs="Arial"/>
        </w:rPr>
        <w:t>research of the nature described above or that otherwise leads to personal injury or illness or to a breach of containment must be reported to OSP. These kinds of events might include skin punctures with needles containing recombinant DNA</w:t>
      </w:r>
      <w:r w:rsidR="00382CA0" w:rsidRPr="00720B94">
        <w:rPr>
          <w:rFonts w:cs="Arial"/>
        </w:rPr>
        <w:t xml:space="preserve"> or synthetic nucleic acid molecules</w:t>
      </w:r>
      <w:r w:rsidRPr="00720B94">
        <w:rPr>
          <w:rFonts w:cs="Arial"/>
        </w:rPr>
        <w:t>, the escape or improper disposition of a transgenic animal, or spills of high-risk recombinant materials occurring outside of a biosafety cabinet. Failure to adhere to the containment and biosafety practices articulated in the NIH Guidelines must also be reported to OSP.</w:t>
      </w:r>
    </w:p>
    <w:p w14:paraId="2ED3EEDF" w14:textId="22450E5D" w:rsidR="00171A98" w:rsidRPr="00720B94" w:rsidRDefault="00171A98" w:rsidP="00720B94">
      <w:pPr>
        <w:rPr>
          <w:rFonts w:cs="Arial"/>
        </w:rPr>
      </w:pPr>
      <w:r w:rsidRPr="00720B94">
        <w:rPr>
          <w:rFonts w:cs="Arial"/>
        </w:rPr>
        <w:t>Minor spills of low-risk agents not involving a breach of containment that were properly cleaned and decontaminated generally do not need to be reported. OSP should be consulted if the IBC is uncertain whether the nature or severity of the incident warrants reporting; OSP can assist in making this determination.</w:t>
      </w:r>
    </w:p>
    <w:p w14:paraId="49DAC3C0" w14:textId="4501B8D3" w:rsidR="009019B7" w:rsidRPr="00720B94" w:rsidRDefault="009019B7" w:rsidP="00720B94">
      <w:pPr>
        <w:pStyle w:val="Heading2"/>
      </w:pPr>
      <w:bookmarkStart w:id="18" w:name="_Toc192509325"/>
      <w:r w:rsidRPr="00720B94">
        <w:t>Meeting Schedule</w:t>
      </w:r>
      <w:bookmarkEnd w:id="18"/>
    </w:p>
    <w:p w14:paraId="761F10C8" w14:textId="6C7EC967" w:rsidR="009019B7" w:rsidRPr="00720B94" w:rsidRDefault="00856D16" w:rsidP="00720B94">
      <w:r w:rsidRPr="00720B94">
        <w:t>IBC m</w:t>
      </w:r>
      <w:r w:rsidR="009019B7" w:rsidRPr="00720B94">
        <w:t xml:space="preserve">eetings </w:t>
      </w:r>
      <w:r w:rsidRPr="00720B94">
        <w:t xml:space="preserve">are posted publicly on the university website in accordance with Wisconsin Open Meetings Law. </w:t>
      </w:r>
      <w:r w:rsidR="009019B7" w:rsidRPr="00720B94">
        <w:t xml:space="preserve">Unless otherwise noted, IBC meetings usually are held on campus and typically last </w:t>
      </w:r>
      <w:r w:rsidR="001A17CD" w:rsidRPr="00720B94">
        <w:t>one</w:t>
      </w:r>
      <w:r w:rsidR="009019B7" w:rsidRPr="00720B94">
        <w:t xml:space="preserve"> </w:t>
      </w:r>
      <w:r w:rsidR="00C4709C" w:rsidRPr="00720B94">
        <w:t>hour</w:t>
      </w:r>
      <w:r w:rsidR="009019B7" w:rsidRPr="00720B94">
        <w:t>. Meetings may be cancelled if it is unlikely that a quorum will be present or if there is not enough business to be conducted. Committee members will be notified when this is the case.</w:t>
      </w:r>
    </w:p>
    <w:p w14:paraId="3D7EFBB5" w14:textId="6379C9D9" w:rsidR="00997375" w:rsidRPr="00720B94" w:rsidRDefault="00997375" w:rsidP="00720B94">
      <w:pPr>
        <w:pStyle w:val="Heading2"/>
      </w:pPr>
      <w:bookmarkStart w:id="19" w:name="_Toc192509326"/>
      <w:r w:rsidRPr="00720B94">
        <w:t>Noncompliance</w:t>
      </w:r>
      <w:r w:rsidR="007D434D" w:rsidRPr="00720B94">
        <w:t xml:space="preserve"> Policy</w:t>
      </w:r>
      <w:bookmarkEnd w:id="19"/>
    </w:p>
    <w:p w14:paraId="524175A7" w14:textId="34A93858" w:rsidR="007D434D" w:rsidRPr="00720B94" w:rsidRDefault="000924E8" w:rsidP="00720B94">
      <w:r w:rsidRPr="00720B94">
        <w:rPr>
          <w:rFonts w:cs="Arial"/>
        </w:rPr>
        <w:t xml:space="preserve">UWL defines noncompliance as any failure to follow (1) federal regulations, state laws, or institutional policies relevant to biosafety, or (2) the requirements and determinations of the reviewing IBC. Relevant regulations and policies include, but are not limited to, the </w:t>
      </w:r>
      <w:hyperlink r:id="rId39" w:history="1">
        <w:r w:rsidRPr="00717676">
          <w:rPr>
            <w:rStyle w:val="Hyperlink"/>
            <w:rFonts w:cs="Arial"/>
            <w:color w:val="007D89" w:themeColor="accent3" w:themeShade="BF"/>
          </w:rPr>
          <w:t>NIH Guidelines for Research Involving Recombinant or Synthetic Nucleic Acid Molecules</w:t>
        </w:r>
      </w:hyperlink>
      <w:r w:rsidRPr="00720B94">
        <w:rPr>
          <w:rFonts w:cs="Arial"/>
        </w:rPr>
        <w:t xml:space="preserve">, </w:t>
      </w:r>
      <w:hyperlink r:id="rId40" w:history="1">
        <w:r w:rsidRPr="00717676">
          <w:rPr>
            <w:rStyle w:val="Hyperlink"/>
            <w:rFonts w:cs="Arial"/>
            <w:color w:val="007D89" w:themeColor="accent3" w:themeShade="BF"/>
          </w:rPr>
          <w:t>CDC Biosafety in Microbiological and Biomedical Laboratories (BMBL)</w:t>
        </w:r>
      </w:hyperlink>
      <w:r w:rsidRPr="00720B94">
        <w:rPr>
          <w:rFonts w:cs="Arial"/>
        </w:rPr>
        <w:t xml:space="preserve">, UWL Biosafety Manual, and UWL </w:t>
      </w:r>
      <w:hyperlink r:id="rId41" w:history="1">
        <w:r w:rsidRPr="00717676">
          <w:rPr>
            <w:rStyle w:val="Hyperlink"/>
            <w:rFonts w:cs="Arial"/>
            <w:color w:val="007D89" w:themeColor="accent3" w:themeShade="BF"/>
          </w:rPr>
          <w:t>Environmental Health &amp; Safety</w:t>
        </w:r>
      </w:hyperlink>
      <w:r w:rsidRPr="00720B94">
        <w:rPr>
          <w:rFonts w:cs="Arial"/>
        </w:rPr>
        <w:t xml:space="preserve"> policies. </w:t>
      </w:r>
      <w:r w:rsidR="007D434D" w:rsidRPr="00720B94">
        <w:t xml:space="preserve">Failure to follow any portion of UWL’s IBC policy may result in an investigation, report, and/or finding of noncompliance. Findings of noncompliance will result in corrective actions. See UWL’s </w:t>
      </w:r>
      <w:hyperlink r:id="rId42" w:history="1">
        <w:r w:rsidR="00042D93" w:rsidRPr="00717676">
          <w:rPr>
            <w:rStyle w:val="Hyperlink"/>
            <w:color w:val="007D89" w:themeColor="accent3" w:themeShade="BF"/>
          </w:rPr>
          <w:t>IBC</w:t>
        </w:r>
        <w:r w:rsidR="007D434D" w:rsidRPr="00717676">
          <w:rPr>
            <w:rStyle w:val="Hyperlink"/>
            <w:color w:val="007D89" w:themeColor="accent3" w:themeShade="BF"/>
          </w:rPr>
          <w:t xml:space="preserve"> Noncompliance Policy</w:t>
        </w:r>
      </w:hyperlink>
      <w:r w:rsidR="007D434D" w:rsidRPr="00720B94">
        <w:t xml:space="preserve"> for additional information. Individuals concerned that they or another UWL researcher may be out of compliance must contact </w:t>
      </w:r>
      <w:r w:rsidR="00AB7A1F" w:rsidRPr="00720B94">
        <w:t xml:space="preserve">the </w:t>
      </w:r>
      <w:r w:rsidR="00042D93" w:rsidRPr="00720B94">
        <w:t>IBC</w:t>
      </w:r>
      <w:r w:rsidR="00AB7A1F" w:rsidRPr="00720B94">
        <w:t xml:space="preserve">, ORSP, </w:t>
      </w:r>
      <w:r w:rsidR="00F53132" w:rsidRPr="00720B94">
        <w:t xml:space="preserve">or Research Integrity Officer (RIO) </w:t>
      </w:r>
      <w:r w:rsidR="007D434D" w:rsidRPr="00720B94">
        <w:t>immediately.</w:t>
      </w:r>
      <w:r w:rsidR="008907C1" w:rsidRPr="00720B94">
        <w:t xml:space="preserve"> Noncompliance concerns can be submitted via an </w:t>
      </w:r>
      <w:hyperlink r:id="rId43" w:history="1">
        <w:r w:rsidR="008907C1" w:rsidRPr="00717676">
          <w:rPr>
            <w:rStyle w:val="Hyperlink"/>
            <w:color w:val="007D89" w:themeColor="accent3" w:themeShade="BF"/>
          </w:rPr>
          <w:t>anonymous Qualtrics survey</w:t>
        </w:r>
      </w:hyperlink>
      <w:r w:rsidR="008907C1" w:rsidRPr="00720B94">
        <w:t xml:space="preserve"> posted on the IBC website, or individuals can </w:t>
      </w:r>
      <w:r w:rsidR="007D613D" w:rsidRPr="00720B94">
        <w:t xml:space="preserve">reach out directly to ORSP, </w:t>
      </w:r>
      <w:r w:rsidR="00F2677B" w:rsidRPr="00720B94">
        <w:t xml:space="preserve">the IACUC &amp; IBC Coordinator, IBC Chair, or </w:t>
      </w:r>
      <w:r w:rsidR="004170E8" w:rsidRPr="00720B94">
        <w:t>RIO</w:t>
      </w:r>
      <w:r w:rsidR="008907C1" w:rsidRPr="00720B94">
        <w:t>.</w:t>
      </w:r>
    </w:p>
    <w:p w14:paraId="5E814058" w14:textId="203ECEFA" w:rsidR="001C4E33" w:rsidRPr="00720B94" w:rsidRDefault="001C4E33" w:rsidP="00720B94">
      <w:pPr>
        <w:pStyle w:val="Heading1"/>
      </w:pPr>
      <w:bookmarkStart w:id="20" w:name="_Toc192509327"/>
      <w:r w:rsidRPr="00720B94">
        <w:lastRenderedPageBreak/>
        <w:t>P</w:t>
      </w:r>
      <w:r w:rsidR="00437396" w:rsidRPr="00720B94">
        <w:t xml:space="preserve">rincipal </w:t>
      </w:r>
      <w:r w:rsidRPr="00720B94">
        <w:t>I</w:t>
      </w:r>
      <w:r w:rsidR="00437396" w:rsidRPr="00720B94">
        <w:t>nvestigator (PI)</w:t>
      </w:r>
      <w:r w:rsidRPr="00720B94">
        <w:t xml:space="preserve"> Responsibilities</w:t>
      </w:r>
      <w:bookmarkEnd w:id="20"/>
    </w:p>
    <w:p w14:paraId="24970A7D" w14:textId="2A8C891D" w:rsidR="00E14019" w:rsidRPr="00720B94" w:rsidRDefault="00E14019" w:rsidP="00720B94">
      <w:r w:rsidRPr="00720B94">
        <w:t xml:space="preserve">For the purposes of </w:t>
      </w:r>
      <w:r w:rsidR="00321E72" w:rsidRPr="00720B94">
        <w:t>activities</w:t>
      </w:r>
      <w:r w:rsidR="005C6724" w:rsidRPr="00720B94">
        <w:t xml:space="preserve"> </w:t>
      </w:r>
      <w:r w:rsidR="00F17CE9" w:rsidRPr="00720B94">
        <w:t xml:space="preserve">requiring IBC review and approval, only a </w:t>
      </w:r>
      <w:r w:rsidR="006438AB" w:rsidRPr="00720B94">
        <w:t xml:space="preserve">UWL faculty or staff member </w:t>
      </w:r>
      <w:r w:rsidR="009D2D3F" w:rsidRPr="00720B94">
        <w:t xml:space="preserve">with a continuing appointment </w:t>
      </w:r>
      <w:r w:rsidR="006438AB" w:rsidRPr="00720B94">
        <w:t xml:space="preserve">may be listed as the principal investigator (PI) </w:t>
      </w:r>
      <w:r w:rsidR="00603B76" w:rsidRPr="00720B94">
        <w:t>on a</w:t>
      </w:r>
      <w:r w:rsidR="006438AB" w:rsidRPr="00720B94">
        <w:t xml:space="preserve"> Bio</w:t>
      </w:r>
      <w:r w:rsidR="00603B76" w:rsidRPr="00720B94">
        <w:t>safety Protocol. Students are not eligible to be listed as PIs on Biosafety Protocols.</w:t>
      </w:r>
    </w:p>
    <w:p w14:paraId="536B8E6E" w14:textId="3D5A7911" w:rsidR="00097CB9" w:rsidRPr="00720B94" w:rsidRDefault="00097CB9" w:rsidP="00720B94">
      <w:pPr>
        <w:pStyle w:val="Heading2"/>
      </w:pPr>
      <w:bookmarkStart w:id="21" w:name="_Toc192509328"/>
      <w:r w:rsidRPr="00720B94">
        <w:t>Bio</w:t>
      </w:r>
      <w:r w:rsidR="00D61E8E" w:rsidRPr="00720B94">
        <w:t>s</w:t>
      </w:r>
      <w:r w:rsidRPr="00720B94">
        <w:t>afety Protocol</w:t>
      </w:r>
      <w:bookmarkEnd w:id="21"/>
    </w:p>
    <w:p w14:paraId="6C74BA22" w14:textId="45FDF73F" w:rsidR="00466CB3" w:rsidRPr="00720B94" w:rsidRDefault="00D969A4" w:rsidP="00720B94">
      <w:pPr>
        <w:rPr>
          <w:rFonts w:eastAsia="Arial" w:cs="Arial"/>
        </w:rPr>
      </w:pPr>
      <w:r w:rsidRPr="00720B94">
        <w:rPr>
          <w:rFonts w:eastAsia="Arial" w:cs="Arial"/>
        </w:rPr>
        <w:t xml:space="preserve">IBC monitors and reviews research through the use of a </w:t>
      </w:r>
      <w:hyperlink r:id="rId44" w:history="1">
        <w:r w:rsidRPr="00717676">
          <w:rPr>
            <w:rStyle w:val="Hyperlink"/>
            <w:rFonts w:eastAsia="Arial" w:cs="Arial"/>
            <w:color w:val="007D89" w:themeColor="accent3" w:themeShade="BF"/>
          </w:rPr>
          <w:t>Bio</w:t>
        </w:r>
        <w:r w:rsidR="00D61E8E" w:rsidRPr="00717676">
          <w:rPr>
            <w:rStyle w:val="Hyperlink"/>
            <w:rFonts w:eastAsia="Arial" w:cs="Arial"/>
            <w:color w:val="007D89" w:themeColor="accent3" w:themeShade="BF"/>
          </w:rPr>
          <w:t>safety</w:t>
        </w:r>
        <w:r w:rsidRPr="00717676">
          <w:rPr>
            <w:rStyle w:val="Hyperlink"/>
            <w:rFonts w:eastAsia="Arial" w:cs="Arial"/>
            <w:color w:val="007D89" w:themeColor="accent3" w:themeShade="BF"/>
          </w:rPr>
          <w:t xml:space="preserve"> Protocol</w:t>
        </w:r>
        <w:r w:rsidR="00D9010B" w:rsidRPr="00717676">
          <w:rPr>
            <w:rStyle w:val="Hyperlink"/>
            <w:rFonts w:eastAsia="Arial" w:cs="Arial"/>
            <w:color w:val="007D89" w:themeColor="accent3" w:themeShade="BF"/>
          </w:rPr>
          <w:t xml:space="preserve"> Application</w:t>
        </w:r>
      </w:hyperlink>
      <w:r w:rsidRPr="00720B94">
        <w:rPr>
          <w:rFonts w:eastAsia="Arial" w:cs="Arial"/>
        </w:rPr>
        <w:t xml:space="preserve">. The PI is responsible for maintaining an up-to-date </w:t>
      </w:r>
      <w:r w:rsidR="00FC1944" w:rsidRPr="00720B94">
        <w:rPr>
          <w:rFonts w:eastAsia="Arial" w:cs="Arial"/>
        </w:rPr>
        <w:t>p</w:t>
      </w:r>
      <w:r w:rsidRPr="00720B94">
        <w:rPr>
          <w:rFonts w:eastAsia="Arial" w:cs="Arial"/>
        </w:rPr>
        <w:t>rotocol if their research at U</w:t>
      </w:r>
      <w:r w:rsidR="00466CB3" w:rsidRPr="00720B94">
        <w:rPr>
          <w:rFonts w:eastAsia="Arial" w:cs="Arial"/>
        </w:rPr>
        <w:t>WL</w:t>
      </w:r>
      <w:r w:rsidRPr="00720B94">
        <w:rPr>
          <w:rFonts w:eastAsia="Arial" w:cs="Arial"/>
        </w:rPr>
        <w:t xml:space="preserve"> involves any of the following:</w:t>
      </w:r>
    </w:p>
    <w:p w14:paraId="01B8E7BB" w14:textId="77777777" w:rsidR="00466CB3" w:rsidRPr="00720B94" w:rsidRDefault="00D969A4" w:rsidP="00720B94">
      <w:pPr>
        <w:pStyle w:val="ListParagraph"/>
        <w:numPr>
          <w:ilvl w:val="0"/>
          <w:numId w:val="1"/>
        </w:numPr>
        <w:rPr>
          <w:rFonts w:eastAsia="Arial" w:cs="Arial"/>
          <w:sz w:val="22"/>
          <w:szCs w:val="22"/>
        </w:rPr>
      </w:pPr>
      <w:r w:rsidRPr="00720B94">
        <w:rPr>
          <w:rFonts w:eastAsia="Arial" w:cs="Arial"/>
          <w:sz w:val="22"/>
          <w:szCs w:val="22"/>
        </w:rPr>
        <w:t>Recombinant (transgenic) or synthetic DNA/RNA organisms or materials, including human gene therapy</w:t>
      </w:r>
    </w:p>
    <w:p w14:paraId="0EB94092" w14:textId="77777777" w:rsidR="00466CB3" w:rsidRPr="00720B94" w:rsidRDefault="00D969A4" w:rsidP="00720B94">
      <w:pPr>
        <w:pStyle w:val="ListParagraph"/>
        <w:numPr>
          <w:ilvl w:val="0"/>
          <w:numId w:val="1"/>
        </w:numPr>
        <w:rPr>
          <w:rFonts w:eastAsia="Arial" w:cs="Arial"/>
          <w:sz w:val="22"/>
          <w:szCs w:val="22"/>
        </w:rPr>
      </w:pPr>
      <w:r w:rsidRPr="00720B94">
        <w:rPr>
          <w:rFonts w:eastAsia="Arial" w:cs="Arial"/>
          <w:sz w:val="22"/>
          <w:szCs w:val="22"/>
        </w:rPr>
        <w:t xml:space="preserve">Microbes and disease-causing agents including bacteria, viruses, fungi, prions, protozoa, and parasites </w:t>
      </w:r>
    </w:p>
    <w:p w14:paraId="2B114CB0" w14:textId="77777777" w:rsidR="00466CB3" w:rsidRPr="00720B94" w:rsidRDefault="00D969A4" w:rsidP="00720B94">
      <w:pPr>
        <w:pStyle w:val="ListParagraph"/>
        <w:numPr>
          <w:ilvl w:val="0"/>
          <w:numId w:val="1"/>
        </w:numPr>
        <w:rPr>
          <w:rFonts w:eastAsia="Arial" w:cs="Arial"/>
          <w:sz w:val="22"/>
          <w:szCs w:val="22"/>
        </w:rPr>
      </w:pPr>
      <w:r w:rsidRPr="00720B94">
        <w:rPr>
          <w:rFonts w:eastAsia="Arial" w:cs="Arial"/>
          <w:sz w:val="22"/>
          <w:szCs w:val="22"/>
        </w:rPr>
        <w:t xml:space="preserve">Large scale propagation consisting of a volume greater than 10L or more in one vessel </w:t>
      </w:r>
    </w:p>
    <w:p w14:paraId="619EBE62" w14:textId="7E7EE536" w:rsidR="00466CB3" w:rsidRPr="00720B94" w:rsidRDefault="00D969A4" w:rsidP="00720B94">
      <w:pPr>
        <w:pStyle w:val="ListParagraph"/>
        <w:numPr>
          <w:ilvl w:val="0"/>
          <w:numId w:val="1"/>
        </w:numPr>
        <w:rPr>
          <w:rFonts w:eastAsia="Arial" w:cs="Arial"/>
          <w:sz w:val="22"/>
          <w:szCs w:val="22"/>
        </w:rPr>
      </w:pPr>
      <w:r w:rsidRPr="00720B94">
        <w:rPr>
          <w:rFonts w:eastAsia="Arial" w:cs="Arial"/>
          <w:sz w:val="22"/>
          <w:szCs w:val="22"/>
        </w:rPr>
        <w:t>Human cells and cell culture, organs or tissues, or biological samples</w:t>
      </w:r>
      <w:r w:rsidR="00F7243A" w:rsidRPr="00720B94">
        <w:rPr>
          <w:rFonts w:eastAsia="Arial" w:cs="Arial"/>
          <w:sz w:val="22"/>
          <w:szCs w:val="22"/>
        </w:rPr>
        <w:t>; however, this does not apply to preserved biological samples</w:t>
      </w:r>
    </w:p>
    <w:p w14:paraId="7586EACC" w14:textId="70FA1BAC" w:rsidR="00466CB3" w:rsidRPr="00720B94" w:rsidRDefault="00D969A4" w:rsidP="00720B94">
      <w:pPr>
        <w:pStyle w:val="ListParagraph"/>
        <w:numPr>
          <w:ilvl w:val="0"/>
          <w:numId w:val="1"/>
        </w:numPr>
        <w:rPr>
          <w:rFonts w:eastAsia="Arial" w:cs="Arial"/>
          <w:sz w:val="22"/>
          <w:szCs w:val="22"/>
        </w:rPr>
      </w:pPr>
      <w:r w:rsidRPr="00720B94">
        <w:rPr>
          <w:rFonts w:eastAsia="Arial" w:cs="Arial"/>
          <w:sz w:val="22"/>
          <w:szCs w:val="22"/>
        </w:rPr>
        <w:t>Non-human cells and cell culture, organ or tissues, or biological samples that are infectious, potentially infectious, or recombinant</w:t>
      </w:r>
      <w:r w:rsidR="00966DAE" w:rsidRPr="00720B94">
        <w:rPr>
          <w:rFonts w:eastAsia="Arial" w:cs="Arial"/>
          <w:sz w:val="22"/>
          <w:szCs w:val="22"/>
        </w:rPr>
        <w:t>; however, this does not apply to preserved biological samples</w:t>
      </w:r>
    </w:p>
    <w:p w14:paraId="05BCC019" w14:textId="77777777" w:rsidR="00D17B04" w:rsidRPr="00720B94" w:rsidRDefault="00D969A4" w:rsidP="00720B94">
      <w:pPr>
        <w:pStyle w:val="ListParagraph"/>
        <w:numPr>
          <w:ilvl w:val="0"/>
          <w:numId w:val="1"/>
        </w:numPr>
        <w:rPr>
          <w:rFonts w:eastAsia="Arial" w:cs="Arial"/>
          <w:sz w:val="22"/>
          <w:szCs w:val="22"/>
        </w:rPr>
      </w:pPr>
      <w:r w:rsidRPr="00720B94">
        <w:rPr>
          <w:rFonts w:eastAsia="Arial" w:cs="Arial"/>
          <w:sz w:val="22"/>
          <w:szCs w:val="22"/>
        </w:rPr>
        <w:t xml:space="preserve">Animals (vertebrate and/or invertebrate) that are recombinant (transgenic), exotic, and/or grown in association with pathogens, biological toxins, and/or recombinant materials </w:t>
      </w:r>
    </w:p>
    <w:p w14:paraId="03C5F973" w14:textId="584D7EC8" w:rsidR="00D17B04" w:rsidRPr="00720B94" w:rsidRDefault="00D969A4" w:rsidP="00720B94">
      <w:pPr>
        <w:pStyle w:val="ListParagraph"/>
        <w:numPr>
          <w:ilvl w:val="0"/>
          <w:numId w:val="1"/>
        </w:numPr>
        <w:rPr>
          <w:rFonts w:eastAsia="Arial" w:cs="Arial"/>
          <w:sz w:val="22"/>
          <w:szCs w:val="22"/>
        </w:rPr>
      </w:pPr>
      <w:r w:rsidRPr="00720B94">
        <w:rPr>
          <w:rFonts w:eastAsia="Arial" w:cs="Arial"/>
          <w:sz w:val="22"/>
          <w:szCs w:val="22"/>
        </w:rPr>
        <w:t>Plants that are recombinant (transgenic), exotic, and/or grown in association with biological toxins, pathogenic or recombinant microbes and/or pathogenic or recombinant small animals (insects, etc.)</w:t>
      </w:r>
    </w:p>
    <w:p w14:paraId="15ECA8A1" w14:textId="7EEE8D26" w:rsidR="000A2A0F" w:rsidRPr="00720B94" w:rsidRDefault="000A2A0F" w:rsidP="00720B94">
      <w:pPr>
        <w:pStyle w:val="ListParagraph"/>
        <w:numPr>
          <w:ilvl w:val="0"/>
          <w:numId w:val="1"/>
        </w:numPr>
        <w:rPr>
          <w:rFonts w:eastAsia="Arial" w:cs="Arial"/>
          <w:sz w:val="22"/>
          <w:szCs w:val="22"/>
        </w:rPr>
      </w:pPr>
      <w:r w:rsidRPr="00720B94">
        <w:rPr>
          <w:rFonts w:eastAsia="Arial" w:cs="Arial"/>
          <w:sz w:val="22"/>
          <w:szCs w:val="22"/>
        </w:rPr>
        <w:t>Soil</w:t>
      </w:r>
      <w:r w:rsidR="002A250B" w:rsidRPr="00720B94">
        <w:rPr>
          <w:rFonts w:eastAsia="Arial" w:cs="Arial"/>
          <w:sz w:val="22"/>
          <w:szCs w:val="22"/>
        </w:rPr>
        <w:t>s</w:t>
      </w:r>
      <w:r w:rsidR="00AE29DF" w:rsidRPr="00720B94">
        <w:rPr>
          <w:rFonts w:eastAsia="Arial" w:cs="Arial"/>
          <w:sz w:val="22"/>
          <w:szCs w:val="22"/>
        </w:rPr>
        <w:t>, see</w:t>
      </w:r>
      <w:r w:rsidRPr="00720B94">
        <w:rPr>
          <w:rFonts w:eastAsia="Arial" w:cs="Arial"/>
          <w:sz w:val="22"/>
          <w:szCs w:val="22"/>
        </w:rPr>
        <w:t>d</w:t>
      </w:r>
      <w:r w:rsidR="002A250B" w:rsidRPr="00720B94">
        <w:rPr>
          <w:rFonts w:eastAsia="Arial" w:cs="Arial"/>
          <w:sz w:val="22"/>
          <w:szCs w:val="22"/>
        </w:rPr>
        <w:t>s</w:t>
      </w:r>
      <w:r w:rsidRPr="00720B94">
        <w:rPr>
          <w:rFonts w:eastAsia="Arial" w:cs="Arial"/>
          <w:sz w:val="22"/>
          <w:szCs w:val="22"/>
        </w:rPr>
        <w:t>, plants, plant pathogens, or other materials that may be at an increased risk for contamination with pathogens</w:t>
      </w:r>
    </w:p>
    <w:p w14:paraId="3A660279" w14:textId="538B7710" w:rsidR="00D969A4" w:rsidRPr="00720B94" w:rsidRDefault="00D969A4" w:rsidP="00720B94">
      <w:pPr>
        <w:pStyle w:val="ListParagraph"/>
        <w:numPr>
          <w:ilvl w:val="0"/>
          <w:numId w:val="1"/>
        </w:numPr>
        <w:rPr>
          <w:rFonts w:eastAsia="Arial" w:cs="Arial"/>
          <w:sz w:val="22"/>
          <w:szCs w:val="22"/>
        </w:rPr>
      </w:pPr>
      <w:r w:rsidRPr="00720B94">
        <w:rPr>
          <w:rFonts w:eastAsia="Arial" w:cs="Arial"/>
          <w:sz w:val="22"/>
          <w:szCs w:val="22"/>
        </w:rPr>
        <w:t xml:space="preserve">Biological </w:t>
      </w:r>
      <w:r w:rsidR="00CE3434" w:rsidRPr="00720B94">
        <w:rPr>
          <w:rFonts w:eastAsia="Arial" w:cs="Arial"/>
          <w:sz w:val="22"/>
          <w:szCs w:val="22"/>
        </w:rPr>
        <w:t>t</w:t>
      </w:r>
      <w:r w:rsidRPr="00720B94">
        <w:rPr>
          <w:rFonts w:eastAsia="Arial" w:cs="Arial"/>
          <w:sz w:val="22"/>
          <w:szCs w:val="22"/>
        </w:rPr>
        <w:t>oxins (this does not include toxic chemicals or antibiotics)</w:t>
      </w:r>
    </w:p>
    <w:p w14:paraId="28639388" w14:textId="4FFAFC25" w:rsidR="00367914" w:rsidRPr="00720B94" w:rsidRDefault="00367914" w:rsidP="00720B94">
      <w:pPr>
        <w:pStyle w:val="ListParagraph"/>
        <w:numPr>
          <w:ilvl w:val="0"/>
          <w:numId w:val="1"/>
        </w:numPr>
        <w:rPr>
          <w:rFonts w:eastAsia="Arial" w:cs="Arial"/>
          <w:sz w:val="22"/>
          <w:szCs w:val="22"/>
        </w:rPr>
      </w:pPr>
      <w:r w:rsidRPr="00720B94">
        <w:rPr>
          <w:rFonts w:eastAsia="Arial" w:cs="Arial"/>
          <w:sz w:val="22"/>
          <w:szCs w:val="22"/>
        </w:rPr>
        <w:t>Select agents</w:t>
      </w:r>
      <w:r w:rsidR="0012461F" w:rsidRPr="00720B94">
        <w:rPr>
          <w:rFonts w:eastAsia="Arial" w:cs="Arial"/>
          <w:sz w:val="22"/>
          <w:szCs w:val="22"/>
        </w:rPr>
        <w:t xml:space="preserve"> or toxins</w:t>
      </w:r>
      <w:r w:rsidR="00781313" w:rsidRPr="00720B94">
        <w:rPr>
          <w:rFonts w:eastAsia="Arial" w:cs="Arial"/>
          <w:sz w:val="22"/>
          <w:szCs w:val="22"/>
        </w:rPr>
        <w:t xml:space="preserve"> (see </w:t>
      </w:r>
      <w:hyperlink w:anchor="_Research_with_Select" w:history="1">
        <w:r w:rsidR="00781313" w:rsidRPr="00717676">
          <w:rPr>
            <w:rStyle w:val="Hyperlink"/>
            <w:rFonts w:eastAsia="Arial" w:cs="Arial"/>
            <w:color w:val="007D89" w:themeColor="accent3" w:themeShade="BF"/>
            <w:sz w:val="22"/>
            <w:szCs w:val="22"/>
          </w:rPr>
          <w:t>Research with Select Agents</w:t>
        </w:r>
      </w:hyperlink>
      <w:r w:rsidR="002322BF" w:rsidRPr="00720B94">
        <w:rPr>
          <w:rFonts w:eastAsia="Arial" w:cs="Arial"/>
          <w:sz w:val="22"/>
          <w:szCs w:val="22"/>
        </w:rPr>
        <w:t xml:space="preserve"> and </w:t>
      </w:r>
      <w:hyperlink w:anchor="_Dual_Use_Research" w:history="1">
        <w:r w:rsidR="002322BF" w:rsidRPr="00717676">
          <w:rPr>
            <w:rStyle w:val="Hyperlink"/>
            <w:rFonts w:eastAsia="Arial" w:cs="Arial"/>
            <w:color w:val="007D89" w:themeColor="accent3" w:themeShade="BF"/>
            <w:sz w:val="22"/>
            <w:szCs w:val="22"/>
          </w:rPr>
          <w:t>DURC &amp; PEPP</w:t>
        </w:r>
      </w:hyperlink>
      <w:r w:rsidR="002322BF" w:rsidRPr="00720B94">
        <w:rPr>
          <w:rFonts w:eastAsia="Arial" w:cs="Arial"/>
          <w:sz w:val="22"/>
          <w:szCs w:val="22"/>
        </w:rPr>
        <w:t>)</w:t>
      </w:r>
    </w:p>
    <w:p w14:paraId="5BFBF723" w14:textId="5DA86E16" w:rsidR="00533164" w:rsidRPr="00720B94" w:rsidRDefault="00533164" w:rsidP="00720B94">
      <w:pPr>
        <w:pStyle w:val="ListParagraph"/>
        <w:numPr>
          <w:ilvl w:val="0"/>
          <w:numId w:val="1"/>
        </w:numPr>
        <w:spacing w:after="160"/>
        <w:rPr>
          <w:rFonts w:eastAsia="Arial" w:cs="Arial"/>
          <w:sz w:val="22"/>
          <w:szCs w:val="22"/>
        </w:rPr>
      </w:pPr>
      <w:r w:rsidRPr="00720B94">
        <w:rPr>
          <w:rFonts w:eastAsia="Arial" w:cs="Arial"/>
          <w:sz w:val="22"/>
          <w:szCs w:val="22"/>
        </w:rPr>
        <w:t>Dual use research of concern (DURC) agents</w:t>
      </w:r>
      <w:r w:rsidR="00781313" w:rsidRPr="00720B94">
        <w:rPr>
          <w:rFonts w:eastAsia="Arial" w:cs="Arial"/>
          <w:sz w:val="22"/>
          <w:szCs w:val="22"/>
        </w:rPr>
        <w:t xml:space="preserve"> </w:t>
      </w:r>
      <w:r w:rsidR="002322BF" w:rsidRPr="00720B94">
        <w:rPr>
          <w:rFonts w:eastAsia="Arial" w:cs="Arial"/>
          <w:sz w:val="22"/>
          <w:szCs w:val="22"/>
        </w:rPr>
        <w:t xml:space="preserve">(see </w:t>
      </w:r>
      <w:hyperlink w:anchor="_Dual_Use_Research" w:history="1">
        <w:r w:rsidR="002322BF" w:rsidRPr="00717676">
          <w:rPr>
            <w:rStyle w:val="Hyperlink"/>
            <w:rFonts w:eastAsia="Arial" w:cs="Arial"/>
            <w:color w:val="007D89" w:themeColor="accent3" w:themeShade="BF"/>
            <w:sz w:val="22"/>
            <w:szCs w:val="22"/>
          </w:rPr>
          <w:t>DURC &amp; PEPP</w:t>
        </w:r>
      </w:hyperlink>
      <w:r w:rsidR="002322BF" w:rsidRPr="00720B94">
        <w:rPr>
          <w:rFonts w:eastAsia="Arial" w:cs="Arial"/>
          <w:sz w:val="22"/>
          <w:szCs w:val="22"/>
        </w:rPr>
        <w:t>)</w:t>
      </w:r>
      <w:r w:rsidR="002322BF" w:rsidRPr="00720B94" w:rsidDel="002322BF">
        <w:rPr>
          <w:rFonts w:eastAsia="Arial" w:cs="Arial"/>
          <w:sz w:val="22"/>
          <w:szCs w:val="22"/>
        </w:rPr>
        <w:t xml:space="preserve"> </w:t>
      </w:r>
    </w:p>
    <w:p w14:paraId="38B73EB0" w14:textId="2BE5F184" w:rsidR="002322BF" w:rsidRPr="00720B94" w:rsidRDefault="002322BF" w:rsidP="00720B94">
      <w:pPr>
        <w:pStyle w:val="ListParagraph"/>
        <w:numPr>
          <w:ilvl w:val="0"/>
          <w:numId w:val="1"/>
        </w:numPr>
        <w:spacing w:after="160"/>
        <w:rPr>
          <w:rFonts w:eastAsia="Arial" w:cs="Arial"/>
          <w:sz w:val="22"/>
          <w:szCs w:val="22"/>
        </w:rPr>
      </w:pPr>
      <w:r w:rsidRPr="00720B94">
        <w:rPr>
          <w:rFonts w:eastAsia="Arial" w:cs="Arial"/>
          <w:sz w:val="22"/>
          <w:szCs w:val="22"/>
        </w:rPr>
        <w:t xml:space="preserve">Pathogens with enhanced pandemic potential (PEPP) (see </w:t>
      </w:r>
      <w:hyperlink w:anchor="_Dual_Use_Research" w:history="1">
        <w:r w:rsidRPr="00717676">
          <w:rPr>
            <w:rStyle w:val="Hyperlink"/>
            <w:rFonts w:eastAsia="Arial" w:cs="Arial"/>
            <w:color w:val="007D89" w:themeColor="accent3" w:themeShade="BF"/>
            <w:sz w:val="22"/>
            <w:szCs w:val="22"/>
          </w:rPr>
          <w:t>DURC &amp; PEPP</w:t>
        </w:r>
      </w:hyperlink>
      <w:r w:rsidRPr="00720B94">
        <w:rPr>
          <w:rFonts w:eastAsia="Arial" w:cs="Arial"/>
          <w:sz w:val="22"/>
          <w:szCs w:val="22"/>
        </w:rPr>
        <w:t>)</w:t>
      </w:r>
    </w:p>
    <w:p w14:paraId="1CBFBDAF" w14:textId="26102EB6" w:rsidR="00CF2AD0" w:rsidRPr="00720B94" w:rsidRDefault="00CF2AD0" w:rsidP="00720B94">
      <w:r w:rsidRPr="00720B94">
        <w:t>If experiments performed in teaching labs are subject to the NIH Guidelines, a biosafety protocol is required. In the absence of recombinant work, a biosafety protocol is recommended for lab courses and can be reviewed by the IBC to ensure proper biosafety precautions are taken.</w:t>
      </w:r>
    </w:p>
    <w:p w14:paraId="71C0060D" w14:textId="38EAA4C4" w:rsidR="001E5983" w:rsidRPr="00720B94" w:rsidRDefault="001E24E8" w:rsidP="00720B94">
      <w:pPr>
        <w:spacing w:after="225" w:line="240" w:lineRule="auto"/>
        <w:rPr>
          <w:rFonts w:eastAsia="Arial" w:cs="Arial"/>
        </w:rPr>
      </w:pPr>
      <w:r w:rsidRPr="00720B94">
        <w:rPr>
          <w:rFonts w:eastAsia="Arial" w:cs="Arial"/>
        </w:rPr>
        <w:t>If research involve</w:t>
      </w:r>
      <w:r w:rsidR="00FC1944" w:rsidRPr="00720B94">
        <w:rPr>
          <w:rFonts w:eastAsia="Arial" w:cs="Arial"/>
        </w:rPr>
        <w:t>s</w:t>
      </w:r>
      <w:r w:rsidRPr="00720B94">
        <w:rPr>
          <w:rFonts w:eastAsia="Arial" w:cs="Arial"/>
        </w:rPr>
        <w:t xml:space="preserve"> any of the above, the PI must</w:t>
      </w:r>
      <w:r w:rsidR="00507FB9" w:rsidRPr="00720B94">
        <w:rPr>
          <w:rFonts w:eastAsia="Arial" w:cs="Arial"/>
        </w:rPr>
        <w:t xml:space="preserve"> do the following</w:t>
      </w:r>
      <w:r w:rsidR="001E5983" w:rsidRPr="00720B94">
        <w:rPr>
          <w:rFonts w:eastAsia="Arial" w:cs="Arial"/>
        </w:rPr>
        <w:t>:</w:t>
      </w:r>
    </w:p>
    <w:p w14:paraId="5691FD9A" w14:textId="49810A92" w:rsidR="00B76A0A" w:rsidRPr="00720B94" w:rsidRDefault="00B76A0A" w:rsidP="0092380E">
      <w:pPr>
        <w:pStyle w:val="ListParagraph"/>
        <w:numPr>
          <w:ilvl w:val="0"/>
          <w:numId w:val="36"/>
        </w:numPr>
        <w:spacing w:after="225"/>
        <w:rPr>
          <w:sz w:val="22"/>
          <w:szCs w:val="22"/>
        </w:rPr>
      </w:pPr>
      <w:r w:rsidRPr="00720B94">
        <w:rPr>
          <w:sz w:val="22"/>
          <w:szCs w:val="22"/>
        </w:rPr>
        <w:t xml:space="preserve">Conduct an initial risk assessment (see </w:t>
      </w:r>
      <w:hyperlink w:anchor="_Risk_Assessment" w:history="1">
        <w:r w:rsidRPr="00717676">
          <w:rPr>
            <w:rStyle w:val="Hyperlink"/>
            <w:color w:val="007D89" w:themeColor="accent3" w:themeShade="BF"/>
            <w:sz w:val="22"/>
            <w:szCs w:val="22"/>
          </w:rPr>
          <w:t>Risk Assessment</w:t>
        </w:r>
      </w:hyperlink>
      <w:r w:rsidRPr="00720B94">
        <w:rPr>
          <w:sz w:val="22"/>
          <w:szCs w:val="22"/>
        </w:rPr>
        <w:t>).</w:t>
      </w:r>
    </w:p>
    <w:p w14:paraId="4358B5A9" w14:textId="399D4ED7" w:rsidR="001E5983" w:rsidRPr="00720B94" w:rsidRDefault="000B2AAF" w:rsidP="0092380E">
      <w:pPr>
        <w:pStyle w:val="ListParagraph"/>
        <w:numPr>
          <w:ilvl w:val="0"/>
          <w:numId w:val="36"/>
        </w:numPr>
        <w:spacing w:after="225"/>
        <w:rPr>
          <w:sz w:val="22"/>
          <w:szCs w:val="22"/>
        </w:rPr>
      </w:pPr>
      <w:r w:rsidRPr="00720B94">
        <w:rPr>
          <w:rFonts w:eastAsia="Arial" w:cs="Arial"/>
          <w:sz w:val="22"/>
          <w:szCs w:val="22"/>
        </w:rPr>
        <w:t>Complete and s</w:t>
      </w:r>
      <w:r w:rsidR="001E24E8" w:rsidRPr="00720B94">
        <w:rPr>
          <w:rFonts w:eastAsia="Arial" w:cs="Arial"/>
          <w:sz w:val="22"/>
          <w:szCs w:val="22"/>
        </w:rPr>
        <w:t xml:space="preserve">ubmit a </w:t>
      </w:r>
      <w:hyperlink r:id="rId45" w:history="1">
        <w:r w:rsidR="00383064" w:rsidRPr="00717676">
          <w:rPr>
            <w:rStyle w:val="Hyperlink"/>
            <w:rFonts w:eastAsia="Arial" w:cs="Arial"/>
            <w:color w:val="007D89" w:themeColor="accent3" w:themeShade="BF"/>
            <w:sz w:val="22"/>
            <w:szCs w:val="22"/>
          </w:rPr>
          <w:t>Bio</w:t>
        </w:r>
        <w:r w:rsidR="00D61E8E" w:rsidRPr="00717676">
          <w:rPr>
            <w:rStyle w:val="Hyperlink"/>
            <w:rFonts w:eastAsia="Arial" w:cs="Arial"/>
            <w:color w:val="007D89" w:themeColor="accent3" w:themeShade="BF"/>
            <w:sz w:val="22"/>
            <w:szCs w:val="22"/>
          </w:rPr>
          <w:t>s</w:t>
        </w:r>
        <w:r w:rsidR="00383064" w:rsidRPr="00717676">
          <w:rPr>
            <w:rStyle w:val="Hyperlink"/>
            <w:rFonts w:eastAsia="Arial" w:cs="Arial"/>
            <w:color w:val="007D89" w:themeColor="accent3" w:themeShade="BF"/>
            <w:sz w:val="22"/>
            <w:szCs w:val="22"/>
          </w:rPr>
          <w:t xml:space="preserve">afety Protocol </w:t>
        </w:r>
        <w:r w:rsidRPr="00717676">
          <w:rPr>
            <w:rStyle w:val="Hyperlink"/>
            <w:rFonts w:eastAsia="Arial" w:cs="Arial"/>
            <w:color w:val="007D89" w:themeColor="accent3" w:themeShade="BF"/>
            <w:sz w:val="22"/>
            <w:szCs w:val="22"/>
          </w:rPr>
          <w:t>Application</w:t>
        </w:r>
      </w:hyperlink>
      <w:r w:rsidRPr="00720B94">
        <w:rPr>
          <w:rFonts w:eastAsia="Arial" w:cs="Arial"/>
          <w:sz w:val="22"/>
          <w:szCs w:val="22"/>
        </w:rPr>
        <w:t xml:space="preserve"> </w:t>
      </w:r>
      <w:r w:rsidR="00383064" w:rsidRPr="00720B94">
        <w:rPr>
          <w:rFonts w:eastAsia="Arial" w:cs="Arial"/>
          <w:sz w:val="22"/>
          <w:szCs w:val="22"/>
        </w:rPr>
        <w:t>for IBC review</w:t>
      </w:r>
      <w:r w:rsidR="002855D6" w:rsidRPr="00720B94">
        <w:rPr>
          <w:rFonts w:eastAsia="Arial" w:cs="Arial"/>
          <w:sz w:val="22"/>
          <w:szCs w:val="22"/>
        </w:rPr>
        <w:t xml:space="preserve"> to the Office of Research &amp; Sponsored Programs (ORSP) at </w:t>
      </w:r>
      <w:hyperlink r:id="rId46">
        <w:r w:rsidR="002855D6" w:rsidRPr="00717676">
          <w:rPr>
            <w:rStyle w:val="Hyperlink"/>
            <w:rFonts w:eastAsia="Arial" w:cs="Arial"/>
            <w:color w:val="007D89" w:themeColor="accent3" w:themeShade="BF"/>
            <w:sz w:val="22"/>
            <w:szCs w:val="22"/>
          </w:rPr>
          <w:t>grants@uwlax.edu</w:t>
        </w:r>
      </w:hyperlink>
      <w:r w:rsidR="00383064" w:rsidRPr="00720B94">
        <w:rPr>
          <w:rFonts w:eastAsia="Arial" w:cs="Arial"/>
          <w:sz w:val="22"/>
          <w:szCs w:val="22"/>
        </w:rPr>
        <w:t>.</w:t>
      </w:r>
      <w:r w:rsidR="00901825" w:rsidRPr="00720B94">
        <w:rPr>
          <w:sz w:val="22"/>
          <w:szCs w:val="22"/>
        </w:rPr>
        <w:t xml:space="preserve"> </w:t>
      </w:r>
    </w:p>
    <w:p w14:paraId="70B5252B" w14:textId="7F28A40C" w:rsidR="0095405C" w:rsidRPr="00720B94" w:rsidRDefault="0095405C" w:rsidP="00720B94">
      <w:r w:rsidRPr="00720B94">
        <w:t>Complete protocols must be submitted to the</w:t>
      </w:r>
      <w:r w:rsidR="00111CF2" w:rsidRPr="00720B94">
        <w:t xml:space="preserve"> Office of Research &amp; Sponsored Programs</w:t>
      </w:r>
      <w:r w:rsidRPr="00720B94">
        <w:t xml:space="preserve"> at least two weeks prior to an IBC meeting to ensure the protocol will be reviewed at the upcoming meeting.</w:t>
      </w:r>
    </w:p>
    <w:p w14:paraId="7C76901A" w14:textId="45D36238" w:rsidR="00D312BE" w:rsidRPr="00720B94" w:rsidRDefault="00D312BE" w:rsidP="00720B94">
      <w:r w:rsidRPr="00720B94">
        <w:rPr>
          <w:b/>
          <w:bCs/>
        </w:rPr>
        <w:t>New</w:t>
      </w:r>
      <w:r w:rsidRPr="00720B94">
        <w:t xml:space="preserve"> protocols are the first submission of a </w:t>
      </w:r>
      <w:hyperlink r:id="rId47" w:history="1">
        <w:r w:rsidRPr="00717676">
          <w:rPr>
            <w:rStyle w:val="Hyperlink"/>
            <w:color w:val="007D89" w:themeColor="accent3" w:themeShade="BF"/>
          </w:rPr>
          <w:t>Biosafety Protocol</w:t>
        </w:r>
        <w:r w:rsidR="00625D56" w:rsidRPr="00717676">
          <w:rPr>
            <w:rStyle w:val="Hyperlink"/>
            <w:color w:val="007D89" w:themeColor="accent3" w:themeShade="BF"/>
          </w:rPr>
          <w:t xml:space="preserve"> Application</w:t>
        </w:r>
      </w:hyperlink>
      <w:r w:rsidR="00AA24D6" w:rsidRPr="00720B94">
        <w:t xml:space="preserve"> to obtain IBC approval for a 3-year period</w:t>
      </w:r>
      <w:r w:rsidR="00625D56" w:rsidRPr="00720B94">
        <w:t>. This form must be accompanied by CITI training completion certificates for the PI and any other personnel listed in the form.</w:t>
      </w:r>
      <w:r w:rsidR="003759AE" w:rsidRPr="00720B94">
        <w:t xml:space="preserve"> CITI training</w:t>
      </w:r>
      <w:r w:rsidR="00C96F19" w:rsidRPr="00720B94">
        <w:t xml:space="preserve"> completion</w:t>
      </w:r>
      <w:r w:rsidR="00662317" w:rsidRPr="00720B94">
        <w:t xml:space="preserve"> </w:t>
      </w:r>
      <w:r w:rsidR="004F5099" w:rsidRPr="00720B94">
        <w:t>certificates</w:t>
      </w:r>
      <w:r w:rsidR="006144C8" w:rsidRPr="00720B94">
        <w:t xml:space="preserve"> </w:t>
      </w:r>
      <w:r w:rsidR="001A5A41" w:rsidRPr="00720B94">
        <w:t>are valid for 3 years</w:t>
      </w:r>
      <w:r w:rsidR="00424CF7" w:rsidRPr="00720B94">
        <w:t>; training expiration is automatically tracked by CITI</w:t>
      </w:r>
      <w:r w:rsidR="001A5A41" w:rsidRPr="00720B94">
        <w:t>.</w:t>
      </w:r>
    </w:p>
    <w:p w14:paraId="59D7E55A" w14:textId="5BAD3501" w:rsidR="00873CF3" w:rsidRPr="00720B94" w:rsidRDefault="00873CF3" w:rsidP="00720B94">
      <w:r w:rsidRPr="00720B94">
        <w:rPr>
          <w:b/>
          <w:bCs/>
        </w:rPr>
        <w:t>Renewals</w:t>
      </w:r>
      <w:r w:rsidRPr="00720B94">
        <w:t xml:space="preserve"> of existing protocols are required </w:t>
      </w:r>
      <w:r w:rsidR="00A32CD9" w:rsidRPr="00720B94">
        <w:t xml:space="preserve">to be submitted </w:t>
      </w:r>
      <w:r w:rsidRPr="00720B94">
        <w:t>every 3 years</w:t>
      </w:r>
      <w:r w:rsidR="00AA24D6" w:rsidRPr="00720B94">
        <w:t xml:space="preserve"> to extend IBC approval of ongoing work for another 3-year period</w:t>
      </w:r>
      <w:r w:rsidRPr="00720B94">
        <w:t xml:space="preserve">. </w:t>
      </w:r>
      <w:r w:rsidR="00A60446" w:rsidRPr="00720B94">
        <w:t>A PI should submit a</w:t>
      </w:r>
      <w:r w:rsidR="007757F2" w:rsidRPr="00720B94">
        <w:t xml:space="preserve"> Biosafety Protocol </w:t>
      </w:r>
      <w:r w:rsidR="00D312BE" w:rsidRPr="00720B94">
        <w:t xml:space="preserve">Application </w:t>
      </w:r>
      <w:r w:rsidR="007757F2" w:rsidRPr="00720B94">
        <w:t xml:space="preserve">marked “renewal” for </w:t>
      </w:r>
      <w:r w:rsidR="007B0292" w:rsidRPr="00720B94">
        <w:t xml:space="preserve">such </w:t>
      </w:r>
      <w:r w:rsidR="007757F2" w:rsidRPr="00720B94">
        <w:t>projects</w:t>
      </w:r>
      <w:r w:rsidR="00E315DC" w:rsidRPr="00720B94">
        <w:t>.</w:t>
      </w:r>
    </w:p>
    <w:p w14:paraId="14B4B727" w14:textId="76B229FB" w:rsidR="00A32CD9" w:rsidRPr="00720B94" w:rsidRDefault="00A32CD9" w:rsidP="00720B94">
      <w:r w:rsidRPr="00720B94">
        <w:rPr>
          <w:b/>
          <w:bCs/>
        </w:rPr>
        <w:lastRenderedPageBreak/>
        <w:t>Revisions</w:t>
      </w:r>
      <w:r w:rsidRPr="00720B94">
        <w:t xml:space="preserve"> must be submitted for changes in research elements, microbes utilized, and/or locations. </w:t>
      </w:r>
      <w:r w:rsidR="00A60446" w:rsidRPr="00720B94">
        <w:t xml:space="preserve">A </w:t>
      </w:r>
      <w:r w:rsidR="00E315DC" w:rsidRPr="00720B94">
        <w:t xml:space="preserve">PI should submit a Biosafety Protocol </w:t>
      </w:r>
      <w:r w:rsidR="00D312BE" w:rsidRPr="00720B94">
        <w:t xml:space="preserve">Application </w:t>
      </w:r>
      <w:r w:rsidR="00E315DC" w:rsidRPr="00720B94">
        <w:t xml:space="preserve">marked “revision” for projects </w:t>
      </w:r>
      <w:r w:rsidR="00826ADC" w:rsidRPr="00720B94">
        <w:t>requiring such changes.</w:t>
      </w:r>
    </w:p>
    <w:p w14:paraId="4F2DB62D" w14:textId="0B04DC2E" w:rsidR="00A32CD9" w:rsidRPr="00720B94" w:rsidRDefault="00A32CD9" w:rsidP="00720B94">
      <w:r w:rsidRPr="00720B94">
        <w:rPr>
          <w:b/>
          <w:bCs/>
        </w:rPr>
        <w:t>Personnel &amp; Award Modifications</w:t>
      </w:r>
      <w:r w:rsidRPr="00720B94">
        <w:t xml:space="preserve"> serve to change personnel or external awards associated with the protocol.</w:t>
      </w:r>
      <w:r w:rsidR="00826ADC" w:rsidRPr="00720B94">
        <w:t xml:space="preserve"> A PI should submit a Personnel &amp; Award Modification Form</w:t>
      </w:r>
      <w:r w:rsidR="00E04EBA" w:rsidRPr="00720B94">
        <w:t xml:space="preserve"> for such changes.</w:t>
      </w:r>
      <w:r w:rsidR="00625D56" w:rsidRPr="00720B94">
        <w:t xml:space="preserve"> </w:t>
      </w:r>
      <w:r w:rsidR="006266D0" w:rsidRPr="00720B94">
        <w:t xml:space="preserve">CITI training completion certificates must be submitted </w:t>
      </w:r>
      <w:r w:rsidR="00625D56" w:rsidRPr="00720B94">
        <w:t>with the form for</w:t>
      </w:r>
      <w:r w:rsidR="00EB68B8" w:rsidRPr="00720B94">
        <w:t xml:space="preserve"> </w:t>
      </w:r>
      <w:r w:rsidR="009E1EE8" w:rsidRPr="00720B94">
        <w:t>any personnel being added to a protocol.</w:t>
      </w:r>
    </w:p>
    <w:p w14:paraId="3BC88A0F" w14:textId="5A78E405" w:rsidR="00906265" w:rsidRPr="00720B94" w:rsidRDefault="00906265" w:rsidP="00720B94">
      <w:r w:rsidRPr="00720B94">
        <w:t>Once a project with a</w:t>
      </w:r>
      <w:r w:rsidR="006D5CA5" w:rsidRPr="00720B94">
        <w:t>n</w:t>
      </w:r>
      <w:r w:rsidRPr="00720B94">
        <w:t xml:space="preserve"> approved protocol has been completed, a PI should </w:t>
      </w:r>
      <w:r w:rsidR="00BD1AEF" w:rsidRPr="00720B94">
        <w:t xml:space="preserve">complete an </w:t>
      </w:r>
      <w:r w:rsidR="00BD1AEF" w:rsidRPr="00720B94">
        <w:rPr>
          <w:b/>
          <w:bCs/>
        </w:rPr>
        <w:t>IBC Protocol Closure Form</w:t>
      </w:r>
      <w:r w:rsidR="00BD1AEF" w:rsidRPr="00720B94">
        <w:t>.</w:t>
      </w:r>
    </w:p>
    <w:p w14:paraId="3F59B778" w14:textId="5BFEF719" w:rsidR="008B4E96" w:rsidRPr="00720B94" w:rsidRDefault="008B4E96" w:rsidP="00720B94">
      <w:r w:rsidRPr="00720B94">
        <w:t xml:space="preserve">All Biosafety Protocols, modifications, and closure forms should be submitted to the Office of Research &amp; Sponsored Programs at </w:t>
      </w:r>
      <w:hyperlink r:id="rId48" w:history="1">
        <w:r w:rsidR="001E4BBE" w:rsidRPr="00717676">
          <w:rPr>
            <w:rStyle w:val="Hyperlink"/>
            <w:color w:val="007D89" w:themeColor="accent3" w:themeShade="BF"/>
          </w:rPr>
          <w:t>grants@uwlax.edu</w:t>
        </w:r>
      </w:hyperlink>
      <w:r w:rsidRPr="00720B94">
        <w:t xml:space="preserve">. </w:t>
      </w:r>
    </w:p>
    <w:p w14:paraId="1DC6AC80" w14:textId="39F3BED6" w:rsidR="00330F3F" w:rsidRPr="00720B94" w:rsidRDefault="00330F3F" w:rsidP="00720B94">
      <w:pPr>
        <w:pStyle w:val="Heading2"/>
      </w:pPr>
      <w:bookmarkStart w:id="22" w:name="_Training"/>
      <w:bookmarkStart w:id="23" w:name="_Toc192509329"/>
      <w:bookmarkEnd w:id="22"/>
      <w:r w:rsidRPr="00720B94">
        <w:t>Training</w:t>
      </w:r>
      <w:bookmarkEnd w:id="23"/>
    </w:p>
    <w:p w14:paraId="6278303A" w14:textId="52458999" w:rsidR="008209ED" w:rsidRPr="00720B94" w:rsidRDefault="00330F3F" w:rsidP="00720B94">
      <w:pPr>
        <w:rPr>
          <w:rFonts w:eastAsia="Arial" w:cs="Arial"/>
        </w:rPr>
      </w:pPr>
      <w:r w:rsidRPr="00720B94">
        <w:t xml:space="preserve">The PI is responsible for ensuring that all personnel, including but not limited to faculty, staff, and students, </w:t>
      </w:r>
      <w:r w:rsidRPr="00720B94">
        <w:rPr>
          <w:rFonts w:eastAsia="Arial" w:cs="Arial"/>
        </w:rPr>
        <w:t xml:space="preserve">working with </w:t>
      </w:r>
      <w:r w:rsidR="003873D2" w:rsidRPr="00720B94">
        <w:rPr>
          <w:rFonts w:eastAsia="Arial" w:cs="Arial"/>
        </w:rPr>
        <w:t>biological</w:t>
      </w:r>
      <w:r w:rsidRPr="00720B94">
        <w:rPr>
          <w:rFonts w:eastAsia="Arial" w:cs="Arial"/>
        </w:rPr>
        <w:t xml:space="preserve"> or recombinant materials in their laboratory or related to their research </w:t>
      </w:r>
      <w:r w:rsidR="00C9203E" w:rsidRPr="00720B94">
        <w:rPr>
          <w:rFonts w:eastAsia="Arial" w:cs="Arial"/>
        </w:rPr>
        <w:t xml:space="preserve">are listed in the related </w:t>
      </w:r>
      <w:hyperlink r:id="rId49" w:history="1">
        <w:r w:rsidR="00C9203E" w:rsidRPr="00717676">
          <w:rPr>
            <w:rStyle w:val="Hyperlink"/>
            <w:rFonts w:eastAsia="Arial" w:cs="Arial"/>
            <w:color w:val="007D89" w:themeColor="accent3" w:themeShade="BF"/>
          </w:rPr>
          <w:t>Biosafety Protocol Application</w:t>
        </w:r>
      </w:hyperlink>
      <w:r w:rsidR="00C9203E" w:rsidRPr="00720B94">
        <w:rPr>
          <w:rFonts w:eastAsia="Arial" w:cs="Arial"/>
        </w:rPr>
        <w:t xml:space="preserve"> and </w:t>
      </w:r>
      <w:r w:rsidRPr="00720B94">
        <w:rPr>
          <w:rFonts w:eastAsia="Arial" w:cs="Arial"/>
        </w:rPr>
        <w:t xml:space="preserve">complete the </w:t>
      </w:r>
      <w:r w:rsidR="00CA68A2" w:rsidRPr="00720B94">
        <w:rPr>
          <w:rFonts w:eastAsia="Arial" w:cs="Arial"/>
        </w:rPr>
        <w:t xml:space="preserve">required </w:t>
      </w:r>
      <w:r w:rsidRPr="00720B94">
        <w:rPr>
          <w:rFonts w:eastAsia="Arial" w:cs="Arial"/>
        </w:rPr>
        <w:t>biosafety trainin</w:t>
      </w:r>
      <w:r w:rsidR="003F16D8" w:rsidRPr="00720B94">
        <w:rPr>
          <w:rFonts w:eastAsia="Arial" w:cs="Arial"/>
        </w:rPr>
        <w:t>g</w:t>
      </w:r>
      <w:r w:rsidRPr="00720B94">
        <w:rPr>
          <w:rFonts w:eastAsia="Arial" w:cs="Arial"/>
        </w:rPr>
        <w:t xml:space="preserve">. In addition, the PI should ensure laboratory specific training is provided for all </w:t>
      </w:r>
      <w:r w:rsidR="00ED370A" w:rsidRPr="00720B94">
        <w:rPr>
          <w:rFonts w:eastAsia="Arial" w:cs="Arial"/>
        </w:rPr>
        <w:t xml:space="preserve">faculty, </w:t>
      </w:r>
      <w:r w:rsidRPr="00720B94">
        <w:rPr>
          <w:rFonts w:eastAsia="Arial" w:cs="Arial"/>
        </w:rPr>
        <w:t>staff</w:t>
      </w:r>
      <w:r w:rsidR="00ED370A" w:rsidRPr="00720B94">
        <w:rPr>
          <w:rFonts w:eastAsia="Arial" w:cs="Arial"/>
        </w:rPr>
        <w:t xml:space="preserve">, </w:t>
      </w:r>
      <w:r w:rsidRPr="00720B94">
        <w:rPr>
          <w:rFonts w:eastAsia="Arial" w:cs="Arial"/>
        </w:rPr>
        <w:t>students</w:t>
      </w:r>
      <w:r w:rsidR="00ED370A" w:rsidRPr="00720B94">
        <w:rPr>
          <w:rFonts w:eastAsia="Arial" w:cs="Arial"/>
        </w:rPr>
        <w:t>, and visitors</w:t>
      </w:r>
      <w:r w:rsidRPr="00720B94">
        <w:rPr>
          <w:rFonts w:eastAsia="Arial" w:cs="Arial"/>
        </w:rPr>
        <w:t>.</w:t>
      </w:r>
      <w:r w:rsidR="002C5188" w:rsidRPr="00720B94">
        <w:rPr>
          <w:rFonts w:eastAsia="Arial" w:cs="Arial"/>
        </w:rPr>
        <w:t xml:space="preserve"> </w:t>
      </w:r>
      <w:r w:rsidR="00347D08" w:rsidRPr="00720B94">
        <w:rPr>
          <w:rFonts w:eastAsia="Arial" w:cs="Arial"/>
        </w:rPr>
        <w:t>Personnel are responsible for updating their training certification in the event of expiration or when procedural or policy changes occur.</w:t>
      </w:r>
    </w:p>
    <w:p w14:paraId="00D1584B" w14:textId="475A7C61" w:rsidR="000E4ECA" w:rsidRPr="00720B94" w:rsidRDefault="000E4ECA" w:rsidP="00720B94">
      <w:pPr>
        <w:rPr>
          <w:rFonts w:eastAsia="Arial" w:cs="Arial"/>
        </w:rPr>
      </w:pPr>
      <w:r w:rsidRPr="00720B94">
        <w:rPr>
          <w:rFonts w:eastAsia="Arial" w:cs="Arial"/>
          <w:i/>
          <w:iCs/>
        </w:rPr>
        <w:t>Teaching laboratory courses:</w:t>
      </w:r>
      <w:r w:rsidRPr="00720B94">
        <w:rPr>
          <w:rFonts w:eastAsia="Arial" w:cs="Arial"/>
        </w:rPr>
        <w:t xml:space="preserve"> Students enrolling in laboratory courses do not need to be listed </w:t>
      </w:r>
      <w:r w:rsidR="006134CA" w:rsidRPr="00720B94">
        <w:rPr>
          <w:rFonts w:eastAsia="Arial" w:cs="Arial"/>
        </w:rPr>
        <w:t xml:space="preserve">in a PI’s </w:t>
      </w:r>
      <w:r w:rsidR="00AF4CC9" w:rsidRPr="00720B94">
        <w:rPr>
          <w:rFonts w:eastAsia="Arial" w:cs="Arial"/>
        </w:rPr>
        <w:t>Biosafety Protocol Application as personnel</w:t>
      </w:r>
      <w:r w:rsidRPr="00720B94">
        <w:rPr>
          <w:rFonts w:eastAsia="Arial" w:cs="Arial"/>
        </w:rPr>
        <w:t xml:space="preserve"> and are not required to complete CITI training modules unless directed by the instructor. </w:t>
      </w:r>
      <w:r w:rsidR="000873B2" w:rsidRPr="00720B94">
        <w:rPr>
          <w:rFonts w:eastAsia="Arial" w:cs="Arial"/>
        </w:rPr>
        <w:t>This includes students enrolled in independent research courses</w:t>
      </w:r>
      <w:r w:rsidR="00DE69BC" w:rsidRPr="00720B94">
        <w:rPr>
          <w:rFonts w:eastAsia="Arial" w:cs="Arial"/>
        </w:rPr>
        <w:t xml:space="preserve"> (e.g., </w:t>
      </w:r>
      <w:r w:rsidR="005768A0" w:rsidRPr="00720B94">
        <w:rPr>
          <w:rFonts w:eastAsia="Arial" w:cs="Arial"/>
        </w:rPr>
        <w:t xml:space="preserve">BIO/CHM 499). </w:t>
      </w:r>
      <w:r w:rsidR="00AF4CC9" w:rsidRPr="00720B94">
        <w:rPr>
          <w:rFonts w:eastAsia="Arial" w:cs="Arial"/>
        </w:rPr>
        <w:t>As part of the Biosafety Protocol Application submission</w:t>
      </w:r>
      <w:r w:rsidR="009A46FA" w:rsidRPr="00720B94">
        <w:rPr>
          <w:rFonts w:eastAsia="Arial" w:cs="Arial"/>
        </w:rPr>
        <w:t xml:space="preserve"> for laboratory courses</w:t>
      </w:r>
      <w:r w:rsidR="00AF4CC9" w:rsidRPr="00720B94">
        <w:rPr>
          <w:rFonts w:eastAsia="Arial" w:cs="Arial"/>
        </w:rPr>
        <w:t>, a PI must</w:t>
      </w:r>
      <w:r w:rsidRPr="00720B94">
        <w:rPr>
          <w:rFonts w:eastAsia="Arial" w:cs="Arial"/>
        </w:rPr>
        <w:t xml:space="preserve"> summarize the training provided to students who will be involved in the course (e.g., hands-on training, instructor-based training, online learning) and include the summary as an attachment </w:t>
      </w:r>
      <w:r w:rsidR="00616CA2" w:rsidRPr="00720B94">
        <w:rPr>
          <w:rFonts w:eastAsia="Arial" w:cs="Arial"/>
        </w:rPr>
        <w:t>with</w:t>
      </w:r>
      <w:r w:rsidR="00AF4CC9" w:rsidRPr="00720B94">
        <w:rPr>
          <w:rFonts w:eastAsia="Arial" w:cs="Arial"/>
        </w:rPr>
        <w:t xml:space="preserve"> the protocol submission</w:t>
      </w:r>
      <w:r w:rsidRPr="00720B94">
        <w:rPr>
          <w:rFonts w:eastAsia="Arial" w:cs="Arial"/>
        </w:rPr>
        <w:t>.</w:t>
      </w:r>
    </w:p>
    <w:p w14:paraId="2FCFFF10" w14:textId="1DD0B824" w:rsidR="004D3C52" w:rsidRPr="00720B94" w:rsidRDefault="00330F3F" w:rsidP="00720B94">
      <w:pPr>
        <w:rPr>
          <w:rFonts w:eastAsia="Arial" w:cs="Arial"/>
        </w:rPr>
      </w:pPr>
      <w:r w:rsidRPr="00720B94">
        <w:t xml:space="preserve">UWL provides biological safety training to inform and prepare faculty, staff, and students for work in campus biological research laboratories in compliance with standards set forth by the NIH and CDC. Training is provided online through </w:t>
      </w:r>
      <w:hyperlink r:id="rId50" w:history="1">
        <w:r w:rsidRPr="0081665D">
          <w:rPr>
            <w:rStyle w:val="Hyperlink"/>
          </w:rPr>
          <w:t xml:space="preserve">CITI </w:t>
        </w:r>
      </w:hyperlink>
      <w:r w:rsidR="00A3656C" w:rsidRPr="00720B94">
        <w:t xml:space="preserve">and </w:t>
      </w:r>
      <w:r w:rsidR="00CE008F" w:rsidRPr="00720B94">
        <w:rPr>
          <w:b/>
          <w:bCs/>
        </w:rPr>
        <w:t xml:space="preserve">basic IBC </w:t>
      </w:r>
      <w:r w:rsidR="003029B2" w:rsidRPr="00720B94">
        <w:rPr>
          <w:b/>
          <w:bCs/>
        </w:rPr>
        <w:t>training is</w:t>
      </w:r>
      <w:r w:rsidRPr="00720B94">
        <w:rPr>
          <w:rFonts w:eastAsia="Arial" w:cs="Arial"/>
        </w:rPr>
        <w:t xml:space="preserve"> </w:t>
      </w:r>
      <w:r w:rsidRPr="00720B94">
        <w:rPr>
          <w:rFonts w:eastAsia="Arial" w:cs="Arial"/>
          <w:b/>
          <w:bCs/>
        </w:rPr>
        <w:t>valid for three years</w:t>
      </w:r>
      <w:r w:rsidRPr="00720B94">
        <w:rPr>
          <w:rFonts w:eastAsia="Arial" w:cs="Arial"/>
        </w:rPr>
        <w:t xml:space="preserve">. </w:t>
      </w:r>
      <w:r w:rsidR="00513444" w:rsidRPr="00720B94">
        <w:rPr>
          <w:rFonts w:eastAsia="Arial" w:cs="Arial"/>
        </w:rPr>
        <w:t xml:space="preserve">All faculty, staff, and students </w:t>
      </w:r>
      <w:r w:rsidR="007D0673" w:rsidRPr="00720B94">
        <w:rPr>
          <w:rFonts w:eastAsia="Arial" w:cs="Arial"/>
        </w:rPr>
        <w:t xml:space="preserve">listed in a Biosafety Protocol Application </w:t>
      </w:r>
      <w:r w:rsidR="00513444" w:rsidRPr="00720B94">
        <w:rPr>
          <w:rFonts w:eastAsia="Arial" w:cs="Arial"/>
        </w:rPr>
        <w:t xml:space="preserve">must complete the training modules designated below. </w:t>
      </w:r>
      <w:r w:rsidR="000E26AA" w:rsidRPr="00720B94">
        <w:rPr>
          <w:rFonts w:eastAsia="Arial" w:cs="Arial"/>
        </w:rPr>
        <w:t xml:space="preserve">The minimum passing aggregate score for quizzes is 80%, which is automatically tracked by CITI. </w:t>
      </w:r>
      <w:r w:rsidR="00CD1576" w:rsidRPr="00720B94">
        <w:rPr>
          <w:rFonts w:eastAsia="Arial" w:cs="Arial"/>
        </w:rPr>
        <w:t>CITI t</w:t>
      </w:r>
      <w:r w:rsidR="00513444" w:rsidRPr="00720B94">
        <w:rPr>
          <w:rFonts w:eastAsia="Arial" w:cs="Arial"/>
        </w:rPr>
        <w:t xml:space="preserve">raining </w:t>
      </w:r>
      <w:r w:rsidR="00D73A40" w:rsidRPr="00720B94">
        <w:rPr>
          <w:rFonts w:eastAsia="Arial" w:cs="Arial"/>
        </w:rPr>
        <w:t xml:space="preserve">completion </w:t>
      </w:r>
      <w:r w:rsidR="00513444" w:rsidRPr="00720B94">
        <w:rPr>
          <w:rFonts w:eastAsia="Arial" w:cs="Arial"/>
        </w:rPr>
        <w:t>certificat</w:t>
      </w:r>
      <w:r w:rsidR="00CD1576" w:rsidRPr="00720B94">
        <w:rPr>
          <w:rFonts w:eastAsia="Arial" w:cs="Arial"/>
        </w:rPr>
        <w:t>es</w:t>
      </w:r>
      <w:r w:rsidR="00513444" w:rsidRPr="00720B94">
        <w:rPr>
          <w:rFonts w:eastAsia="Arial" w:cs="Arial"/>
        </w:rPr>
        <w:t xml:space="preserve"> must be attached to the Biosafety Protocol </w:t>
      </w:r>
      <w:r w:rsidR="002866EB" w:rsidRPr="00720B94">
        <w:rPr>
          <w:rFonts w:eastAsia="Arial" w:cs="Arial"/>
        </w:rPr>
        <w:t xml:space="preserve">Application </w:t>
      </w:r>
      <w:r w:rsidR="00513444" w:rsidRPr="00720B94">
        <w:rPr>
          <w:rFonts w:eastAsia="Arial" w:cs="Arial"/>
        </w:rPr>
        <w:t xml:space="preserve">for all personnel listed in the protocol. </w:t>
      </w:r>
      <w:r w:rsidR="005C7672" w:rsidRPr="00720B94">
        <w:rPr>
          <w:rFonts w:eastAsia="Arial" w:cs="Arial"/>
        </w:rPr>
        <w:t>Basic t</w:t>
      </w:r>
      <w:r w:rsidR="004D3C52" w:rsidRPr="00720B94">
        <w:rPr>
          <w:rFonts w:eastAsia="Arial" w:cs="Arial"/>
        </w:rPr>
        <w:t xml:space="preserve">raining requirements </w:t>
      </w:r>
      <w:r w:rsidR="00F57243" w:rsidRPr="00720B94">
        <w:rPr>
          <w:rFonts w:eastAsia="Arial" w:cs="Arial"/>
        </w:rPr>
        <w:t xml:space="preserve">are </w:t>
      </w:r>
      <w:r w:rsidR="007D0673" w:rsidRPr="00720B94">
        <w:rPr>
          <w:rFonts w:eastAsia="Arial" w:cs="Arial"/>
        </w:rPr>
        <w:t>outlined in the table below</w:t>
      </w:r>
      <w:r w:rsidR="00F57243" w:rsidRPr="00720B94">
        <w:rPr>
          <w:rFonts w:eastAsia="Arial" w:cs="Arial"/>
        </w:rPr>
        <w:t>.</w:t>
      </w:r>
    </w:p>
    <w:p w14:paraId="7FC30711" w14:textId="6B274F04" w:rsidR="00887F04" w:rsidRPr="00720B94" w:rsidRDefault="00C33ABD" w:rsidP="00720B94">
      <w:pPr>
        <w:rPr>
          <w:rFonts w:eastAsia="Arial" w:cs="Arial"/>
          <w:b/>
          <w:bCs/>
        </w:rPr>
      </w:pPr>
      <w:r w:rsidRPr="00720B94">
        <w:rPr>
          <w:rFonts w:eastAsia="Arial" w:cs="Arial"/>
          <w:b/>
          <w:bCs/>
        </w:rPr>
        <w:t>Basic IBC Training Requirements</w:t>
      </w:r>
    </w:p>
    <w:tbl>
      <w:tblPr>
        <w:tblStyle w:val="TableGrid"/>
        <w:tblW w:w="9355" w:type="dxa"/>
        <w:tblLayout w:type="fixed"/>
        <w:tblLook w:val="04A0" w:firstRow="1" w:lastRow="0" w:firstColumn="1" w:lastColumn="0" w:noHBand="0" w:noVBand="1"/>
      </w:tblPr>
      <w:tblGrid>
        <w:gridCol w:w="5755"/>
        <w:gridCol w:w="1800"/>
        <w:gridCol w:w="1800"/>
      </w:tblGrid>
      <w:tr w:rsidR="00E040BB" w:rsidRPr="00720B94" w14:paraId="39A1C4A3" w14:textId="77777777" w:rsidTr="007F2527">
        <w:tc>
          <w:tcPr>
            <w:tcW w:w="5755" w:type="dxa"/>
            <w:vAlign w:val="bottom"/>
          </w:tcPr>
          <w:p w14:paraId="4AC071D7" w14:textId="6D84E145" w:rsidR="00E040BB" w:rsidRPr="00720B94" w:rsidRDefault="00E040BB" w:rsidP="00720B94">
            <w:pPr>
              <w:jc w:val="center"/>
              <w:rPr>
                <w:rFonts w:eastAsia="Arial" w:cs="Arial"/>
                <w:b/>
                <w:bCs/>
                <w:sz w:val="20"/>
                <w:szCs w:val="20"/>
              </w:rPr>
            </w:pPr>
            <w:r w:rsidRPr="00720B94">
              <w:rPr>
                <w:rFonts w:eastAsia="Arial" w:cs="Arial"/>
                <w:b/>
                <w:bCs/>
                <w:sz w:val="20"/>
                <w:szCs w:val="20"/>
              </w:rPr>
              <w:t>Course</w:t>
            </w:r>
          </w:p>
        </w:tc>
        <w:tc>
          <w:tcPr>
            <w:tcW w:w="1800" w:type="dxa"/>
            <w:vAlign w:val="bottom"/>
          </w:tcPr>
          <w:p w14:paraId="53DC3353" w14:textId="471F6B77" w:rsidR="00E040BB" w:rsidRPr="00720B94" w:rsidRDefault="007F2527" w:rsidP="00720B94">
            <w:pPr>
              <w:jc w:val="center"/>
              <w:rPr>
                <w:rFonts w:eastAsia="Arial" w:cs="Arial"/>
                <w:b/>
                <w:bCs/>
                <w:sz w:val="20"/>
                <w:szCs w:val="20"/>
              </w:rPr>
            </w:pPr>
            <w:r w:rsidRPr="00720B94">
              <w:rPr>
                <w:rFonts w:eastAsia="Arial" w:cs="Arial"/>
                <w:b/>
                <w:bCs/>
                <w:sz w:val="20"/>
                <w:szCs w:val="20"/>
              </w:rPr>
              <w:t>Faculty &amp; Staff</w:t>
            </w:r>
          </w:p>
        </w:tc>
        <w:tc>
          <w:tcPr>
            <w:tcW w:w="1800" w:type="dxa"/>
            <w:vAlign w:val="bottom"/>
          </w:tcPr>
          <w:p w14:paraId="41A9D869" w14:textId="03F95F5C" w:rsidR="00E040BB" w:rsidRPr="00720B94" w:rsidRDefault="00E040BB" w:rsidP="00720B94">
            <w:pPr>
              <w:jc w:val="center"/>
              <w:rPr>
                <w:rFonts w:eastAsia="Arial" w:cs="Arial"/>
                <w:b/>
                <w:bCs/>
                <w:sz w:val="20"/>
                <w:szCs w:val="20"/>
              </w:rPr>
            </w:pPr>
            <w:r w:rsidRPr="00720B94">
              <w:rPr>
                <w:rFonts w:eastAsia="Arial" w:cs="Arial"/>
                <w:b/>
                <w:bCs/>
                <w:sz w:val="20"/>
                <w:szCs w:val="20"/>
              </w:rPr>
              <w:t>Students</w:t>
            </w:r>
          </w:p>
        </w:tc>
      </w:tr>
      <w:tr w:rsidR="00E040BB" w:rsidRPr="00720B94" w14:paraId="378A43C4" w14:textId="77777777" w:rsidTr="007F2527">
        <w:tc>
          <w:tcPr>
            <w:tcW w:w="5755" w:type="dxa"/>
          </w:tcPr>
          <w:p w14:paraId="0E016999" w14:textId="4F0B1DC1" w:rsidR="00E040BB" w:rsidRPr="00720B94" w:rsidRDefault="00E040BB" w:rsidP="00720B94">
            <w:pPr>
              <w:rPr>
                <w:rFonts w:eastAsia="Arial" w:cs="Arial"/>
                <w:sz w:val="20"/>
                <w:szCs w:val="20"/>
              </w:rPr>
            </w:pPr>
            <w:r w:rsidRPr="00720B94">
              <w:rPr>
                <w:rFonts w:eastAsia="Arial" w:cs="Arial"/>
                <w:sz w:val="20"/>
                <w:szCs w:val="20"/>
              </w:rPr>
              <w:t>Biosafety Course Overview (13314)</w:t>
            </w:r>
          </w:p>
        </w:tc>
        <w:tc>
          <w:tcPr>
            <w:tcW w:w="1800" w:type="dxa"/>
          </w:tcPr>
          <w:p w14:paraId="673CD7E3" w14:textId="27EA8FB2" w:rsidR="00E040BB" w:rsidRPr="00720B94" w:rsidRDefault="00E040BB" w:rsidP="00720B94">
            <w:pPr>
              <w:jc w:val="center"/>
              <w:rPr>
                <w:rFonts w:eastAsia="Arial" w:cs="Arial"/>
                <w:sz w:val="20"/>
                <w:szCs w:val="20"/>
              </w:rPr>
            </w:pPr>
            <w:r w:rsidRPr="00720B94">
              <w:rPr>
                <w:rFonts w:eastAsia="Arial" w:cs="Arial"/>
                <w:sz w:val="20"/>
                <w:szCs w:val="20"/>
              </w:rPr>
              <w:t>Required</w:t>
            </w:r>
          </w:p>
        </w:tc>
        <w:tc>
          <w:tcPr>
            <w:tcW w:w="1800" w:type="dxa"/>
          </w:tcPr>
          <w:p w14:paraId="24332058" w14:textId="274EB7EC" w:rsidR="00E040BB" w:rsidRPr="00720B94" w:rsidRDefault="00E040BB" w:rsidP="00720B94">
            <w:pPr>
              <w:jc w:val="center"/>
              <w:rPr>
                <w:rFonts w:eastAsia="Arial" w:cs="Arial"/>
                <w:sz w:val="20"/>
                <w:szCs w:val="20"/>
              </w:rPr>
            </w:pPr>
            <w:r w:rsidRPr="00720B94">
              <w:rPr>
                <w:rFonts w:eastAsia="Arial" w:cs="Arial"/>
                <w:sz w:val="20"/>
                <w:szCs w:val="20"/>
              </w:rPr>
              <w:t>Required</w:t>
            </w:r>
          </w:p>
        </w:tc>
      </w:tr>
      <w:tr w:rsidR="00E040BB" w:rsidRPr="00720B94" w14:paraId="28358374" w14:textId="77777777" w:rsidTr="007F2527">
        <w:tc>
          <w:tcPr>
            <w:tcW w:w="5755" w:type="dxa"/>
          </w:tcPr>
          <w:p w14:paraId="4E5688A0" w14:textId="5A90FA49" w:rsidR="00E040BB" w:rsidRPr="00720B94" w:rsidRDefault="00E040BB" w:rsidP="00720B94">
            <w:pPr>
              <w:rPr>
                <w:rFonts w:eastAsia="Arial" w:cs="Arial"/>
                <w:sz w:val="20"/>
                <w:szCs w:val="20"/>
              </w:rPr>
            </w:pPr>
            <w:r w:rsidRPr="00720B94">
              <w:rPr>
                <w:rFonts w:eastAsia="Arial" w:cs="Arial"/>
                <w:sz w:val="20"/>
                <w:szCs w:val="20"/>
              </w:rPr>
              <w:t>Laboratory-Acquired Infections (13454)</w:t>
            </w:r>
          </w:p>
        </w:tc>
        <w:tc>
          <w:tcPr>
            <w:tcW w:w="1800" w:type="dxa"/>
          </w:tcPr>
          <w:p w14:paraId="68C43478" w14:textId="02CA1372" w:rsidR="00E040BB" w:rsidRPr="00720B94" w:rsidRDefault="00E040BB" w:rsidP="00720B94">
            <w:pPr>
              <w:jc w:val="center"/>
              <w:rPr>
                <w:rFonts w:eastAsia="Arial" w:cs="Arial"/>
                <w:sz w:val="20"/>
                <w:szCs w:val="20"/>
              </w:rPr>
            </w:pPr>
            <w:r w:rsidRPr="00720B94">
              <w:rPr>
                <w:rFonts w:eastAsia="Arial" w:cs="Arial"/>
                <w:sz w:val="20"/>
                <w:szCs w:val="20"/>
              </w:rPr>
              <w:t>Required</w:t>
            </w:r>
          </w:p>
        </w:tc>
        <w:tc>
          <w:tcPr>
            <w:tcW w:w="1800" w:type="dxa"/>
          </w:tcPr>
          <w:p w14:paraId="4A1DD156" w14:textId="7647C045" w:rsidR="00E040BB" w:rsidRPr="00720B94" w:rsidRDefault="00E040BB" w:rsidP="00720B94">
            <w:pPr>
              <w:jc w:val="center"/>
              <w:rPr>
                <w:rFonts w:eastAsia="Arial" w:cs="Arial"/>
                <w:sz w:val="20"/>
                <w:szCs w:val="20"/>
              </w:rPr>
            </w:pPr>
            <w:r w:rsidRPr="00720B94">
              <w:rPr>
                <w:rFonts w:eastAsia="Arial" w:cs="Arial"/>
                <w:sz w:val="20"/>
                <w:szCs w:val="20"/>
              </w:rPr>
              <w:t>Required</w:t>
            </w:r>
          </w:p>
        </w:tc>
      </w:tr>
      <w:tr w:rsidR="00E040BB" w:rsidRPr="00720B94" w14:paraId="75A49387" w14:textId="77777777" w:rsidTr="007F2527">
        <w:tc>
          <w:tcPr>
            <w:tcW w:w="5755" w:type="dxa"/>
          </w:tcPr>
          <w:p w14:paraId="2800BA08" w14:textId="77FCDED5" w:rsidR="00E040BB" w:rsidRPr="00720B94" w:rsidRDefault="00E040BB" w:rsidP="00720B94">
            <w:pPr>
              <w:rPr>
                <w:rFonts w:eastAsia="Arial" w:cs="Arial"/>
                <w:sz w:val="20"/>
                <w:szCs w:val="20"/>
              </w:rPr>
            </w:pPr>
            <w:r w:rsidRPr="00720B94">
              <w:rPr>
                <w:rFonts w:eastAsia="Arial" w:cs="Arial"/>
                <w:sz w:val="20"/>
                <w:szCs w:val="20"/>
              </w:rPr>
              <w:t>Biohazard Risk Assessment (13455)</w:t>
            </w:r>
          </w:p>
        </w:tc>
        <w:tc>
          <w:tcPr>
            <w:tcW w:w="1800" w:type="dxa"/>
          </w:tcPr>
          <w:p w14:paraId="3EED83EC" w14:textId="1D589B83" w:rsidR="00E040BB" w:rsidRPr="00720B94" w:rsidRDefault="00E040BB" w:rsidP="00720B94">
            <w:pPr>
              <w:jc w:val="center"/>
              <w:rPr>
                <w:rFonts w:eastAsia="Arial" w:cs="Arial"/>
                <w:sz w:val="20"/>
                <w:szCs w:val="20"/>
              </w:rPr>
            </w:pPr>
            <w:r w:rsidRPr="00720B94">
              <w:rPr>
                <w:rFonts w:eastAsia="Arial" w:cs="Arial"/>
                <w:sz w:val="20"/>
                <w:szCs w:val="20"/>
              </w:rPr>
              <w:t>Required</w:t>
            </w:r>
          </w:p>
        </w:tc>
        <w:tc>
          <w:tcPr>
            <w:tcW w:w="1800" w:type="dxa"/>
          </w:tcPr>
          <w:p w14:paraId="38EAC55C" w14:textId="28B08AC5" w:rsidR="00E040BB" w:rsidRPr="00720B94" w:rsidRDefault="00E040BB" w:rsidP="00720B94">
            <w:pPr>
              <w:jc w:val="center"/>
              <w:rPr>
                <w:rFonts w:eastAsia="Arial" w:cs="Arial"/>
                <w:sz w:val="20"/>
                <w:szCs w:val="20"/>
              </w:rPr>
            </w:pPr>
            <w:r w:rsidRPr="00720B94">
              <w:rPr>
                <w:rFonts w:eastAsia="Arial" w:cs="Arial"/>
                <w:sz w:val="20"/>
                <w:szCs w:val="20"/>
              </w:rPr>
              <w:t>Optional</w:t>
            </w:r>
          </w:p>
        </w:tc>
      </w:tr>
      <w:tr w:rsidR="00E040BB" w:rsidRPr="00720B94" w14:paraId="0EEF0FC3" w14:textId="77777777" w:rsidTr="007F2527">
        <w:tc>
          <w:tcPr>
            <w:tcW w:w="5755" w:type="dxa"/>
          </w:tcPr>
          <w:p w14:paraId="45BC9F53" w14:textId="17395B23" w:rsidR="00E040BB" w:rsidRPr="00720B94" w:rsidRDefault="00E040BB" w:rsidP="00720B94">
            <w:pPr>
              <w:rPr>
                <w:rFonts w:eastAsia="Arial" w:cs="Arial"/>
                <w:sz w:val="20"/>
                <w:szCs w:val="20"/>
              </w:rPr>
            </w:pPr>
            <w:r w:rsidRPr="00720B94">
              <w:rPr>
                <w:rFonts w:eastAsia="Arial" w:cs="Arial"/>
                <w:sz w:val="20"/>
                <w:szCs w:val="20"/>
              </w:rPr>
              <w:t>Medical Surveillance (13456)</w:t>
            </w:r>
          </w:p>
        </w:tc>
        <w:tc>
          <w:tcPr>
            <w:tcW w:w="1800" w:type="dxa"/>
          </w:tcPr>
          <w:p w14:paraId="7039019A" w14:textId="6B52B2AD" w:rsidR="00E040BB" w:rsidRPr="00720B94" w:rsidRDefault="00E040BB" w:rsidP="00720B94">
            <w:pPr>
              <w:jc w:val="center"/>
              <w:rPr>
                <w:rFonts w:eastAsia="Arial" w:cs="Arial"/>
                <w:sz w:val="20"/>
                <w:szCs w:val="20"/>
              </w:rPr>
            </w:pPr>
            <w:r w:rsidRPr="00720B94">
              <w:rPr>
                <w:rFonts w:eastAsia="Arial" w:cs="Arial"/>
                <w:sz w:val="20"/>
                <w:szCs w:val="20"/>
              </w:rPr>
              <w:t>Required</w:t>
            </w:r>
          </w:p>
        </w:tc>
        <w:tc>
          <w:tcPr>
            <w:tcW w:w="1800" w:type="dxa"/>
          </w:tcPr>
          <w:p w14:paraId="55FF519A" w14:textId="7B1AAAE5" w:rsidR="00E040BB" w:rsidRPr="00720B94" w:rsidRDefault="00E040BB" w:rsidP="00720B94">
            <w:pPr>
              <w:jc w:val="center"/>
              <w:rPr>
                <w:rFonts w:eastAsia="Arial" w:cs="Arial"/>
                <w:sz w:val="20"/>
                <w:szCs w:val="20"/>
              </w:rPr>
            </w:pPr>
            <w:r w:rsidRPr="00720B94">
              <w:rPr>
                <w:rFonts w:eastAsia="Arial" w:cs="Arial"/>
                <w:sz w:val="20"/>
                <w:szCs w:val="20"/>
              </w:rPr>
              <w:t>Optional</w:t>
            </w:r>
          </w:p>
        </w:tc>
      </w:tr>
      <w:tr w:rsidR="00E040BB" w:rsidRPr="00720B94" w14:paraId="3E6BABAE" w14:textId="77777777" w:rsidTr="007F2527">
        <w:tc>
          <w:tcPr>
            <w:tcW w:w="5755" w:type="dxa"/>
          </w:tcPr>
          <w:p w14:paraId="043C6AC9" w14:textId="2A0AD600" w:rsidR="00E040BB" w:rsidRPr="00720B94" w:rsidRDefault="00E040BB" w:rsidP="00720B94">
            <w:pPr>
              <w:rPr>
                <w:rFonts w:eastAsia="Arial" w:cs="Arial"/>
                <w:sz w:val="20"/>
                <w:szCs w:val="20"/>
              </w:rPr>
            </w:pPr>
            <w:r w:rsidRPr="00720B94">
              <w:rPr>
                <w:rFonts w:eastAsia="Arial" w:cs="Arial"/>
                <w:sz w:val="20"/>
                <w:szCs w:val="20"/>
              </w:rPr>
              <w:t>Risk Management: Work Practices (13898)</w:t>
            </w:r>
          </w:p>
        </w:tc>
        <w:tc>
          <w:tcPr>
            <w:tcW w:w="1800" w:type="dxa"/>
          </w:tcPr>
          <w:p w14:paraId="1CD94450" w14:textId="485BEB54" w:rsidR="00E040BB" w:rsidRPr="00720B94" w:rsidRDefault="00E040BB" w:rsidP="00720B94">
            <w:pPr>
              <w:jc w:val="center"/>
              <w:rPr>
                <w:rFonts w:eastAsia="Arial" w:cs="Arial"/>
                <w:sz w:val="20"/>
                <w:szCs w:val="20"/>
              </w:rPr>
            </w:pPr>
            <w:r w:rsidRPr="00720B94">
              <w:rPr>
                <w:rFonts w:eastAsia="Arial" w:cs="Arial"/>
                <w:sz w:val="20"/>
                <w:szCs w:val="20"/>
              </w:rPr>
              <w:t>Required</w:t>
            </w:r>
          </w:p>
        </w:tc>
        <w:tc>
          <w:tcPr>
            <w:tcW w:w="1800" w:type="dxa"/>
          </w:tcPr>
          <w:p w14:paraId="561E79BE" w14:textId="012C8430" w:rsidR="00E040BB" w:rsidRPr="00720B94" w:rsidRDefault="00E040BB" w:rsidP="00720B94">
            <w:pPr>
              <w:jc w:val="center"/>
              <w:rPr>
                <w:rFonts w:eastAsia="Arial" w:cs="Arial"/>
                <w:sz w:val="20"/>
                <w:szCs w:val="20"/>
              </w:rPr>
            </w:pPr>
            <w:r w:rsidRPr="00720B94">
              <w:rPr>
                <w:rFonts w:eastAsia="Arial" w:cs="Arial"/>
                <w:sz w:val="20"/>
                <w:szCs w:val="20"/>
              </w:rPr>
              <w:t>Required</w:t>
            </w:r>
          </w:p>
        </w:tc>
      </w:tr>
      <w:tr w:rsidR="00E040BB" w:rsidRPr="00720B94" w14:paraId="54311E0E" w14:textId="77777777" w:rsidTr="007F2527">
        <w:tc>
          <w:tcPr>
            <w:tcW w:w="5755" w:type="dxa"/>
          </w:tcPr>
          <w:p w14:paraId="43A5FECA" w14:textId="719937DF" w:rsidR="00E040BB" w:rsidRPr="00720B94" w:rsidRDefault="00E040BB" w:rsidP="00720B94">
            <w:pPr>
              <w:rPr>
                <w:rFonts w:eastAsia="Arial" w:cs="Arial"/>
                <w:sz w:val="20"/>
                <w:szCs w:val="20"/>
              </w:rPr>
            </w:pPr>
            <w:r w:rsidRPr="00720B94">
              <w:rPr>
                <w:rFonts w:eastAsia="Arial" w:cs="Arial"/>
                <w:sz w:val="20"/>
                <w:szCs w:val="20"/>
              </w:rPr>
              <w:t>Risk Management: Personal Protective Equipment (13458)</w:t>
            </w:r>
          </w:p>
        </w:tc>
        <w:tc>
          <w:tcPr>
            <w:tcW w:w="1800" w:type="dxa"/>
          </w:tcPr>
          <w:p w14:paraId="522C62C0" w14:textId="095FCD1C" w:rsidR="00E040BB" w:rsidRPr="00720B94" w:rsidRDefault="00E040BB" w:rsidP="00720B94">
            <w:pPr>
              <w:jc w:val="center"/>
              <w:rPr>
                <w:rFonts w:eastAsia="Arial" w:cs="Arial"/>
                <w:sz w:val="20"/>
                <w:szCs w:val="20"/>
              </w:rPr>
            </w:pPr>
            <w:r w:rsidRPr="00720B94">
              <w:rPr>
                <w:rFonts w:eastAsia="Arial" w:cs="Arial"/>
                <w:sz w:val="20"/>
                <w:szCs w:val="20"/>
              </w:rPr>
              <w:t>Required</w:t>
            </w:r>
          </w:p>
        </w:tc>
        <w:tc>
          <w:tcPr>
            <w:tcW w:w="1800" w:type="dxa"/>
          </w:tcPr>
          <w:p w14:paraId="0BD531A6" w14:textId="3DDD6048" w:rsidR="00E040BB" w:rsidRPr="00720B94" w:rsidRDefault="00E040BB" w:rsidP="00720B94">
            <w:pPr>
              <w:jc w:val="center"/>
              <w:rPr>
                <w:rFonts w:eastAsia="Arial" w:cs="Arial"/>
                <w:sz w:val="20"/>
                <w:szCs w:val="20"/>
              </w:rPr>
            </w:pPr>
            <w:r w:rsidRPr="00720B94">
              <w:rPr>
                <w:rFonts w:eastAsia="Arial" w:cs="Arial"/>
                <w:sz w:val="20"/>
                <w:szCs w:val="20"/>
              </w:rPr>
              <w:t>Required</w:t>
            </w:r>
          </w:p>
        </w:tc>
      </w:tr>
      <w:tr w:rsidR="00E040BB" w:rsidRPr="00720B94" w14:paraId="3EA36801" w14:textId="77777777" w:rsidTr="007F2527">
        <w:tc>
          <w:tcPr>
            <w:tcW w:w="5755" w:type="dxa"/>
          </w:tcPr>
          <w:p w14:paraId="0788D41E" w14:textId="157448C2" w:rsidR="00E040BB" w:rsidRPr="00720B94" w:rsidRDefault="00E040BB" w:rsidP="00720B94">
            <w:pPr>
              <w:rPr>
                <w:rFonts w:eastAsia="Arial" w:cs="Arial"/>
                <w:sz w:val="20"/>
                <w:szCs w:val="20"/>
              </w:rPr>
            </w:pPr>
            <w:r w:rsidRPr="00720B94">
              <w:rPr>
                <w:rFonts w:eastAsia="Arial" w:cs="Arial"/>
                <w:sz w:val="20"/>
                <w:szCs w:val="20"/>
              </w:rPr>
              <w:t>Risk Management: Emergency and Spill Response (13459)</w:t>
            </w:r>
          </w:p>
        </w:tc>
        <w:tc>
          <w:tcPr>
            <w:tcW w:w="1800" w:type="dxa"/>
          </w:tcPr>
          <w:p w14:paraId="273E4224" w14:textId="3B4C6B9C" w:rsidR="00E040BB" w:rsidRPr="00720B94" w:rsidRDefault="00E040BB" w:rsidP="00720B94">
            <w:pPr>
              <w:jc w:val="center"/>
              <w:rPr>
                <w:rFonts w:eastAsia="Arial" w:cs="Arial"/>
                <w:sz w:val="20"/>
                <w:szCs w:val="20"/>
              </w:rPr>
            </w:pPr>
            <w:r w:rsidRPr="00720B94">
              <w:rPr>
                <w:rFonts w:eastAsia="Arial" w:cs="Arial"/>
                <w:sz w:val="20"/>
                <w:szCs w:val="20"/>
              </w:rPr>
              <w:t>Required</w:t>
            </w:r>
          </w:p>
        </w:tc>
        <w:tc>
          <w:tcPr>
            <w:tcW w:w="1800" w:type="dxa"/>
          </w:tcPr>
          <w:p w14:paraId="1A7C1E3F" w14:textId="17F3417C" w:rsidR="00E040BB" w:rsidRPr="00720B94" w:rsidRDefault="00E040BB" w:rsidP="00720B94">
            <w:pPr>
              <w:jc w:val="center"/>
              <w:rPr>
                <w:rFonts w:eastAsia="Arial" w:cs="Arial"/>
                <w:sz w:val="20"/>
                <w:szCs w:val="20"/>
              </w:rPr>
            </w:pPr>
            <w:r w:rsidRPr="00720B94">
              <w:rPr>
                <w:rFonts w:eastAsia="Arial" w:cs="Arial"/>
                <w:sz w:val="20"/>
                <w:szCs w:val="20"/>
              </w:rPr>
              <w:t>Required</w:t>
            </w:r>
          </w:p>
        </w:tc>
      </w:tr>
      <w:tr w:rsidR="00E040BB" w:rsidRPr="00720B94" w14:paraId="7D8246BD" w14:textId="77777777" w:rsidTr="007F2527">
        <w:tc>
          <w:tcPr>
            <w:tcW w:w="5755" w:type="dxa"/>
          </w:tcPr>
          <w:p w14:paraId="06F500A3" w14:textId="5F1BEA34" w:rsidR="00E040BB" w:rsidRPr="00720B94" w:rsidRDefault="00E040BB" w:rsidP="00720B94">
            <w:pPr>
              <w:rPr>
                <w:rFonts w:eastAsia="Arial" w:cs="Arial"/>
                <w:sz w:val="20"/>
                <w:szCs w:val="20"/>
              </w:rPr>
            </w:pPr>
            <w:r w:rsidRPr="00720B94">
              <w:rPr>
                <w:rFonts w:eastAsia="Arial" w:cs="Arial"/>
                <w:sz w:val="20"/>
                <w:szCs w:val="20"/>
              </w:rPr>
              <w:t>Risk Management: Engineering Controls (13929)</w:t>
            </w:r>
          </w:p>
        </w:tc>
        <w:tc>
          <w:tcPr>
            <w:tcW w:w="1800" w:type="dxa"/>
          </w:tcPr>
          <w:p w14:paraId="00262EC8" w14:textId="7DC9219A" w:rsidR="00E040BB" w:rsidRPr="00720B94" w:rsidRDefault="00E040BB" w:rsidP="00720B94">
            <w:pPr>
              <w:jc w:val="center"/>
              <w:rPr>
                <w:rFonts w:eastAsia="Arial" w:cs="Arial"/>
                <w:sz w:val="20"/>
                <w:szCs w:val="20"/>
              </w:rPr>
            </w:pPr>
            <w:r w:rsidRPr="00720B94">
              <w:rPr>
                <w:rFonts w:eastAsia="Arial" w:cs="Arial"/>
                <w:sz w:val="20"/>
                <w:szCs w:val="20"/>
              </w:rPr>
              <w:t>Required</w:t>
            </w:r>
          </w:p>
        </w:tc>
        <w:tc>
          <w:tcPr>
            <w:tcW w:w="1800" w:type="dxa"/>
          </w:tcPr>
          <w:p w14:paraId="53DD5FA9" w14:textId="160D667D" w:rsidR="00E040BB" w:rsidRPr="00720B94" w:rsidRDefault="00E040BB" w:rsidP="00720B94">
            <w:pPr>
              <w:jc w:val="center"/>
              <w:rPr>
                <w:rFonts w:eastAsia="Arial" w:cs="Arial"/>
                <w:sz w:val="20"/>
                <w:szCs w:val="20"/>
              </w:rPr>
            </w:pPr>
            <w:r w:rsidRPr="00720B94">
              <w:rPr>
                <w:rFonts w:eastAsia="Arial" w:cs="Arial"/>
                <w:sz w:val="20"/>
                <w:szCs w:val="20"/>
              </w:rPr>
              <w:t>Optional</w:t>
            </w:r>
          </w:p>
        </w:tc>
      </w:tr>
      <w:tr w:rsidR="00E040BB" w:rsidRPr="00720B94" w14:paraId="12CF6573" w14:textId="77777777" w:rsidTr="007F2527">
        <w:tc>
          <w:tcPr>
            <w:tcW w:w="5755" w:type="dxa"/>
          </w:tcPr>
          <w:p w14:paraId="27B17863" w14:textId="6A3438D4" w:rsidR="00E040BB" w:rsidRPr="00720B94" w:rsidRDefault="00E040BB" w:rsidP="00720B94">
            <w:pPr>
              <w:rPr>
                <w:rFonts w:eastAsia="Arial" w:cs="Arial"/>
                <w:sz w:val="20"/>
                <w:szCs w:val="20"/>
              </w:rPr>
            </w:pPr>
            <w:r w:rsidRPr="00720B94">
              <w:rPr>
                <w:rFonts w:eastAsia="Arial" w:cs="Arial"/>
                <w:sz w:val="20"/>
                <w:szCs w:val="20"/>
              </w:rPr>
              <w:t>Work Safely with Sharp Instruments (13899)</w:t>
            </w:r>
          </w:p>
        </w:tc>
        <w:tc>
          <w:tcPr>
            <w:tcW w:w="1800" w:type="dxa"/>
          </w:tcPr>
          <w:p w14:paraId="5E6438E4" w14:textId="680EE01A" w:rsidR="00E040BB" w:rsidRPr="00720B94" w:rsidRDefault="00E040BB" w:rsidP="00720B94">
            <w:pPr>
              <w:jc w:val="center"/>
              <w:rPr>
                <w:rFonts w:eastAsia="Arial" w:cs="Arial"/>
                <w:sz w:val="20"/>
                <w:szCs w:val="20"/>
              </w:rPr>
            </w:pPr>
            <w:r w:rsidRPr="00720B94">
              <w:rPr>
                <w:rFonts w:eastAsia="Arial" w:cs="Arial"/>
                <w:sz w:val="20"/>
                <w:szCs w:val="20"/>
              </w:rPr>
              <w:t>Required</w:t>
            </w:r>
          </w:p>
        </w:tc>
        <w:tc>
          <w:tcPr>
            <w:tcW w:w="1800" w:type="dxa"/>
          </w:tcPr>
          <w:p w14:paraId="45E7753E" w14:textId="1B9B17C1" w:rsidR="00E040BB" w:rsidRPr="00720B94" w:rsidRDefault="00E040BB" w:rsidP="00720B94">
            <w:pPr>
              <w:jc w:val="center"/>
              <w:rPr>
                <w:rFonts w:eastAsia="Arial" w:cs="Arial"/>
                <w:sz w:val="20"/>
                <w:szCs w:val="20"/>
              </w:rPr>
            </w:pPr>
            <w:r w:rsidRPr="00720B94">
              <w:rPr>
                <w:rFonts w:eastAsia="Arial" w:cs="Arial"/>
                <w:sz w:val="20"/>
                <w:szCs w:val="20"/>
              </w:rPr>
              <w:t>Required</w:t>
            </w:r>
          </w:p>
        </w:tc>
      </w:tr>
      <w:tr w:rsidR="00E040BB" w:rsidRPr="00720B94" w14:paraId="73B63207" w14:textId="77777777" w:rsidTr="007F2527">
        <w:tc>
          <w:tcPr>
            <w:tcW w:w="5755" w:type="dxa"/>
          </w:tcPr>
          <w:p w14:paraId="781C6D88" w14:textId="72821A2F" w:rsidR="00E040BB" w:rsidRPr="00720B94" w:rsidRDefault="00E040BB" w:rsidP="00720B94">
            <w:pPr>
              <w:rPr>
                <w:rFonts w:eastAsia="Arial" w:cs="Arial"/>
                <w:sz w:val="20"/>
                <w:szCs w:val="20"/>
              </w:rPr>
            </w:pPr>
            <w:r w:rsidRPr="00720B94">
              <w:rPr>
                <w:rFonts w:eastAsia="Arial" w:cs="Arial"/>
                <w:sz w:val="20"/>
                <w:szCs w:val="20"/>
              </w:rPr>
              <w:t>Disinfection and Sterilization (13900)</w:t>
            </w:r>
          </w:p>
        </w:tc>
        <w:tc>
          <w:tcPr>
            <w:tcW w:w="1800" w:type="dxa"/>
          </w:tcPr>
          <w:p w14:paraId="75A2EB6F" w14:textId="10F1F46C" w:rsidR="00E040BB" w:rsidRPr="00720B94" w:rsidRDefault="00E040BB" w:rsidP="00720B94">
            <w:pPr>
              <w:jc w:val="center"/>
              <w:rPr>
                <w:rFonts w:eastAsia="Arial" w:cs="Arial"/>
                <w:sz w:val="20"/>
                <w:szCs w:val="20"/>
              </w:rPr>
            </w:pPr>
            <w:r w:rsidRPr="00720B94">
              <w:rPr>
                <w:rFonts w:eastAsia="Arial" w:cs="Arial"/>
                <w:sz w:val="20"/>
                <w:szCs w:val="20"/>
              </w:rPr>
              <w:t>Required</w:t>
            </w:r>
          </w:p>
        </w:tc>
        <w:tc>
          <w:tcPr>
            <w:tcW w:w="1800" w:type="dxa"/>
          </w:tcPr>
          <w:p w14:paraId="062EEEA6" w14:textId="45993CB1" w:rsidR="00E040BB" w:rsidRPr="00720B94" w:rsidRDefault="00E040BB" w:rsidP="00720B94">
            <w:pPr>
              <w:jc w:val="center"/>
              <w:rPr>
                <w:rFonts w:eastAsia="Arial" w:cs="Arial"/>
                <w:sz w:val="20"/>
                <w:szCs w:val="20"/>
              </w:rPr>
            </w:pPr>
            <w:r w:rsidRPr="00720B94">
              <w:rPr>
                <w:rFonts w:eastAsia="Arial" w:cs="Arial"/>
                <w:sz w:val="20"/>
                <w:szCs w:val="20"/>
              </w:rPr>
              <w:t>Required</w:t>
            </w:r>
          </w:p>
        </w:tc>
      </w:tr>
      <w:tr w:rsidR="00E040BB" w:rsidRPr="00720B94" w14:paraId="4E5A2C05" w14:textId="77777777" w:rsidTr="007F2527">
        <w:tc>
          <w:tcPr>
            <w:tcW w:w="5755" w:type="dxa"/>
          </w:tcPr>
          <w:p w14:paraId="0496B519" w14:textId="0C7747DA" w:rsidR="00E040BB" w:rsidRPr="00720B94" w:rsidRDefault="00E040BB" w:rsidP="00720B94">
            <w:pPr>
              <w:rPr>
                <w:rFonts w:eastAsia="Arial" w:cs="Arial"/>
                <w:sz w:val="20"/>
                <w:szCs w:val="20"/>
              </w:rPr>
            </w:pPr>
            <w:r w:rsidRPr="00720B94">
              <w:rPr>
                <w:rFonts w:eastAsia="Arial" w:cs="Arial"/>
                <w:sz w:val="20"/>
                <w:szCs w:val="20"/>
              </w:rPr>
              <w:t>Centrifuge Precautions (13945)</w:t>
            </w:r>
          </w:p>
        </w:tc>
        <w:tc>
          <w:tcPr>
            <w:tcW w:w="1800" w:type="dxa"/>
          </w:tcPr>
          <w:p w14:paraId="24AE2C5E" w14:textId="4DF2860E" w:rsidR="00E040BB" w:rsidRPr="00720B94" w:rsidRDefault="00E040BB" w:rsidP="00720B94">
            <w:pPr>
              <w:jc w:val="center"/>
              <w:rPr>
                <w:rFonts w:eastAsia="Arial" w:cs="Arial"/>
                <w:sz w:val="20"/>
                <w:szCs w:val="20"/>
              </w:rPr>
            </w:pPr>
            <w:r w:rsidRPr="00720B94">
              <w:rPr>
                <w:rFonts w:eastAsia="Arial" w:cs="Arial"/>
                <w:sz w:val="20"/>
                <w:szCs w:val="20"/>
              </w:rPr>
              <w:t>Required</w:t>
            </w:r>
          </w:p>
        </w:tc>
        <w:tc>
          <w:tcPr>
            <w:tcW w:w="1800" w:type="dxa"/>
          </w:tcPr>
          <w:p w14:paraId="48E8D309" w14:textId="3D6CDD9C" w:rsidR="00E040BB" w:rsidRPr="00720B94" w:rsidRDefault="00E040BB" w:rsidP="00720B94">
            <w:pPr>
              <w:jc w:val="center"/>
              <w:rPr>
                <w:rFonts w:eastAsia="Arial" w:cs="Arial"/>
                <w:sz w:val="20"/>
                <w:szCs w:val="20"/>
              </w:rPr>
            </w:pPr>
            <w:r w:rsidRPr="00720B94">
              <w:rPr>
                <w:rFonts w:eastAsia="Arial" w:cs="Arial"/>
                <w:sz w:val="20"/>
                <w:szCs w:val="20"/>
              </w:rPr>
              <w:t>Optional</w:t>
            </w:r>
          </w:p>
        </w:tc>
      </w:tr>
    </w:tbl>
    <w:p w14:paraId="0A17EC44" w14:textId="349752AC" w:rsidR="00293481" w:rsidRPr="00720B94" w:rsidRDefault="00B01E44" w:rsidP="00720B94">
      <w:pPr>
        <w:spacing w:before="160"/>
        <w:rPr>
          <w:rFonts w:eastAsia="Arial" w:cs="Arial"/>
        </w:rPr>
      </w:pPr>
      <w:r w:rsidRPr="00720B94">
        <w:rPr>
          <w:rFonts w:eastAsia="Arial" w:cs="Arial"/>
        </w:rPr>
        <w:lastRenderedPageBreak/>
        <w:t xml:space="preserve">Additional </w:t>
      </w:r>
      <w:r w:rsidR="003029B2" w:rsidRPr="00720B94">
        <w:rPr>
          <w:rFonts w:eastAsia="Arial" w:cs="Arial"/>
        </w:rPr>
        <w:t xml:space="preserve">training requirements </w:t>
      </w:r>
      <w:r w:rsidR="00197B7A" w:rsidRPr="00720B94">
        <w:rPr>
          <w:rFonts w:eastAsia="Arial" w:cs="Arial"/>
        </w:rPr>
        <w:t xml:space="preserve">are listed below </w:t>
      </w:r>
      <w:r w:rsidR="003029B2" w:rsidRPr="00720B94">
        <w:rPr>
          <w:rFonts w:eastAsia="Arial" w:cs="Arial"/>
        </w:rPr>
        <w:t xml:space="preserve">based on </w:t>
      </w:r>
      <w:r w:rsidR="002B0ED3" w:rsidRPr="00720B94">
        <w:rPr>
          <w:rFonts w:eastAsia="Arial" w:cs="Arial"/>
        </w:rPr>
        <w:t>the type of research being conducted.</w:t>
      </w:r>
      <w:r w:rsidR="00197B7A" w:rsidRPr="00720B94">
        <w:rPr>
          <w:rFonts w:eastAsia="Arial" w:cs="Arial"/>
        </w:rPr>
        <w:t xml:space="preserve"> Training must be completed by all personnel (faculty, staff, students) engaged in the activities.</w:t>
      </w:r>
      <w:r w:rsidR="000D5F0E" w:rsidRPr="00720B94">
        <w:rPr>
          <w:rFonts w:eastAsia="Arial" w:cs="Arial"/>
        </w:rPr>
        <w:t xml:space="preserve"> </w:t>
      </w:r>
      <w:r w:rsidR="000D5F0E" w:rsidRPr="00720B94">
        <w:rPr>
          <w:rFonts w:eastAsia="Arial" w:cs="Arial"/>
          <w:b/>
          <w:bCs/>
        </w:rPr>
        <w:t>Most training below is valid for three years</w:t>
      </w:r>
      <w:r w:rsidR="000D5F0E" w:rsidRPr="00720B94">
        <w:rPr>
          <w:rFonts w:eastAsia="Arial" w:cs="Arial"/>
        </w:rPr>
        <w:t>,</w:t>
      </w:r>
      <w:r w:rsidR="000D5F0E" w:rsidRPr="00720B94">
        <w:rPr>
          <w:rFonts w:eastAsia="Arial" w:cs="Arial"/>
          <w:b/>
          <w:bCs/>
        </w:rPr>
        <w:t xml:space="preserve"> </w:t>
      </w:r>
      <w:proofErr w:type="gramStart"/>
      <w:r w:rsidR="000D5F0E" w:rsidRPr="00720B94">
        <w:rPr>
          <w:rFonts w:eastAsia="Arial" w:cs="Arial"/>
        </w:rPr>
        <w:t>with the exception of</w:t>
      </w:r>
      <w:proofErr w:type="gramEnd"/>
      <w:r w:rsidR="000D5F0E" w:rsidRPr="00720B94">
        <w:rPr>
          <w:rFonts w:eastAsia="Arial" w:cs="Arial"/>
        </w:rPr>
        <w:t xml:space="preserve"> OSHA Bloodborne Pathogens training, which must be renewed annually</w:t>
      </w:r>
      <w:r w:rsidR="00474F48" w:rsidRPr="00720B94">
        <w:rPr>
          <w:rFonts w:eastAsia="Arial" w:cs="Arial"/>
        </w:rPr>
        <w:t xml:space="preserve"> and is overseen by UWL Environmental Health &amp; Safety</w:t>
      </w:r>
      <w:r w:rsidR="000D5F0E" w:rsidRPr="00720B94">
        <w:rPr>
          <w:rFonts w:eastAsia="Arial" w:cs="Arial"/>
        </w:rPr>
        <w:t>.</w:t>
      </w:r>
      <w:r w:rsidR="006F0B59" w:rsidRPr="00720B94">
        <w:rPr>
          <w:rFonts w:eastAsia="Arial" w:cs="Arial"/>
        </w:rPr>
        <w:t xml:space="preserve"> </w:t>
      </w:r>
      <w:r w:rsidR="006F0B59" w:rsidRPr="00720B94">
        <w:t xml:space="preserve">See the EHS Laboratory Safety &amp; Chemical Disposal Guide, </w:t>
      </w:r>
      <w:hyperlink r:id="rId51">
        <w:r w:rsidR="006F0B59" w:rsidRPr="00717676">
          <w:rPr>
            <w:rStyle w:val="Hyperlink"/>
            <w:color w:val="007D89" w:themeColor="accent3" w:themeShade="BF"/>
          </w:rPr>
          <w:t>Appendix G: Training for Laboratory Personnel</w:t>
        </w:r>
      </w:hyperlink>
      <w:r w:rsidR="006F0B59" w:rsidRPr="00720B94">
        <w:t xml:space="preserve"> and </w:t>
      </w:r>
      <w:hyperlink r:id="rId52" w:history="1">
        <w:r w:rsidR="006F0B59" w:rsidRPr="00717676">
          <w:rPr>
            <w:rStyle w:val="Hyperlink"/>
            <w:color w:val="007D89" w:themeColor="accent3" w:themeShade="BF"/>
          </w:rPr>
          <w:t>Bloodborne Pathogens</w:t>
        </w:r>
        <w:r w:rsidR="00DC3A73" w:rsidRPr="00717676">
          <w:rPr>
            <w:rStyle w:val="Hyperlink"/>
            <w:color w:val="007D89" w:themeColor="accent3" w:themeShade="BF"/>
          </w:rPr>
          <w:t xml:space="preserve"> Exposure Control</w:t>
        </w:r>
        <w:r w:rsidR="006F0B59" w:rsidRPr="00717676">
          <w:rPr>
            <w:rStyle w:val="Hyperlink"/>
            <w:color w:val="007D89" w:themeColor="accent3" w:themeShade="BF"/>
          </w:rPr>
          <w:t xml:space="preserve"> Program</w:t>
        </w:r>
      </w:hyperlink>
      <w:r w:rsidR="00293481" w:rsidRPr="00720B94">
        <w:rPr>
          <w:rFonts w:eastAsia="Arial" w:cs="Arial"/>
        </w:rPr>
        <w:t>.</w:t>
      </w:r>
    </w:p>
    <w:p w14:paraId="1E421342" w14:textId="77777777" w:rsidR="00A436E4" w:rsidRPr="00720B94" w:rsidRDefault="00A436E4" w:rsidP="00720B94">
      <w:pPr>
        <w:spacing w:before="160"/>
        <w:rPr>
          <w:color w:val="00A8B8" w:themeColor="hyperlink"/>
          <w:u w:val="single"/>
        </w:rPr>
      </w:pPr>
    </w:p>
    <w:p w14:paraId="0836C63C" w14:textId="64C4C3F9" w:rsidR="00C33ABD" w:rsidRPr="00720B94" w:rsidRDefault="00C33ABD" w:rsidP="00720B94">
      <w:pPr>
        <w:spacing w:before="160"/>
        <w:rPr>
          <w:rFonts w:eastAsia="Arial" w:cs="Arial"/>
        </w:rPr>
      </w:pPr>
      <w:r w:rsidRPr="00720B94">
        <w:rPr>
          <w:rFonts w:eastAsia="Arial" w:cs="Arial"/>
          <w:b/>
          <w:bCs/>
        </w:rPr>
        <w:t>Additional Training Requirements by Research</w:t>
      </w:r>
      <w:r w:rsidR="00592C88" w:rsidRPr="00720B94">
        <w:rPr>
          <w:rFonts w:eastAsia="Arial" w:cs="Arial"/>
          <w:b/>
          <w:bCs/>
        </w:rPr>
        <w:t xml:space="preserve"> </w:t>
      </w:r>
      <w:r w:rsidR="00FD04AF" w:rsidRPr="00720B94">
        <w:rPr>
          <w:rFonts w:eastAsia="Arial" w:cs="Arial"/>
          <w:b/>
          <w:bCs/>
        </w:rPr>
        <w:t>Type</w:t>
      </w:r>
    </w:p>
    <w:tbl>
      <w:tblPr>
        <w:tblStyle w:val="TableGrid"/>
        <w:tblW w:w="0" w:type="auto"/>
        <w:tblLook w:val="04A0" w:firstRow="1" w:lastRow="0" w:firstColumn="1" w:lastColumn="0" w:noHBand="0" w:noVBand="1"/>
      </w:tblPr>
      <w:tblGrid>
        <w:gridCol w:w="3145"/>
        <w:gridCol w:w="6205"/>
      </w:tblGrid>
      <w:tr w:rsidR="00141AFC" w:rsidRPr="00720B94" w14:paraId="7853A1B4" w14:textId="77777777" w:rsidTr="1E11DD77">
        <w:tc>
          <w:tcPr>
            <w:tcW w:w="3145" w:type="dxa"/>
          </w:tcPr>
          <w:p w14:paraId="401F67D4" w14:textId="504E2348" w:rsidR="00141AFC" w:rsidRPr="00720B94" w:rsidRDefault="00141AFC" w:rsidP="00720B94">
            <w:pPr>
              <w:jc w:val="center"/>
              <w:rPr>
                <w:rFonts w:eastAsia="Arial" w:cs="Arial"/>
                <w:sz w:val="20"/>
                <w:szCs w:val="20"/>
              </w:rPr>
            </w:pPr>
            <w:r w:rsidRPr="00720B94">
              <w:rPr>
                <w:rFonts w:eastAsia="Arial" w:cs="Arial"/>
                <w:b/>
                <w:bCs/>
                <w:sz w:val="20"/>
                <w:szCs w:val="20"/>
              </w:rPr>
              <w:t>Research</w:t>
            </w:r>
          </w:p>
        </w:tc>
        <w:tc>
          <w:tcPr>
            <w:tcW w:w="6205" w:type="dxa"/>
          </w:tcPr>
          <w:p w14:paraId="0FDEFB19" w14:textId="6603F8DA" w:rsidR="00141AFC" w:rsidRPr="00720B94" w:rsidRDefault="00141AFC" w:rsidP="00720B94">
            <w:pPr>
              <w:jc w:val="center"/>
              <w:rPr>
                <w:rFonts w:eastAsia="Arial" w:cs="Arial"/>
                <w:b/>
                <w:bCs/>
                <w:sz w:val="20"/>
                <w:szCs w:val="20"/>
              </w:rPr>
            </w:pPr>
            <w:r w:rsidRPr="00720B94">
              <w:rPr>
                <w:rFonts w:eastAsia="Arial" w:cs="Arial"/>
                <w:b/>
                <w:bCs/>
                <w:sz w:val="20"/>
                <w:szCs w:val="20"/>
              </w:rPr>
              <w:t>Additional Course</w:t>
            </w:r>
            <w:r w:rsidR="002776BE" w:rsidRPr="00720B94">
              <w:rPr>
                <w:rFonts w:eastAsia="Arial" w:cs="Arial"/>
                <w:b/>
                <w:bCs/>
                <w:sz w:val="20"/>
                <w:szCs w:val="20"/>
              </w:rPr>
              <w:t>(</w:t>
            </w:r>
            <w:r w:rsidRPr="00720B94">
              <w:rPr>
                <w:rFonts w:eastAsia="Arial" w:cs="Arial"/>
                <w:b/>
                <w:bCs/>
                <w:sz w:val="20"/>
                <w:szCs w:val="20"/>
              </w:rPr>
              <w:t>s</w:t>
            </w:r>
            <w:r w:rsidR="002776BE" w:rsidRPr="00720B94">
              <w:rPr>
                <w:rFonts w:eastAsia="Arial" w:cs="Arial"/>
                <w:b/>
                <w:bCs/>
                <w:sz w:val="20"/>
                <w:szCs w:val="20"/>
              </w:rPr>
              <w:t>)</w:t>
            </w:r>
            <w:r w:rsidRPr="00720B94">
              <w:rPr>
                <w:rFonts w:eastAsia="Arial" w:cs="Arial"/>
                <w:b/>
                <w:bCs/>
                <w:sz w:val="20"/>
                <w:szCs w:val="20"/>
              </w:rPr>
              <w:t xml:space="preserve"> Required</w:t>
            </w:r>
          </w:p>
        </w:tc>
      </w:tr>
      <w:tr w:rsidR="00141AFC" w:rsidRPr="00720B94" w14:paraId="697CBBCC" w14:textId="77777777" w:rsidTr="1E11DD77">
        <w:tc>
          <w:tcPr>
            <w:tcW w:w="3145" w:type="dxa"/>
          </w:tcPr>
          <w:p w14:paraId="3B6F7C5D" w14:textId="0C73D77B" w:rsidR="00141AFC" w:rsidRPr="00720B94" w:rsidRDefault="00764A4F" w:rsidP="00720B94">
            <w:pPr>
              <w:rPr>
                <w:rFonts w:eastAsia="Arial" w:cs="Arial"/>
                <w:sz w:val="20"/>
                <w:szCs w:val="20"/>
              </w:rPr>
            </w:pPr>
            <w:r w:rsidRPr="00720B94">
              <w:rPr>
                <w:rFonts w:eastAsia="Arial" w:cs="Arial"/>
                <w:sz w:val="20"/>
                <w:szCs w:val="20"/>
              </w:rPr>
              <w:t xml:space="preserve">Research involving </w:t>
            </w:r>
            <w:r w:rsidR="00B05D62" w:rsidRPr="00720B94">
              <w:rPr>
                <w:rFonts w:eastAsia="Arial" w:cs="Arial"/>
                <w:sz w:val="20"/>
                <w:szCs w:val="20"/>
              </w:rPr>
              <w:t>recombinant DNA, recombinant RNA, or synthetic nucleic acids</w:t>
            </w:r>
          </w:p>
        </w:tc>
        <w:tc>
          <w:tcPr>
            <w:tcW w:w="6205" w:type="dxa"/>
          </w:tcPr>
          <w:p w14:paraId="3F02CCEF" w14:textId="24489C15" w:rsidR="00141AFC" w:rsidRPr="00720B94" w:rsidRDefault="00764A4F" w:rsidP="00720B94">
            <w:pPr>
              <w:rPr>
                <w:rFonts w:eastAsia="Arial" w:cs="Arial"/>
                <w:sz w:val="20"/>
                <w:szCs w:val="20"/>
              </w:rPr>
            </w:pPr>
            <w:r w:rsidRPr="00720B94">
              <w:rPr>
                <w:rFonts w:eastAsia="Arial" w:cs="Arial"/>
                <w:sz w:val="20"/>
                <w:szCs w:val="20"/>
              </w:rPr>
              <w:t>NIH Guidelines for Research Involving Recombinant or Synthetic Nucleic Acid</w:t>
            </w:r>
            <w:r w:rsidR="00695721" w:rsidRPr="00720B94">
              <w:rPr>
                <w:rFonts w:eastAsia="Arial" w:cs="Arial"/>
                <w:sz w:val="20"/>
                <w:szCs w:val="20"/>
              </w:rPr>
              <w:t xml:space="preserve"> Molecules</w:t>
            </w:r>
            <w:r w:rsidRPr="00720B94">
              <w:rPr>
                <w:rFonts w:eastAsia="Arial" w:cs="Arial"/>
                <w:sz w:val="20"/>
                <w:szCs w:val="20"/>
              </w:rPr>
              <w:t xml:space="preserve"> (</w:t>
            </w:r>
            <w:r w:rsidR="00695721" w:rsidRPr="00720B94">
              <w:rPr>
                <w:rFonts w:eastAsia="Arial" w:cs="Arial"/>
                <w:sz w:val="20"/>
                <w:szCs w:val="20"/>
              </w:rPr>
              <w:t>13493)</w:t>
            </w:r>
          </w:p>
        </w:tc>
      </w:tr>
      <w:tr w:rsidR="00141AFC" w:rsidRPr="00720B94" w14:paraId="38B67F85" w14:textId="77777777" w:rsidTr="1E11DD77">
        <w:tc>
          <w:tcPr>
            <w:tcW w:w="3145" w:type="dxa"/>
          </w:tcPr>
          <w:p w14:paraId="713D6C2E" w14:textId="780ECA13" w:rsidR="00141AFC" w:rsidRPr="00720B94" w:rsidRDefault="00E22E3A" w:rsidP="00720B94">
            <w:pPr>
              <w:rPr>
                <w:rFonts w:eastAsia="Arial" w:cs="Arial"/>
                <w:sz w:val="20"/>
                <w:szCs w:val="20"/>
              </w:rPr>
            </w:pPr>
            <w:r w:rsidRPr="00720B94">
              <w:rPr>
                <w:rFonts w:eastAsia="Arial" w:cs="Arial"/>
                <w:sz w:val="20"/>
                <w:szCs w:val="20"/>
              </w:rPr>
              <w:t xml:space="preserve">Research involving </w:t>
            </w:r>
            <w:r w:rsidR="0054056B" w:rsidRPr="00720B94">
              <w:rPr>
                <w:rFonts w:eastAsia="Arial" w:cs="Arial"/>
                <w:sz w:val="20"/>
                <w:szCs w:val="20"/>
              </w:rPr>
              <w:t>human</w:t>
            </w:r>
            <w:r w:rsidR="00FB23E9" w:rsidRPr="00720B94">
              <w:rPr>
                <w:rFonts w:eastAsia="Arial" w:cs="Arial"/>
                <w:sz w:val="20"/>
                <w:szCs w:val="20"/>
              </w:rPr>
              <w:t>-</w:t>
            </w:r>
            <w:r w:rsidR="0054056B" w:rsidRPr="00720B94">
              <w:rPr>
                <w:rFonts w:eastAsia="Arial" w:cs="Arial"/>
                <w:sz w:val="20"/>
                <w:szCs w:val="20"/>
              </w:rPr>
              <w:t>derived materials</w:t>
            </w:r>
            <w:r w:rsidR="007829AC" w:rsidRPr="00720B94">
              <w:rPr>
                <w:rFonts w:eastAsia="Arial" w:cs="Arial"/>
                <w:sz w:val="20"/>
                <w:szCs w:val="20"/>
              </w:rPr>
              <w:t>, cell lines,</w:t>
            </w:r>
            <w:r w:rsidR="0054056B" w:rsidRPr="00720B94">
              <w:rPr>
                <w:rFonts w:eastAsia="Arial" w:cs="Arial"/>
                <w:sz w:val="20"/>
                <w:szCs w:val="20"/>
              </w:rPr>
              <w:t xml:space="preserve"> and/or bloodborne pathogens</w:t>
            </w:r>
          </w:p>
        </w:tc>
        <w:tc>
          <w:tcPr>
            <w:tcW w:w="6205" w:type="dxa"/>
          </w:tcPr>
          <w:p w14:paraId="5C6C1034" w14:textId="317B4546" w:rsidR="002776BE" w:rsidRPr="00720B94" w:rsidRDefault="00474F48" w:rsidP="00720B94">
            <w:pPr>
              <w:rPr>
                <w:rFonts w:eastAsia="Arial" w:cs="Arial"/>
                <w:sz w:val="20"/>
                <w:szCs w:val="20"/>
              </w:rPr>
            </w:pPr>
            <w:r w:rsidRPr="00720B94">
              <w:rPr>
                <w:rFonts w:eastAsia="Arial" w:cs="Arial"/>
                <w:sz w:val="20"/>
                <w:szCs w:val="20"/>
              </w:rPr>
              <w:t xml:space="preserve">Contact </w:t>
            </w:r>
            <w:hyperlink r:id="rId53" w:history="1">
              <w:r w:rsidRPr="00717676">
                <w:rPr>
                  <w:rStyle w:val="Hyperlink"/>
                  <w:rFonts w:eastAsia="Arial" w:cs="Arial"/>
                  <w:color w:val="007D89" w:themeColor="accent3" w:themeShade="BF"/>
                  <w:sz w:val="20"/>
                  <w:szCs w:val="20"/>
                </w:rPr>
                <w:t xml:space="preserve">UWL </w:t>
              </w:r>
              <w:r w:rsidR="00DC3A73" w:rsidRPr="00717676">
                <w:rPr>
                  <w:rStyle w:val="Hyperlink"/>
                  <w:rFonts w:eastAsia="Arial" w:cs="Arial"/>
                  <w:color w:val="007D89" w:themeColor="accent3" w:themeShade="BF"/>
                  <w:sz w:val="20"/>
                  <w:szCs w:val="20"/>
                </w:rPr>
                <w:t>Environmental Health &amp; Safety</w:t>
              </w:r>
            </w:hyperlink>
            <w:r w:rsidR="00DC3A73" w:rsidRPr="00720B94">
              <w:rPr>
                <w:rFonts w:eastAsia="Arial" w:cs="Arial"/>
                <w:sz w:val="20"/>
                <w:szCs w:val="20"/>
              </w:rPr>
              <w:t xml:space="preserve"> </w:t>
            </w:r>
            <w:r w:rsidRPr="00720B94">
              <w:rPr>
                <w:rFonts w:eastAsia="Arial" w:cs="Arial"/>
                <w:sz w:val="20"/>
                <w:szCs w:val="20"/>
              </w:rPr>
              <w:t>for initial and annual training requirements.</w:t>
            </w:r>
          </w:p>
        </w:tc>
      </w:tr>
      <w:tr w:rsidR="00E22E3A" w:rsidRPr="00720B94" w14:paraId="286C609F" w14:textId="77777777" w:rsidTr="1E11DD77">
        <w:tc>
          <w:tcPr>
            <w:tcW w:w="3145" w:type="dxa"/>
          </w:tcPr>
          <w:p w14:paraId="75A5624C" w14:textId="761AEF65" w:rsidR="00E22E3A" w:rsidRPr="00720B94" w:rsidRDefault="00E22E3A" w:rsidP="00720B94">
            <w:pPr>
              <w:rPr>
                <w:rFonts w:eastAsia="Arial" w:cs="Arial"/>
                <w:sz w:val="20"/>
                <w:szCs w:val="20"/>
              </w:rPr>
            </w:pPr>
            <w:r w:rsidRPr="00720B94">
              <w:rPr>
                <w:rFonts w:eastAsia="Arial" w:cs="Arial"/>
                <w:sz w:val="20"/>
                <w:szCs w:val="20"/>
              </w:rPr>
              <w:t xml:space="preserve">Research involving </w:t>
            </w:r>
            <w:r w:rsidR="00514248" w:rsidRPr="00720B94">
              <w:rPr>
                <w:rFonts w:eastAsia="Arial" w:cs="Arial"/>
                <w:sz w:val="20"/>
                <w:szCs w:val="20"/>
              </w:rPr>
              <w:t xml:space="preserve">vertebrate or invertebrate </w:t>
            </w:r>
            <w:r w:rsidRPr="00720B94">
              <w:rPr>
                <w:rFonts w:eastAsia="Arial" w:cs="Arial"/>
                <w:sz w:val="20"/>
                <w:szCs w:val="20"/>
              </w:rPr>
              <w:t>animal</w:t>
            </w:r>
            <w:r w:rsidR="00514248" w:rsidRPr="00720B94">
              <w:rPr>
                <w:rFonts w:eastAsia="Arial" w:cs="Arial"/>
                <w:sz w:val="20"/>
                <w:szCs w:val="20"/>
              </w:rPr>
              <w:t>s</w:t>
            </w:r>
          </w:p>
        </w:tc>
        <w:tc>
          <w:tcPr>
            <w:tcW w:w="6205" w:type="dxa"/>
          </w:tcPr>
          <w:p w14:paraId="15CD74FA" w14:textId="33E7501B" w:rsidR="00E22E3A" w:rsidRPr="00720B94" w:rsidRDefault="0009744A" w:rsidP="00720B94">
            <w:pPr>
              <w:rPr>
                <w:rFonts w:eastAsia="Arial" w:cs="Arial"/>
                <w:sz w:val="20"/>
                <w:szCs w:val="20"/>
              </w:rPr>
            </w:pPr>
            <w:r w:rsidRPr="00720B94">
              <w:rPr>
                <w:rFonts w:eastAsia="Arial" w:cs="Arial"/>
                <w:sz w:val="20"/>
                <w:szCs w:val="20"/>
              </w:rPr>
              <w:t>Animal Biosafety (13654)</w:t>
            </w:r>
          </w:p>
          <w:p w14:paraId="64B9011B" w14:textId="1E233180" w:rsidR="00514248" w:rsidRPr="00720B94" w:rsidRDefault="00514248" w:rsidP="00720B94">
            <w:pPr>
              <w:rPr>
                <w:rFonts w:eastAsia="Arial" w:cs="Arial"/>
                <w:i/>
                <w:iCs/>
                <w:sz w:val="20"/>
                <w:szCs w:val="20"/>
              </w:rPr>
            </w:pPr>
            <w:r w:rsidRPr="00720B94">
              <w:rPr>
                <w:rFonts w:eastAsia="Arial" w:cs="Arial"/>
                <w:i/>
                <w:iCs/>
                <w:sz w:val="20"/>
                <w:szCs w:val="20"/>
              </w:rPr>
              <w:t>Additional IACUC training requirements apply</w:t>
            </w:r>
            <w:r w:rsidR="002A55BF" w:rsidRPr="00720B94">
              <w:rPr>
                <w:rFonts w:eastAsia="Arial" w:cs="Arial"/>
                <w:i/>
                <w:iCs/>
                <w:sz w:val="20"/>
                <w:szCs w:val="20"/>
              </w:rPr>
              <w:t xml:space="preserve"> for vertebrate animals</w:t>
            </w:r>
            <w:r w:rsidRPr="00720B94">
              <w:rPr>
                <w:rFonts w:eastAsia="Arial" w:cs="Arial"/>
                <w:i/>
                <w:iCs/>
                <w:sz w:val="20"/>
                <w:szCs w:val="20"/>
              </w:rPr>
              <w:t xml:space="preserve">. See </w:t>
            </w:r>
            <w:hyperlink r:id="rId54" w:history="1">
              <w:r w:rsidRPr="00717676">
                <w:rPr>
                  <w:rStyle w:val="Hyperlink"/>
                  <w:rFonts w:eastAsia="Arial" w:cs="Arial"/>
                  <w:i/>
                  <w:iCs/>
                  <w:color w:val="007D89" w:themeColor="accent3" w:themeShade="BF"/>
                  <w:sz w:val="20"/>
                  <w:szCs w:val="20"/>
                </w:rPr>
                <w:t>IACUC guidelines</w:t>
              </w:r>
            </w:hyperlink>
            <w:r w:rsidRPr="00720B94">
              <w:rPr>
                <w:rFonts w:eastAsia="Arial" w:cs="Arial"/>
                <w:i/>
                <w:iCs/>
                <w:sz w:val="20"/>
                <w:szCs w:val="20"/>
              </w:rPr>
              <w:t>.</w:t>
            </w:r>
          </w:p>
        </w:tc>
      </w:tr>
      <w:tr w:rsidR="00E22E3A" w:rsidRPr="00720B94" w14:paraId="7BDD3B8F" w14:textId="77777777" w:rsidTr="1E11DD77">
        <w:tc>
          <w:tcPr>
            <w:tcW w:w="3145" w:type="dxa"/>
          </w:tcPr>
          <w:p w14:paraId="16F5F043" w14:textId="16D92042" w:rsidR="00E22E3A" w:rsidRPr="00720B94" w:rsidRDefault="00E22E3A" w:rsidP="00720B94">
            <w:pPr>
              <w:rPr>
                <w:rFonts w:eastAsia="Arial" w:cs="Arial"/>
                <w:sz w:val="20"/>
                <w:szCs w:val="20"/>
              </w:rPr>
            </w:pPr>
            <w:r w:rsidRPr="00720B94">
              <w:rPr>
                <w:rFonts w:eastAsia="Arial" w:cs="Arial"/>
                <w:sz w:val="20"/>
                <w:szCs w:val="20"/>
              </w:rPr>
              <w:t>Research involving nanotechnology</w:t>
            </w:r>
          </w:p>
        </w:tc>
        <w:tc>
          <w:tcPr>
            <w:tcW w:w="6205" w:type="dxa"/>
          </w:tcPr>
          <w:p w14:paraId="740EEE6A" w14:textId="6429B2F1" w:rsidR="00E22E3A" w:rsidRPr="00720B94" w:rsidRDefault="00F9684F" w:rsidP="00720B94">
            <w:pPr>
              <w:rPr>
                <w:rFonts w:eastAsia="Arial" w:cs="Arial"/>
                <w:sz w:val="20"/>
                <w:szCs w:val="20"/>
              </w:rPr>
            </w:pPr>
            <w:r w:rsidRPr="00720B94">
              <w:rPr>
                <w:rFonts w:eastAsia="Arial" w:cs="Arial"/>
                <w:sz w:val="20"/>
                <w:szCs w:val="20"/>
              </w:rPr>
              <w:t>Understanding Nanotechnology and Its Implications (14044)</w:t>
            </w:r>
          </w:p>
        </w:tc>
      </w:tr>
      <w:tr w:rsidR="001A08FB" w:rsidRPr="00720B94" w14:paraId="0773CEFD" w14:textId="77777777" w:rsidTr="1E11DD77">
        <w:tc>
          <w:tcPr>
            <w:tcW w:w="3145" w:type="dxa"/>
          </w:tcPr>
          <w:p w14:paraId="1E644E47" w14:textId="18306E43" w:rsidR="001A08FB" w:rsidRPr="00720B94" w:rsidRDefault="001A08FB" w:rsidP="00720B94">
            <w:pPr>
              <w:rPr>
                <w:rFonts w:eastAsia="Arial" w:cs="Arial"/>
                <w:sz w:val="20"/>
                <w:szCs w:val="20"/>
              </w:rPr>
            </w:pPr>
            <w:r w:rsidRPr="00720B94">
              <w:rPr>
                <w:rFonts w:eastAsia="Arial" w:cs="Arial"/>
                <w:sz w:val="20"/>
                <w:szCs w:val="20"/>
              </w:rPr>
              <w:t>Research involving select agents</w:t>
            </w:r>
          </w:p>
        </w:tc>
        <w:tc>
          <w:tcPr>
            <w:tcW w:w="6205" w:type="dxa"/>
          </w:tcPr>
          <w:p w14:paraId="550A7F68" w14:textId="77777777" w:rsidR="001A08FB" w:rsidRPr="00720B94" w:rsidRDefault="003F26A9" w:rsidP="0092380E">
            <w:pPr>
              <w:pStyle w:val="ListParagraph"/>
              <w:numPr>
                <w:ilvl w:val="0"/>
                <w:numId w:val="39"/>
              </w:numPr>
              <w:rPr>
                <w:rFonts w:eastAsia="Arial" w:cs="Arial"/>
                <w:sz w:val="20"/>
                <w:szCs w:val="20"/>
              </w:rPr>
            </w:pPr>
            <w:r w:rsidRPr="00720B94">
              <w:rPr>
                <w:rFonts w:eastAsia="Arial" w:cs="Arial"/>
                <w:sz w:val="20"/>
                <w:szCs w:val="20"/>
              </w:rPr>
              <w:t>Select Agents (13951)</w:t>
            </w:r>
          </w:p>
          <w:p w14:paraId="20ED33E9" w14:textId="77777777" w:rsidR="002776BE" w:rsidRPr="00720B94" w:rsidRDefault="002776BE" w:rsidP="0092380E">
            <w:pPr>
              <w:pStyle w:val="ListParagraph"/>
              <w:numPr>
                <w:ilvl w:val="0"/>
                <w:numId w:val="39"/>
              </w:numPr>
              <w:rPr>
                <w:rFonts w:eastAsia="Arial" w:cs="Arial"/>
                <w:sz w:val="20"/>
                <w:szCs w:val="20"/>
              </w:rPr>
            </w:pPr>
            <w:r w:rsidRPr="00720B94">
              <w:rPr>
                <w:rFonts w:eastAsia="Arial" w:cs="Arial"/>
                <w:sz w:val="20"/>
                <w:szCs w:val="20"/>
              </w:rPr>
              <w:t>Biosecurity (13857)</w:t>
            </w:r>
          </w:p>
          <w:p w14:paraId="091BB823" w14:textId="48D27570" w:rsidR="002776BE" w:rsidRPr="00720B94" w:rsidRDefault="002776BE" w:rsidP="0092380E">
            <w:pPr>
              <w:pStyle w:val="ListParagraph"/>
              <w:numPr>
                <w:ilvl w:val="0"/>
                <w:numId w:val="39"/>
              </w:numPr>
              <w:rPr>
                <w:rFonts w:eastAsia="Arial" w:cs="Arial"/>
                <w:sz w:val="20"/>
                <w:szCs w:val="20"/>
              </w:rPr>
            </w:pPr>
            <w:r w:rsidRPr="00720B94">
              <w:rPr>
                <w:rFonts w:eastAsia="Arial" w:cs="Arial"/>
                <w:sz w:val="20"/>
                <w:szCs w:val="20"/>
              </w:rPr>
              <w:t>Bioterrorism (13524)</w:t>
            </w:r>
          </w:p>
        </w:tc>
      </w:tr>
      <w:tr w:rsidR="00514248" w:rsidRPr="00720B94" w14:paraId="5FF79D84" w14:textId="77777777" w:rsidTr="1E11DD77">
        <w:tc>
          <w:tcPr>
            <w:tcW w:w="3145" w:type="dxa"/>
          </w:tcPr>
          <w:p w14:paraId="24821ADC" w14:textId="174818B4" w:rsidR="00514248" w:rsidRPr="00720B94" w:rsidRDefault="00514248" w:rsidP="00720B94">
            <w:pPr>
              <w:rPr>
                <w:rFonts w:eastAsia="Arial" w:cs="Arial"/>
                <w:sz w:val="20"/>
                <w:szCs w:val="20"/>
              </w:rPr>
            </w:pPr>
            <w:r w:rsidRPr="00720B94">
              <w:rPr>
                <w:rFonts w:eastAsia="Arial" w:cs="Arial"/>
                <w:sz w:val="20"/>
                <w:szCs w:val="20"/>
              </w:rPr>
              <w:t>Research involving Dual Use Research of Concern (DURC)</w:t>
            </w:r>
          </w:p>
        </w:tc>
        <w:tc>
          <w:tcPr>
            <w:tcW w:w="6205" w:type="dxa"/>
          </w:tcPr>
          <w:p w14:paraId="2E4D20FF" w14:textId="4544203E" w:rsidR="00514248" w:rsidRPr="00720B94" w:rsidRDefault="0FD857D3" w:rsidP="00720B94">
            <w:pPr>
              <w:rPr>
                <w:rFonts w:eastAsia="Arial" w:cs="Arial"/>
                <w:sz w:val="20"/>
                <w:szCs w:val="20"/>
              </w:rPr>
            </w:pPr>
            <w:r w:rsidRPr="00720B94">
              <w:rPr>
                <w:rFonts w:eastAsia="Arial" w:cs="Arial"/>
                <w:sz w:val="20"/>
                <w:szCs w:val="20"/>
              </w:rPr>
              <w:t>Dual Use Research of Concern (DURC) (16263)</w:t>
            </w:r>
          </w:p>
        </w:tc>
      </w:tr>
      <w:tr w:rsidR="00514248" w:rsidRPr="00720B94" w14:paraId="77B9ADCF" w14:textId="77777777" w:rsidTr="1E11DD77">
        <w:tc>
          <w:tcPr>
            <w:tcW w:w="3145" w:type="dxa"/>
          </w:tcPr>
          <w:p w14:paraId="4CDF0DAD" w14:textId="0CB5DC46" w:rsidR="00514248" w:rsidRPr="00720B94" w:rsidRDefault="00395D3A" w:rsidP="00720B94">
            <w:pPr>
              <w:rPr>
                <w:rFonts w:eastAsia="Arial" w:cs="Arial"/>
                <w:sz w:val="20"/>
                <w:szCs w:val="20"/>
              </w:rPr>
            </w:pPr>
            <w:r w:rsidRPr="00720B94">
              <w:rPr>
                <w:rFonts w:eastAsia="Arial" w:cs="Arial"/>
                <w:sz w:val="20"/>
                <w:szCs w:val="20"/>
              </w:rPr>
              <w:t>Research involving plants and/or soils</w:t>
            </w:r>
          </w:p>
        </w:tc>
        <w:tc>
          <w:tcPr>
            <w:tcW w:w="6205" w:type="dxa"/>
          </w:tcPr>
          <w:p w14:paraId="12D2E7B7" w14:textId="77777777" w:rsidR="00514248" w:rsidRPr="00720B94" w:rsidRDefault="00F9684F" w:rsidP="00720B94">
            <w:pPr>
              <w:rPr>
                <w:rFonts w:eastAsia="Arial" w:cs="Arial"/>
                <w:sz w:val="20"/>
                <w:szCs w:val="20"/>
              </w:rPr>
            </w:pPr>
            <w:r w:rsidRPr="00720B94">
              <w:rPr>
                <w:rFonts w:eastAsia="Arial" w:cs="Arial"/>
                <w:sz w:val="20"/>
                <w:szCs w:val="20"/>
              </w:rPr>
              <w:t>USDA Permits:</w:t>
            </w:r>
          </w:p>
          <w:p w14:paraId="4700FE02" w14:textId="27455349" w:rsidR="00F9684F" w:rsidRPr="00720B94" w:rsidRDefault="00F9684F" w:rsidP="0092380E">
            <w:pPr>
              <w:pStyle w:val="ListParagraph"/>
              <w:numPr>
                <w:ilvl w:val="0"/>
                <w:numId w:val="38"/>
              </w:numPr>
              <w:rPr>
                <w:rFonts w:eastAsia="Arial" w:cs="Arial"/>
                <w:sz w:val="20"/>
                <w:szCs w:val="20"/>
              </w:rPr>
            </w:pPr>
            <w:r w:rsidRPr="00720B94">
              <w:rPr>
                <w:rFonts w:eastAsia="Arial" w:cs="Arial"/>
                <w:sz w:val="20"/>
                <w:szCs w:val="20"/>
              </w:rPr>
              <w:t>Plant Pest (17256)</w:t>
            </w:r>
          </w:p>
          <w:p w14:paraId="23510F23" w14:textId="6F91B054" w:rsidR="00F9684F" w:rsidRPr="00720B94" w:rsidRDefault="00F9684F" w:rsidP="0092380E">
            <w:pPr>
              <w:pStyle w:val="ListParagraph"/>
              <w:numPr>
                <w:ilvl w:val="0"/>
                <w:numId w:val="38"/>
              </w:numPr>
              <w:rPr>
                <w:rFonts w:eastAsia="Arial" w:cs="Arial"/>
                <w:sz w:val="20"/>
                <w:szCs w:val="20"/>
              </w:rPr>
            </w:pPr>
            <w:r w:rsidRPr="00720B94">
              <w:rPr>
                <w:rFonts w:eastAsia="Arial" w:cs="Arial"/>
                <w:sz w:val="20"/>
                <w:szCs w:val="20"/>
              </w:rPr>
              <w:t>Soils (17257)</w:t>
            </w:r>
          </w:p>
          <w:p w14:paraId="241C962B" w14:textId="5C61E2BA" w:rsidR="00F9684F" w:rsidRPr="00720B94" w:rsidRDefault="00F9684F" w:rsidP="0092380E">
            <w:pPr>
              <w:pStyle w:val="ListParagraph"/>
              <w:numPr>
                <w:ilvl w:val="0"/>
                <w:numId w:val="38"/>
              </w:numPr>
              <w:rPr>
                <w:rFonts w:eastAsia="Arial" w:cs="Arial"/>
                <w:sz w:val="20"/>
                <w:szCs w:val="20"/>
              </w:rPr>
            </w:pPr>
            <w:r w:rsidRPr="00720B94">
              <w:rPr>
                <w:rFonts w:eastAsia="Arial" w:cs="Arial"/>
                <w:sz w:val="20"/>
                <w:szCs w:val="20"/>
              </w:rPr>
              <w:t>Veterinary Services (17258)</w:t>
            </w:r>
          </w:p>
        </w:tc>
      </w:tr>
      <w:tr w:rsidR="00887F04" w:rsidRPr="00720B94" w14:paraId="406721BD" w14:textId="77777777" w:rsidTr="1E11DD77">
        <w:tc>
          <w:tcPr>
            <w:tcW w:w="3145" w:type="dxa"/>
          </w:tcPr>
          <w:p w14:paraId="22F54B29" w14:textId="29CAE22C" w:rsidR="00887F04" w:rsidRPr="00720B94" w:rsidRDefault="00887F04" w:rsidP="00720B94">
            <w:pPr>
              <w:rPr>
                <w:rFonts w:eastAsia="Arial" w:cs="Arial"/>
                <w:sz w:val="20"/>
                <w:szCs w:val="20"/>
              </w:rPr>
            </w:pPr>
            <w:r w:rsidRPr="00720B94">
              <w:rPr>
                <w:rFonts w:eastAsia="Arial" w:cs="Arial"/>
                <w:sz w:val="20"/>
                <w:szCs w:val="20"/>
              </w:rPr>
              <w:t>Research involving human gene transfer</w:t>
            </w:r>
          </w:p>
        </w:tc>
        <w:tc>
          <w:tcPr>
            <w:tcW w:w="6205" w:type="dxa"/>
          </w:tcPr>
          <w:p w14:paraId="37512E39" w14:textId="5733C646" w:rsidR="00887F04" w:rsidRPr="00720B94" w:rsidRDefault="003F26A9" w:rsidP="00720B94">
            <w:pPr>
              <w:rPr>
                <w:rFonts w:eastAsia="Arial" w:cs="Arial"/>
                <w:sz w:val="20"/>
                <w:szCs w:val="20"/>
              </w:rPr>
            </w:pPr>
            <w:r w:rsidRPr="00720B94">
              <w:rPr>
                <w:rFonts w:eastAsia="Arial" w:cs="Arial"/>
                <w:sz w:val="20"/>
                <w:szCs w:val="20"/>
              </w:rPr>
              <w:t>Human Gene Transfer Research (13494)</w:t>
            </w:r>
          </w:p>
        </w:tc>
      </w:tr>
    </w:tbl>
    <w:p w14:paraId="52B6A4A0" w14:textId="37B241CB" w:rsidR="00D17B04" w:rsidRPr="00720B94" w:rsidRDefault="00D17B04" w:rsidP="00720B94">
      <w:pPr>
        <w:pStyle w:val="Heading2"/>
        <w:spacing w:before="160"/>
        <w:rPr>
          <w:rFonts w:eastAsia="Arial"/>
        </w:rPr>
      </w:pPr>
      <w:bookmarkStart w:id="24" w:name="_Toc192509330"/>
      <w:r w:rsidRPr="00720B94">
        <w:rPr>
          <w:rFonts w:eastAsia="Arial"/>
        </w:rPr>
        <w:t xml:space="preserve">Principal Investigator </w:t>
      </w:r>
      <w:r w:rsidR="002658B3" w:rsidRPr="00720B94">
        <w:rPr>
          <w:rFonts w:eastAsia="Arial"/>
        </w:rPr>
        <w:t xml:space="preserve">(PI) </w:t>
      </w:r>
      <w:r w:rsidR="00437396" w:rsidRPr="00720B94">
        <w:rPr>
          <w:rFonts w:eastAsia="Arial"/>
        </w:rPr>
        <w:t>Assurance</w:t>
      </w:r>
      <w:r w:rsidR="004758BA" w:rsidRPr="00720B94">
        <w:rPr>
          <w:rFonts w:eastAsia="Arial"/>
        </w:rPr>
        <w:t xml:space="preserve"> Statement</w:t>
      </w:r>
      <w:bookmarkEnd w:id="24"/>
    </w:p>
    <w:p w14:paraId="5281268C" w14:textId="125D164D" w:rsidR="001B14E0" w:rsidRPr="00720B94" w:rsidRDefault="002658B3" w:rsidP="00720B94">
      <w:pPr>
        <w:rPr>
          <w:rFonts w:eastAsia="Arial" w:cs="Arial"/>
        </w:rPr>
      </w:pPr>
      <w:r w:rsidRPr="00720B94">
        <w:rPr>
          <w:rFonts w:eastAsia="Arial" w:cs="Arial"/>
        </w:rPr>
        <w:t>The PI is responsible for the scientific research within a laboratory, personnel</w:t>
      </w:r>
      <w:r w:rsidR="001E272D" w:rsidRPr="00720B94">
        <w:rPr>
          <w:rFonts w:eastAsia="Arial" w:cs="Arial"/>
        </w:rPr>
        <w:t xml:space="preserve"> training</w:t>
      </w:r>
      <w:r w:rsidRPr="00720B94">
        <w:rPr>
          <w:rFonts w:eastAsia="Arial" w:cs="Arial"/>
        </w:rPr>
        <w:t>, and must abide by and adhere to all UWL IBC policies, NIH Guidelines, Biosafety in Microbiological and Biomedical Laboratories (BMBL)</w:t>
      </w:r>
      <w:r w:rsidR="00F27F03" w:rsidRPr="00720B94">
        <w:rPr>
          <w:rFonts w:eastAsia="Arial" w:cs="Arial"/>
        </w:rPr>
        <w:t xml:space="preserve"> guidance</w:t>
      </w:r>
      <w:r w:rsidRPr="00720B94">
        <w:rPr>
          <w:rFonts w:eastAsia="Arial" w:cs="Arial"/>
        </w:rPr>
        <w:t>, and any other applicable regulations</w:t>
      </w:r>
      <w:r w:rsidR="0031500A" w:rsidRPr="00720B94">
        <w:rPr>
          <w:rFonts w:eastAsia="Arial" w:cs="Arial"/>
        </w:rPr>
        <w:t xml:space="preserve"> and policies</w:t>
      </w:r>
      <w:r w:rsidRPr="00720B94">
        <w:rPr>
          <w:rFonts w:eastAsia="Arial" w:cs="Arial"/>
        </w:rPr>
        <w:t>. The PI must understand, adhere to</w:t>
      </w:r>
      <w:r w:rsidR="0031500A" w:rsidRPr="00720B94">
        <w:rPr>
          <w:rFonts w:eastAsia="Arial" w:cs="Arial"/>
        </w:rPr>
        <w:t>,</w:t>
      </w:r>
      <w:r w:rsidR="003E46EC" w:rsidRPr="00720B94">
        <w:rPr>
          <w:rFonts w:eastAsia="Arial" w:cs="Arial"/>
        </w:rPr>
        <w:t xml:space="preserve"> and sign the UWL IBC assurance statement contained in their </w:t>
      </w:r>
      <w:hyperlink r:id="rId55" w:history="1">
        <w:r w:rsidR="007502C9" w:rsidRPr="00717676">
          <w:rPr>
            <w:rStyle w:val="Hyperlink"/>
            <w:rFonts w:eastAsia="Arial" w:cs="Arial"/>
            <w:color w:val="007D89" w:themeColor="accent3" w:themeShade="BF"/>
          </w:rPr>
          <w:t>Biosafety Protocol</w:t>
        </w:r>
        <w:r w:rsidR="003E46EC" w:rsidRPr="00717676">
          <w:rPr>
            <w:rStyle w:val="Hyperlink"/>
            <w:rFonts w:eastAsia="Arial" w:cs="Arial"/>
            <w:color w:val="007D89" w:themeColor="accent3" w:themeShade="BF"/>
          </w:rPr>
          <w:t xml:space="preserve"> </w:t>
        </w:r>
        <w:r w:rsidR="00F27F03" w:rsidRPr="00717676">
          <w:rPr>
            <w:rStyle w:val="Hyperlink"/>
            <w:rFonts w:eastAsia="Arial" w:cs="Arial"/>
            <w:color w:val="007D89" w:themeColor="accent3" w:themeShade="BF"/>
          </w:rPr>
          <w:t>Application</w:t>
        </w:r>
      </w:hyperlink>
      <w:r w:rsidR="00F27F03" w:rsidRPr="00720B94">
        <w:rPr>
          <w:rFonts w:eastAsia="Arial" w:cs="Arial"/>
        </w:rPr>
        <w:t xml:space="preserve"> </w:t>
      </w:r>
      <w:r w:rsidR="003E46EC" w:rsidRPr="00720B94">
        <w:rPr>
          <w:rFonts w:eastAsia="Arial" w:cs="Arial"/>
        </w:rPr>
        <w:t xml:space="preserve">and </w:t>
      </w:r>
      <w:r w:rsidR="00F27F03" w:rsidRPr="00720B94">
        <w:rPr>
          <w:rFonts w:eastAsia="Arial" w:cs="Arial"/>
        </w:rPr>
        <w:t>i</w:t>
      </w:r>
      <w:r w:rsidR="003E46EC" w:rsidRPr="00720B94">
        <w:rPr>
          <w:rFonts w:eastAsia="Arial" w:cs="Arial"/>
        </w:rPr>
        <w:t xml:space="preserve">ncluded below. </w:t>
      </w:r>
    </w:p>
    <w:p w14:paraId="794F9CD0" w14:textId="77777777" w:rsidR="001B14E0" w:rsidRPr="00720B94" w:rsidRDefault="003E46EC" w:rsidP="00720B94">
      <w:pPr>
        <w:rPr>
          <w:rFonts w:eastAsia="Arial" w:cs="Arial"/>
          <w:b/>
          <w:bCs/>
        </w:rPr>
      </w:pPr>
      <w:r w:rsidRPr="00720B94">
        <w:rPr>
          <w:rFonts w:eastAsia="Arial" w:cs="Arial"/>
          <w:b/>
          <w:bCs/>
        </w:rPr>
        <w:t xml:space="preserve">Assurance Statement </w:t>
      </w:r>
    </w:p>
    <w:p w14:paraId="5CA7E872" w14:textId="1CA85056" w:rsidR="009B4987" w:rsidRPr="00720B94" w:rsidRDefault="009B4987" w:rsidP="00720B94">
      <w:pPr>
        <w:rPr>
          <w:rFonts w:eastAsia="Arial" w:cs="Arial"/>
        </w:rPr>
      </w:pPr>
      <w:r w:rsidRPr="00720B94">
        <w:rPr>
          <w:rFonts w:eastAsia="Arial" w:cs="Arial"/>
        </w:rPr>
        <w:t>I certify that the information contained in this application is accurate and complete. I am familiar with and agree to abide by the</w:t>
      </w:r>
      <w:r w:rsidR="00DB7576" w:rsidRPr="00720B94">
        <w:rPr>
          <w:rFonts w:eastAsia="Arial" w:cs="Arial"/>
        </w:rPr>
        <w:t xml:space="preserve"> current editions of the</w:t>
      </w:r>
      <w:r w:rsidRPr="00720B94">
        <w:rPr>
          <w:rFonts w:eastAsia="Arial" w:cs="Arial"/>
        </w:rPr>
        <w:t xml:space="preserve"> </w:t>
      </w:r>
      <w:hyperlink r:id="rId56" w:tgtFrame="_blank" w:history="1">
        <w:r w:rsidRPr="00717676">
          <w:rPr>
            <w:rStyle w:val="Hyperlink"/>
            <w:rFonts w:eastAsia="Arial" w:cs="Arial"/>
            <w:color w:val="007D89" w:themeColor="accent3" w:themeShade="BF"/>
          </w:rPr>
          <w:t>NIH Guidelines for Research Involving Recombinant or Synthetic Nucleic Acid Molecules</w:t>
        </w:r>
      </w:hyperlink>
      <w:r w:rsidRPr="00720B94">
        <w:rPr>
          <w:rFonts w:eastAsia="Arial" w:cs="Arial"/>
        </w:rPr>
        <w:t xml:space="preserve">, CDC </w:t>
      </w:r>
      <w:hyperlink r:id="rId57" w:tgtFrame="_blank" w:history="1">
        <w:r w:rsidRPr="00717676">
          <w:rPr>
            <w:rStyle w:val="Hyperlink"/>
            <w:rFonts w:eastAsia="Arial" w:cs="Arial"/>
            <w:color w:val="007D89" w:themeColor="accent3" w:themeShade="BF"/>
          </w:rPr>
          <w:t>Biosafety in Microbiological and Biomedical Laboratories</w:t>
        </w:r>
      </w:hyperlink>
      <w:r w:rsidRPr="00720B94">
        <w:rPr>
          <w:rFonts w:eastAsia="Arial" w:cs="Arial"/>
        </w:rPr>
        <w:t xml:space="preserve">, </w:t>
      </w:r>
      <w:hyperlink r:id="rId58" w:tgtFrame="_blank" w:history="1">
        <w:r w:rsidRPr="00717676">
          <w:rPr>
            <w:rStyle w:val="Hyperlink"/>
            <w:rFonts w:eastAsia="Arial" w:cs="Arial"/>
            <w:color w:val="007D89" w:themeColor="accent3" w:themeShade="BF"/>
          </w:rPr>
          <w:t>US Government Policy for Oversight of Dual Use Research of Concern and Pathogens with Enhanced Pandemic Potential</w:t>
        </w:r>
      </w:hyperlink>
      <w:r w:rsidRPr="00720B94">
        <w:rPr>
          <w:rFonts w:eastAsia="Arial" w:cs="Arial"/>
          <w:u w:val="single"/>
        </w:rPr>
        <w:t xml:space="preserve">, </w:t>
      </w:r>
      <w:r w:rsidRPr="00720B94">
        <w:rPr>
          <w:rFonts w:eastAsia="Arial" w:cs="Arial"/>
        </w:rPr>
        <w:t>and the University of Wisconsin-La Crosse (UWL) Biosafety Manual. Also, I agree to abide by the following requirements:  </w:t>
      </w:r>
    </w:p>
    <w:p w14:paraId="308D4C76" w14:textId="77777777" w:rsidR="009B4987" w:rsidRPr="00720B94" w:rsidRDefault="009B4987" w:rsidP="0092380E">
      <w:pPr>
        <w:numPr>
          <w:ilvl w:val="0"/>
          <w:numId w:val="53"/>
        </w:numPr>
        <w:rPr>
          <w:rFonts w:eastAsia="Arial" w:cs="Arial"/>
        </w:rPr>
      </w:pPr>
      <w:r w:rsidRPr="00720B94">
        <w:rPr>
          <w:rFonts w:eastAsia="Arial" w:cs="Arial"/>
        </w:rPr>
        <w:t xml:space="preserve">I will not initiate any biological research subject to the guidance and guidelines mentioned above until that research has been registered, reviewed, and approved by the UW-La Crosse (UWL) Institutional Biosafety Committee (IBC). The purview of the UWL IBC includes biological research involving recombinant or synthetic nucleic acids; biological agents and pathogens; </w:t>
      </w:r>
      <w:r w:rsidRPr="00720B94">
        <w:rPr>
          <w:rFonts w:eastAsia="Arial" w:cs="Arial"/>
        </w:rPr>
        <w:lastRenderedPageBreak/>
        <w:t>human cells, tissues, materials and embryonic stem cells; non-human animal-derived cells, tissues, materials, or samples that are infectious, potentially infectious, or recombinant; animals or plants that are recombinant, exotic, and/or grown in association with pathogens, biological toxins, and/or recombinant materials; select agents and toxins; biological toxins; dual use research of concern (DURC) agents and toxins; pathogens with enhanced pandemic potential (PEPP); and the use of any of these in animal or plant research.  </w:t>
      </w:r>
    </w:p>
    <w:p w14:paraId="37BB05B0" w14:textId="77777777" w:rsidR="009B4987" w:rsidRPr="00720B94" w:rsidRDefault="009B4987" w:rsidP="0092380E">
      <w:pPr>
        <w:numPr>
          <w:ilvl w:val="0"/>
          <w:numId w:val="54"/>
        </w:numPr>
        <w:rPr>
          <w:rFonts w:eastAsia="Arial" w:cs="Arial"/>
        </w:rPr>
      </w:pPr>
      <w:r w:rsidRPr="00720B94">
        <w:rPr>
          <w:rFonts w:eastAsia="Arial" w:cs="Arial"/>
        </w:rPr>
        <w:t>I will assure that personnel, including animal care staff or other laboratory support staff, have received appropriate information, including signage, about the biological hazards of the research outlined in this application by making available copies of approved protocols, Biosafety Manuals, and Biological Research Registrations that describe the potential biohazards and precautions to be taken to prevent exposures or release to the laboratory or the environment.  </w:t>
      </w:r>
    </w:p>
    <w:p w14:paraId="1CD5FAF8" w14:textId="77777777" w:rsidR="009B4987" w:rsidRPr="00720B94" w:rsidRDefault="009B4987" w:rsidP="0092380E">
      <w:pPr>
        <w:numPr>
          <w:ilvl w:val="0"/>
          <w:numId w:val="55"/>
        </w:numPr>
        <w:rPr>
          <w:rFonts w:eastAsia="Arial" w:cs="Arial"/>
        </w:rPr>
      </w:pPr>
      <w:r w:rsidRPr="00720B94">
        <w:rPr>
          <w:rFonts w:eastAsia="Arial" w:cs="Arial"/>
        </w:rPr>
        <w:t>I will ensure that laboratory personnel understand the procedures for dealing with incidents and spills of biological materials and know the appropriate waste management procedures.  </w:t>
      </w:r>
    </w:p>
    <w:p w14:paraId="5809C140" w14:textId="77777777" w:rsidR="009B4987" w:rsidRPr="00720B94" w:rsidRDefault="009B4987" w:rsidP="0092380E">
      <w:pPr>
        <w:numPr>
          <w:ilvl w:val="0"/>
          <w:numId w:val="56"/>
        </w:numPr>
        <w:rPr>
          <w:rFonts w:eastAsia="Arial" w:cs="Arial"/>
        </w:rPr>
      </w:pPr>
      <w:r w:rsidRPr="00720B94">
        <w:rPr>
          <w:rFonts w:eastAsia="Arial" w:cs="Arial"/>
        </w:rPr>
        <w:t xml:space="preserve">I will work with appropriate university personnel to comply with all training and shipping requirements for the transport of hazardous biological materials (e.g., </w:t>
      </w:r>
      <w:hyperlink r:id="rId59" w:tgtFrame="_blank" w:history="1">
        <w:r w:rsidRPr="00717676">
          <w:rPr>
            <w:rStyle w:val="Hyperlink"/>
            <w:rFonts w:eastAsia="Arial" w:cs="Arial"/>
            <w:color w:val="007D89" w:themeColor="accent3" w:themeShade="BF"/>
          </w:rPr>
          <w:t>export controls regulations</w:t>
        </w:r>
      </w:hyperlink>
      <w:r w:rsidRPr="00720B94">
        <w:rPr>
          <w:rFonts w:eastAsia="Arial" w:cs="Arial"/>
        </w:rPr>
        <w:t xml:space="preserve">, US Department of Transportation (DOT) </w:t>
      </w:r>
      <w:hyperlink r:id="rId60" w:tgtFrame="_blank" w:history="1">
        <w:r w:rsidRPr="00717676">
          <w:rPr>
            <w:rStyle w:val="Hyperlink"/>
            <w:rFonts w:eastAsia="Arial" w:cs="Arial"/>
            <w:color w:val="007D89" w:themeColor="accent3" w:themeShade="BF"/>
          </w:rPr>
          <w:t>49 CFR 171-178</w:t>
        </w:r>
      </w:hyperlink>
      <w:r w:rsidRPr="00720B94">
        <w:rPr>
          <w:rFonts w:eastAsia="Arial" w:cs="Arial"/>
        </w:rPr>
        <w:t xml:space="preserve">, </w:t>
      </w:r>
      <w:hyperlink r:id="rId61" w:tgtFrame="_blank" w:history="1">
        <w:r w:rsidRPr="00717676">
          <w:rPr>
            <w:rStyle w:val="Hyperlink"/>
            <w:rFonts w:eastAsia="Arial" w:cs="Arial"/>
            <w:color w:val="007D89" w:themeColor="accent3" w:themeShade="BF"/>
          </w:rPr>
          <w:t>International Civil Aviation Organization</w:t>
        </w:r>
      </w:hyperlink>
      <w:r w:rsidRPr="00720B94">
        <w:rPr>
          <w:rFonts w:eastAsia="Arial" w:cs="Arial"/>
        </w:rPr>
        <w:t xml:space="preserve"> (ICAO), </w:t>
      </w:r>
      <w:hyperlink r:id="rId62" w:tgtFrame="_blank" w:history="1">
        <w:r w:rsidRPr="00717676">
          <w:rPr>
            <w:rStyle w:val="Hyperlink"/>
            <w:rFonts w:eastAsia="Arial" w:cs="Arial"/>
            <w:color w:val="007D89" w:themeColor="accent3" w:themeShade="BF"/>
          </w:rPr>
          <w:t>International Air Transport Association</w:t>
        </w:r>
      </w:hyperlink>
      <w:r w:rsidRPr="00720B94">
        <w:rPr>
          <w:rFonts w:eastAsia="Arial" w:cs="Arial"/>
        </w:rPr>
        <w:t xml:space="preserve"> (IATA), US Department of Agriculture (USDA) </w:t>
      </w:r>
      <w:hyperlink r:id="rId63" w:tgtFrame="_blank" w:history="1">
        <w:r w:rsidRPr="00717676">
          <w:rPr>
            <w:rStyle w:val="Hyperlink"/>
            <w:rFonts w:eastAsia="Arial" w:cs="Arial"/>
            <w:color w:val="007D89" w:themeColor="accent3" w:themeShade="BF"/>
          </w:rPr>
          <w:t>9 CFR 122</w:t>
        </w:r>
      </w:hyperlink>
      <w:r w:rsidRPr="00720B94">
        <w:rPr>
          <w:rFonts w:eastAsia="Arial" w:cs="Arial"/>
        </w:rPr>
        <w:t>). </w:t>
      </w:r>
    </w:p>
    <w:p w14:paraId="0947A732" w14:textId="77777777" w:rsidR="009B4987" w:rsidRPr="00720B94" w:rsidRDefault="009B4987" w:rsidP="0092380E">
      <w:pPr>
        <w:numPr>
          <w:ilvl w:val="0"/>
          <w:numId w:val="57"/>
        </w:numPr>
        <w:rPr>
          <w:rFonts w:eastAsia="Arial" w:cs="Arial"/>
        </w:rPr>
      </w:pPr>
      <w:r w:rsidRPr="00720B94">
        <w:rPr>
          <w:rFonts w:eastAsia="Arial" w:cs="Arial"/>
        </w:rPr>
        <w:t xml:space="preserve">I will comply with the OSHA </w:t>
      </w:r>
      <w:hyperlink r:id="rId64" w:tgtFrame="_blank" w:history="1">
        <w:r w:rsidRPr="00717676">
          <w:rPr>
            <w:rStyle w:val="Hyperlink"/>
            <w:rFonts w:eastAsia="Arial" w:cs="Arial"/>
            <w:color w:val="007D89" w:themeColor="accent3" w:themeShade="BF"/>
          </w:rPr>
          <w:t>Bloodborne Pathogen Standard 29 CFR 1910.1030</w:t>
        </w:r>
      </w:hyperlink>
      <w:r w:rsidRPr="00720B94">
        <w:rPr>
          <w:rFonts w:eastAsia="Arial" w:cs="Arial"/>
        </w:rPr>
        <w:t xml:space="preserve"> if my research includes human cells, tissues, materials, or embryonic stem cells.  </w:t>
      </w:r>
    </w:p>
    <w:p w14:paraId="1CE5CEB5" w14:textId="77777777" w:rsidR="009B4987" w:rsidRPr="00720B94" w:rsidRDefault="009B4987" w:rsidP="0092380E">
      <w:pPr>
        <w:numPr>
          <w:ilvl w:val="0"/>
          <w:numId w:val="58"/>
        </w:numPr>
        <w:rPr>
          <w:rFonts w:eastAsia="Arial" w:cs="Arial"/>
        </w:rPr>
      </w:pPr>
      <w:r w:rsidRPr="00720B94">
        <w:rPr>
          <w:rFonts w:eastAsia="Arial" w:cs="Arial"/>
        </w:rPr>
        <w:t>I will ensure that all laboratory personnel working with biological materials are listed on this application.  </w:t>
      </w:r>
    </w:p>
    <w:p w14:paraId="3737A94E" w14:textId="77777777" w:rsidR="009B4987" w:rsidRPr="00720B94" w:rsidRDefault="009B4987" w:rsidP="0092380E">
      <w:pPr>
        <w:numPr>
          <w:ilvl w:val="0"/>
          <w:numId w:val="59"/>
        </w:numPr>
        <w:rPr>
          <w:rFonts w:eastAsia="Arial" w:cs="Arial"/>
        </w:rPr>
      </w:pPr>
      <w:r w:rsidRPr="00720B94">
        <w:rPr>
          <w:rFonts w:eastAsia="Arial" w:cs="Arial"/>
        </w:rPr>
        <w:t>I will assure that I along with all laboratory personnel have completed all required biosafety training and that their training records are up to date.  </w:t>
      </w:r>
    </w:p>
    <w:p w14:paraId="6D66EDF9" w14:textId="77777777" w:rsidR="009B4987" w:rsidRPr="00720B94" w:rsidRDefault="009B4987" w:rsidP="0092380E">
      <w:pPr>
        <w:numPr>
          <w:ilvl w:val="0"/>
          <w:numId w:val="60"/>
        </w:numPr>
        <w:rPr>
          <w:rFonts w:eastAsia="Arial" w:cs="Arial"/>
        </w:rPr>
      </w:pPr>
      <w:r w:rsidRPr="00720B94">
        <w:rPr>
          <w:rFonts w:eastAsia="Arial" w:cs="Arial"/>
        </w:rPr>
        <w:t>I assure that all laboratory spaces associated with the research and/or instruction described in this application are listed.  </w:t>
      </w:r>
    </w:p>
    <w:p w14:paraId="20C46517" w14:textId="77777777" w:rsidR="009B4987" w:rsidRPr="00720B94" w:rsidRDefault="009B4987" w:rsidP="0092380E">
      <w:pPr>
        <w:numPr>
          <w:ilvl w:val="0"/>
          <w:numId w:val="61"/>
        </w:numPr>
        <w:rPr>
          <w:rFonts w:eastAsia="Arial" w:cs="Arial"/>
        </w:rPr>
      </w:pPr>
      <w:r w:rsidRPr="00720B94">
        <w:rPr>
          <w:rFonts w:eastAsia="Arial" w:cs="Arial"/>
        </w:rPr>
        <w:t xml:space="preserve">I am familiar with and understand my responsibilities as a Principal Investigator as outlined in </w:t>
      </w:r>
      <w:hyperlink r:id="rId65" w:anchor="_Toc3457063" w:tgtFrame="_blank" w:history="1">
        <w:r w:rsidRPr="00717676">
          <w:rPr>
            <w:rStyle w:val="Hyperlink"/>
            <w:rFonts w:eastAsia="Arial" w:cs="Arial"/>
            <w:color w:val="007D89" w:themeColor="accent3" w:themeShade="BF"/>
          </w:rPr>
          <w:t>Section IV-B-7</w:t>
        </w:r>
      </w:hyperlink>
      <w:r w:rsidRPr="00720B94">
        <w:rPr>
          <w:rFonts w:eastAsia="Arial" w:cs="Arial"/>
        </w:rPr>
        <w:t xml:space="preserve"> of the NIH Guidelines.  </w:t>
      </w:r>
    </w:p>
    <w:p w14:paraId="2966F21B" w14:textId="77777777" w:rsidR="009B4987" w:rsidRPr="00720B94" w:rsidRDefault="009B4987" w:rsidP="0092380E">
      <w:pPr>
        <w:numPr>
          <w:ilvl w:val="0"/>
          <w:numId w:val="62"/>
        </w:numPr>
        <w:rPr>
          <w:rFonts w:eastAsia="Arial" w:cs="Arial"/>
        </w:rPr>
      </w:pPr>
      <w:r w:rsidRPr="00720B94">
        <w:rPr>
          <w:rFonts w:eastAsia="Arial" w:cs="Arial"/>
        </w:rPr>
        <w:t>I will assure adequate supervision of personnel and will correct work errors and conditions that could result in breaches of the guidelines and regulations pertaining to this research as listed above.  </w:t>
      </w:r>
    </w:p>
    <w:p w14:paraId="1F14DB17" w14:textId="66C6F0AA" w:rsidR="009B4987" w:rsidRPr="00720B94" w:rsidRDefault="009B4987" w:rsidP="00720B94">
      <w:pPr>
        <w:rPr>
          <w:rFonts w:eastAsia="Arial" w:cs="Arial"/>
        </w:rPr>
      </w:pPr>
      <w:r w:rsidRPr="00720B94">
        <w:rPr>
          <w:rFonts w:eastAsia="Arial" w:cs="Arial"/>
        </w:rPr>
        <w:t>I understand that failure to adhere to all related requirements may result in penalties outlined in federal and state regulations, sponsor guidelines, and institutional policies such as the IBC Noncompliance Policy. </w:t>
      </w:r>
    </w:p>
    <w:p w14:paraId="56C42C7D" w14:textId="70BB6384" w:rsidR="00F76B86" w:rsidRPr="00720B94" w:rsidRDefault="00F76B86" w:rsidP="00720B94">
      <w:pPr>
        <w:pStyle w:val="Heading1"/>
      </w:pPr>
      <w:bookmarkStart w:id="25" w:name="_Toc192509331"/>
      <w:r w:rsidRPr="00720B94">
        <w:t>General Principles of Biological Safety</w:t>
      </w:r>
      <w:bookmarkEnd w:id="25"/>
    </w:p>
    <w:p w14:paraId="78752CAB" w14:textId="77777777" w:rsidR="00F76B86" w:rsidRPr="00720B94" w:rsidRDefault="00F76B86" w:rsidP="00720B94">
      <w:pPr>
        <w:pStyle w:val="Heading2"/>
      </w:pPr>
      <w:bookmarkStart w:id="26" w:name="_Risk_Assessment"/>
      <w:bookmarkStart w:id="27" w:name="_Toc192509332"/>
      <w:bookmarkEnd w:id="26"/>
      <w:r w:rsidRPr="00720B94">
        <w:t>Risk Assessment</w:t>
      </w:r>
      <w:bookmarkEnd w:id="27"/>
    </w:p>
    <w:p w14:paraId="4B7F6C2E" w14:textId="6B4AEB64" w:rsidR="00AC5D23" w:rsidRPr="00720B94" w:rsidRDefault="00EA6F0D" w:rsidP="00720B94">
      <w:pPr>
        <w:spacing w:line="276" w:lineRule="auto"/>
        <w:rPr>
          <w:rFonts w:eastAsia="Arial" w:cs="Arial"/>
        </w:rPr>
      </w:pPr>
      <w:r w:rsidRPr="00720B94">
        <w:rPr>
          <w:rFonts w:eastAsia="Arial" w:cs="Arial"/>
          <w:bCs/>
        </w:rPr>
        <w:t>All</w:t>
      </w:r>
      <w:r w:rsidR="00564A92" w:rsidRPr="00720B94">
        <w:rPr>
          <w:rFonts w:eastAsia="Arial" w:cs="Arial"/>
          <w:bCs/>
        </w:rPr>
        <w:t xml:space="preserve"> </w:t>
      </w:r>
      <w:r w:rsidRPr="00720B94">
        <w:rPr>
          <w:rFonts w:eastAsia="Arial" w:cs="Arial"/>
          <w:bCs/>
        </w:rPr>
        <w:t xml:space="preserve">researchers and instructors planning to conduct or oversee </w:t>
      </w:r>
      <w:r w:rsidR="00782B44" w:rsidRPr="00720B94">
        <w:rPr>
          <w:rFonts w:eastAsia="Arial" w:cs="Arial"/>
          <w:bCs/>
        </w:rPr>
        <w:t>biological research</w:t>
      </w:r>
      <w:r w:rsidRPr="00720B94">
        <w:rPr>
          <w:rFonts w:eastAsia="Arial" w:cs="Arial"/>
          <w:bCs/>
        </w:rPr>
        <w:t xml:space="preserve"> </w:t>
      </w:r>
      <w:r w:rsidR="00782B44" w:rsidRPr="00720B94">
        <w:rPr>
          <w:rFonts w:eastAsia="Arial" w:cs="Arial"/>
          <w:bCs/>
        </w:rPr>
        <w:t>must</w:t>
      </w:r>
      <w:r w:rsidRPr="00720B94">
        <w:rPr>
          <w:rFonts w:eastAsia="Arial" w:cs="Arial"/>
          <w:bCs/>
        </w:rPr>
        <w:t xml:space="preserve"> perform an initial risk assessment. </w:t>
      </w:r>
      <w:r w:rsidR="002A0B19" w:rsidRPr="00720B94">
        <w:rPr>
          <w:rFonts w:eastAsia="Arial" w:cs="Arial"/>
          <w:bCs/>
        </w:rPr>
        <w:t>Risk identification in the field, classroom, and lab is</w:t>
      </w:r>
      <w:r w:rsidR="002A0B19" w:rsidRPr="00720B94">
        <w:rPr>
          <w:rFonts w:eastAsia="Arial" w:cs="Arial"/>
        </w:rPr>
        <w:t xml:space="preserve"> essential to the protection of personnel, the public, and the environment. A risk assessment is a subjective process that identifies the risks associated with handling and manipulating a biological agent, biological material, or recombinant materials that could potentially cause harm to humans, animals, or the environment. </w:t>
      </w:r>
      <w:r w:rsidR="00CC6005" w:rsidRPr="00720B94">
        <w:rPr>
          <w:rFonts w:eastAsia="Arial" w:cs="Arial"/>
        </w:rPr>
        <w:t>M</w:t>
      </w:r>
      <w:r w:rsidR="002A0B19" w:rsidRPr="00720B94">
        <w:rPr>
          <w:rFonts w:eastAsia="Arial" w:cs="Arial"/>
        </w:rPr>
        <w:t xml:space="preserve">ultiple factors </w:t>
      </w:r>
      <w:r w:rsidR="002A0B19" w:rsidRPr="00720B94">
        <w:rPr>
          <w:rFonts w:eastAsia="Arial" w:cs="Arial"/>
        </w:rPr>
        <w:lastRenderedPageBreak/>
        <w:t xml:space="preserve">must be considered, including its origin (i.e., human derivation, viral construct, plant pollinator genome, etc.), infectivity, transmissibility, severity of disease, availability of potential treatments, and the nature of work associated with the materials being handled. </w:t>
      </w:r>
      <w:r w:rsidR="0006315B" w:rsidRPr="00720B94">
        <w:rPr>
          <w:rFonts w:eastAsia="Arial" w:cs="Arial"/>
        </w:rPr>
        <w:t>R</w:t>
      </w:r>
      <w:r w:rsidR="002A0B19" w:rsidRPr="00720B94">
        <w:rPr>
          <w:rFonts w:eastAsia="Arial" w:cs="Arial"/>
        </w:rPr>
        <w:t xml:space="preserve">isk assessment </w:t>
      </w:r>
      <w:r w:rsidR="00CC6005" w:rsidRPr="00720B94">
        <w:rPr>
          <w:rFonts w:eastAsia="Arial" w:cs="Arial"/>
        </w:rPr>
        <w:t xml:space="preserve">results </w:t>
      </w:r>
      <w:r w:rsidR="002A0B19" w:rsidRPr="00720B94">
        <w:rPr>
          <w:rFonts w:eastAsia="Arial" w:cs="Arial"/>
        </w:rPr>
        <w:t xml:space="preserve">provide guidance for the appropriate biosafety level, laboratory practices and procedures, PPE, safety equipment, and facility design to protect all parties from potential exposure or release. When risk is unknown, a conservative approach is best, and safeguards should be incorporated into biosafety procedures until more information is available. Personnel training can mitigate some </w:t>
      </w:r>
      <w:proofErr w:type="gramStart"/>
      <w:r w:rsidR="002A0B19" w:rsidRPr="00720B94">
        <w:rPr>
          <w:rFonts w:eastAsia="Arial" w:cs="Arial"/>
        </w:rPr>
        <w:t>risks</w:t>
      </w:r>
      <w:proofErr w:type="gramEnd"/>
      <w:r w:rsidR="002A0B19" w:rsidRPr="00720B94">
        <w:rPr>
          <w:rFonts w:eastAsia="Arial" w:cs="Arial"/>
        </w:rPr>
        <w:t xml:space="preserve"> and, in some cases, additional training may be warranted to safely conduct the work necessary.</w:t>
      </w:r>
      <w:r w:rsidR="00AC5D23" w:rsidRPr="00720B94">
        <w:rPr>
          <w:rFonts w:eastAsia="Arial" w:cs="Arial"/>
        </w:rPr>
        <w:t xml:space="preserve"> In general, the following should be considered when evaluating a known infectious or potentially infectious agent or material:</w:t>
      </w:r>
    </w:p>
    <w:p w14:paraId="726604AA" w14:textId="77777777" w:rsidR="00AC5D23" w:rsidRPr="00720B94" w:rsidRDefault="00AC5D23" w:rsidP="0092380E">
      <w:pPr>
        <w:pStyle w:val="ListParagraph"/>
        <w:numPr>
          <w:ilvl w:val="0"/>
          <w:numId w:val="2"/>
        </w:numPr>
        <w:spacing w:line="276" w:lineRule="auto"/>
        <w:rPr>
          <w:rFonts w:eastAsia="Arial" w:cs="Arial"/>
          <w:sz w:val="22"/>
          <w:szCs w:val="22"/>
        </w:rPr>
      </w:pPr>
      <w:r w:rsidRPr="00720B94">
        <w:rPr>
          <w:rFonts w:eastAsia="Arial" w:cs="Arial"/>
          <w:sz w:val="22"/>
          <w:szCs w:val="22"/>
        </w:rPr>
        <w:t xml:space="preserve">The agent’s biological and physical nature </w:t>
      </w:r>
    </w:p>
    <w:p w14:paraId="4ECDD36F" w14:textId="77777777" w:rsidR="00AC5D23" w:rsidRPr="00720B94" w:rsidRDefault="00AC5D23" w:rsidP="0092380E">
      <w:pPr>
        <w:pStyle w:val="ListParagraph"/>
        <w:numPr>
          <w:ilvl w:val="0"/>
          <w:numId w:val="2"/>
        </w:numPr>
        <w:spacing w:line="276" w:lineRule="auto"/>
        <w:rPr>
          <w:rFonts w:eastAsia="Arial" w:cs="Arial"/>
          <w:sz w:val="22"/>
          <w:szCs w:val="22"/>
        </w:rPr>
      </w:pPr>
      <w:r w:rsidRPr="00720B94">
        <w:rPr>
          <w:rFonts w:eastAsia="Arial" w:cs="Arial"/>
          <w:sz w:val="22"/>
          <w:szCs w:val="22"/>
        </w:rPr>
        <w:t xml:space="preserve">The concentration and suspension volume of the agent </w:t>
      </w:r>
    </w:p>
    <w:p w14:paraId="493535E5" w14:textId="77777777" w:rsidR="00AC5D23" w:rsidRPr="00720B94" w:rsidRDefault="00AC5D23" w:rsidP="0092380E">
      <w:pPr>
        <w:pStyle w:val="ListParagraph"/>
        <w:numPr>
          <w:ilvl w:val="0"/>
          <w:numId w:val="2"/>
        </w:numPr>
        <w:spacing w:line="276" w:lineRule="auto"/>
        <w:rPr>
          <w:rFonts w:eastAsia="Arial" w:cs="Arial"/>
          <w:sz w:val="22"/>
          <w:szCs w:val="22"/>
        </w:rPr>
      </w:pPr>
      <w:r w:rsidRPr="00720B94">
        <w:rPr>
          <w:rFonts w:eastAsia="Arial" w:cs="Arial"/>
          <w:sz w:val="22"/>
          <w:szCs w:val="22"/>
        </w:rPr>
        <w:t xml:space="preserve">The sources likely to harbor the agent </w:t>
      </w:r>
    </w:p>
    <w:p w14:paraId="1961739A" w14:textId="77777777" w:rsidR="00AC5D23" w:rsidRPr="00720B94" w:rsidRDefault="00AC5D23" w:rsidP="0092380E">
      <w:pPr>
        <w:pStyle w:val="ListParagraph"/>
        <w:numPr>
          <w:ilvl w:val="0"/>
          <w:numId w:val="2"/>
        </w:numPr>
        <w:spacing w:line="276" w:lineRule="auto"/>
        <w:rPr>
          <w:rFonts w:eastAsia="Arial" w:cs="Arial"/>
          <w:sz w:val="22"/>
          <w:szCs w:val="22"/>
        </w:rPr>
      </w:pPr>
      <w:r w:rsidRPr="00720B94">
        <w:rPr>
          <w:rFonts w:eastAsia="Arial" w:cs="Arial"/>
          <w:sz w:val="22"/>
          <w:szCs w:val="22"/>
        </w:rPr>
        <w:t xml:space="preserve">Host susceptibility </w:t>
      </w:r>
    </w:p>
    <w:p w14:paraId="4A9C9384" w14:textId="77777777" w:rsidR="00AC5D23" w:rsidRPr="00720B94" w:rsidRDefault="00AC5D23" w:rsidP="0092380E">
      <w:pPr>
        <w:pStyle w:val="ListParagraph"/>
        <w:numPr>
          <w:ilvl w:val="0"/>
          <w:numId w:val="2"/>
        </w:numPr>
        <w:spacing w:line="276" w:lineRule="auto"/>
        <w:rPr>
          <w:rFonts w:eastAsia="Arial" w:cs="Arial"/>
          <w:sz w:val="22"/>
          <w:szCs w:val="22"/>
        </w:rPr>
      </w:pPr>
      <w:r w:rsidRPr="00720B94">
        <w:rPr>
          <w:rFonts w:eastAsia="Arial" w:cs="Arial"/>
          <w:sz w:val="22"/>
          <w:szCs w:val="22"/>
        </w:rPr>
        <w:t xml:space="preserve">The procedures that may disseminate the agent </w:t>
      </w:r>
    </w:p>
    <w:p w14:paraId="73D40E1C" w14:textId="77777777" w:rsidR="00AC5D23" w:rsidRPr="00720B94" w:rsidRDefault="00AC5D23" w:rsidP="0092380E">
      <w:pPr>
        <w:pStyle w:val="ListParagraph"/>
        <w:numPr>
          <w:ilvl w:val="0"/>
          <w:numId w:val="2"/>
        </w:numPr>
        <w:spacing w:after="160" w:line="276" w:lineRule="auto"/>
        <w:rPr>
          <w:rFonts w:eastAsia="Arial" w:cs="Arial"/>
          <w:sz w:val="22"/>
          <w:szCs w:val="22"/>
        </w:rPr>
      </w:pPr>
      <w:r w:rsidRPr="00720B94">
        <w:rPr>
          <w:rFonts w:eastAsia="Arial" w:cs="Arial"/>
          <w:sz w:val="22"/>
          <w:szCs w:val="22"/>
        </w:rPr>
        <w:t>The best method to effectively inactivate the agent</w:t>
      </w:r>
    </w:p>
    <w:p w14:paraId="2D07C98C" w14:textId="32DEBD55" w:rsidR="003F5852" w:rsidRPr="00720B94" w:rsidRDefault="004B16F0" w:rsidP="00720B94">
      <w:pPr>
        <w:spacing w:line="276" w:lineRule="auto"/>
        <w:rPr>
          <w:rFonts w:eastAsia="Arial" w:cs="Arial"/>
          <w:bCs/>
        </w:rPr>
      </w:pPr>
      <w:r w:rsidRPr="00720B94">
        <w:rPr>
          <w:rFonts w:eastAsia="Arial" w:cs="Arial"/>
          <w:bCs/>
        </w:rPr>
        <w:t xml:space="preserve">Refer to the </w:t>
      </w:r>
      <w:hyperlink r:id="rId66" w:history="1">
        <w:r w:rsidRPr="00717676">
          <w:rPr>
            <w:rStyle w:val="Hyperlink"/>
            <w:rFonts w:eastAsia="Arial" w:cs="Arial"/>
            <w:bCs/>
            <w:color w:val="007D89" w:themeColor="accent3" w:themeShade="BF"/>
          </w:rPr>
          <w:t>CDC Biological Risk Assessment</w:t>
        </w:r>
      </w:hyperlink>
      <w:r w:rsidRPr="00720B94">
        <w:rPr>
          <w:rFonts w:eastAsia="Arial" w:cs="Arial"/>
          <w:bCs/>
        </w:rPr>
        <w:t xml:space="preserve"> for an overview of the process</w:t>
      </w:r>
      <w:r w:rsidR="00333F19" w:rsidRPr="00720B94">
        <w:rPr>
          <w:rFonts w:eastAsia="Arial" w:cs="Arial"/>
          <w:bCs/>
        </w:rPr>
        <w:t xml:space="preserve"> (</w:t>
      </w:r>
      <w:r w:rsidR="004F178E" w:rsidRPr="00720B94">
        <w:rPr>
          <w:rFonts w:eastAsia="Arial" w:cs="Arial"/>
          <w:bCs/>
        </w:rPr>
        <w:t xml:space="preserve">also </w:t>
      </w:r>
      <w:r w:rsidRPr="00720B94">
        <w:rPr>
          <w:rFonts w:eastAsia="Arial" w:cs="Arial"/>
          <w:bCs/>
        </w:rPr>
        <w:t>see</w:t>
      </w:r>
      <w:r w:rsidR="00334877" w:rsidRPr="00720B94">
        <w:rPr>
          <w:rFonts w:eastAsia="Arial" w:cs="Arial"/>
          <w:bCs/>
        </w:rPr>
        <w:t xml:space="preserve"> </w:t>
      </w:r>
      <w:r w:rsidR="005F56A9" w:rsidRPr="00720B94">
        <w:rPr>
          <w:rFonts w:eastAsia="Arial" w:cs="Arial"/>
          <w:bCs/>
        </w:rPr>
        <w:t>NIH Guidelines,</w:t>
      </w:r>
      <w:r w:rsidR="00570FE9" w:rsidRPr="00720B94">
        <w:rPr>
          <w:rFonts w:eastAsia="Arial" w:cs="Arial"/>
          <w:bCs/>
        </w:rPr>
        <w:t xml:space="preserve"> </w:t>
      </w:r>
      <w:hyperlink r:id="rId67" w:anchor="_Toc3457029" w:history="1">
        <w:r w:rsidR="00570FE9" w:rsidRPr="00717676">
          <w:rPr>
            <w:rStyle w:val="Hyperlink"/>
            <w:rFonts w:eastAsia="Arial" w:cs="Arial"/>
            <w:bCs/>
            <w:color w:val="007D89" w:themeColor="accent3" w:themeShade="BF"/>
          </w:rPr>
          <w:t>Section II-A-3</w:t>
        </w:r>
      </w:hyperlink>
      <w:r w:rsidR="00570FE9" w:rsidRPr="00720B94">
        <w:rPr>
          <w:rFonts w:eastAsia="Arial" w:cs="Arial"/>
          <w:bCs/>
        </w:rPr>
        <w:t>, and</w:t>
      </w:r>
      <w:r w:rsidR="005F56A9" w:rsidRPr="00720B94">
        <w:rPr>
          <w:rFonts w:eastAsia="Arial" w:cs="Arial"/>
          <w:bCs/>
        </w:rPr>
        <w:t xml:space="preserve"> </w:t>
      </w:r>
      <w:hyperlink r:id="rId68" w:history="1">
        <w:r w:rsidR="00334877" w:rsidRPr="00717676">
          <w:rPr>
            <w:rStyle w:val="Hyperlink"/>
            <w:rFonts w:eastAsia="Arial" w:cs="Arial"/>
            <w:bCs/>
            <w:color w:val="007D89" w:themeColor="accent3" w:themeShade="BF"/>
          </w:rPr>
          <w:t>BMBL</w:t>
        </w:r>
      </w:hyperlink>
      <w:r w:rsidR="00334877" w:rsidRPr="00720B94">
        <w:rPr>
          <w:rFonts w:eastAsia="Arial" w:cs="Arial"/>
          <w:bCs/>
        </w:rPr>
        <w:t>, Section II</w:t>
      </w:r>
      <w:r w:rsidR="00570FE9" w:rsidRPr="00720B94">
        <w:rPr>
          <w:rFonts w:eastAsia="Arial" w:cs="Arial"/>
          <w:bCs/>
        </w:rPr>
        <w:t>)</w:t>
      </w:r>
      <w:r w:rsidR="003F5852" w:rsidRPr="00720B94">
        <w:rPr>
          <w:rFonts w:eastAsia="Arial" w:cs="Arial"/>
          <w:bCs/>
        </w:rPr>
        <w:t>.</w:t>
      </w:r>
      <w:r w:rsidR="009170C4" w:rsidRPr="00720B94">
        <w:rPr>
          <w:rFonts w:eastAsia="Arial" w:cs="Arial"/>
          <w:bCs/>
        </w:rPr>
        <w:t xml:space="preserve"> </w:t>
      </w:r>
      <w:r w:rsidR="00671D57" w:rsidRPr="00720B94">
        <w:rPr>
          <w:rFonts w:eastAsia="Arial" w:cs="Arial"/>
          <w:bCs/>
        </w:rPr>
        <w:t>As an overview, t</w:t>
      </w:r>
      <w:r w:rsidR="00C014BC" w:rsidRPr="00720B94">
        <w:rPr>
          <w:rFonts w:eastAsia="Arial" w:cs="Arial"/>
          <w:bCs/>
        </w:rPr>
        <w:t>he BMBL recommends the following steps:</w:t>
      </w:r>
    </w:p>
    <w:p w14:paraId="02D6AEDD" w14:textId="1B46C8EB" w:rsidR="001032DF" w:rsidRPr="00720B94" w:rsidRDefault="009346CB" w:rsidP="0092380E">
      <w:pPr>
        <w:pStyle w:val="ListParagraph"/>
        <w:numPr>
          <w:ilvl w:val="0"/>
          <w:numId w:val="41"/>
        </w:numPr>
        <w:spacing w:line="276" w:lineRule="auto"/>
        <w:rPr>
          <w:rFonts w:eastAsia="Arial" w:cs="Arial"/>
          <w:bCs/>
          <w:sz w:val="22"/>
          <w:szCs w:val="22"/>
        </w:rPr>
      </w:pPr>
      <w:r w:rsidRPr="00720B94">
        <w:rPr>
          <w:rFonts w:eastAsia="Arial" w:cs="Arial"/>
          <w:bCs/>
          <w:sz w:val="22"/>
          <w:szCs w:val="22"/>
        </w:rPr>
        <w:t>I</w:t>
      </w:r>
      <w:r w:rsidR="00765AAC" w:rsidRPr="00720B94">
        <w:rPr>
          <w:rFonts w:eastAsia="Arial" w:cs="Arial"/>
          <w:bCs/>
          <w:sz w:val="22"/>
          <w:szCs w:val="22"/>
        </w:rPr>
        <w:t>dentify hazardous characteristics of the agent and perform an assessment of the inherent risk, which is the risk in the absence of mitigating factors.</w:t>
      </w:r>
      <w:r w:rsidR="00733049" w:rsidRPr="00720B94">
        <w:rPr>
          <w:rFonts w:eastAsia="Arial" w:cs="Arial"/>
          <w:bCs/>
          <w:sz w:val="22"/>
          <w:szCs w:val="22"/>
        </w:rPr>
        <w:t xml:space="preserve"> </w:t>
      </w:r>
    </w:p>
    <w:p w14:paraId="02055A12" w14:textId="60BC547E" w:rsidR="00C014BC" w:rsidRPr="00720B94" w:rsidRDefault="00A47BD8" w:rsidP="0092380E">
      <w:pPr>
        <w:pStyle w:val="ListParagraph"/>
        <w:numPr>
          <w:ilvl w:val="1"/>
          <w:numId w:val="41"/>
        </w:numPr>
        <w:spacing w:line="276" w:lineRule="auto"/>
        <w:rPr>
          <w:rFonts w:eastAsia="Arial" w:cs="Arial"/>
          <w:bCs/>
          <w:sz w:val="22"/>
          <w:szCs w:val="22"/>
        </w:rPr>
      </w:pPr>
      <w:r w:rsidRPr="00720B94">
        <w:rPr>
          <w:rFonts w:eastAsia="Arial" w:cs="Arial"/>
          <w:bCs/>
          <w:sz w:val="22"/>
          <w:szCs w:val="22"/>
        </w:rPr>
        <w:t xml:space="preserve">To identify </w:t>
      </w:r>
      <w:r w:rsidR="00037797" w:rsidRPr="00720B94">
        <w:rPr>
          <w:rFonts w:eastAsia="Arial" w:cs="Arial"/>
          <w:bCs/>
          <w:sz w:val="22"/>
          <w:szCs w:val="22"/>
        </w:rPr>
        <w:t>an agent’s risk group</w:t>
      </w:r>
      <w:r w:rsidR="00000EF2" w:rsidRPr="00720B94">
        <w:rPr>
          <w:rFonts w:eastAsia="Arial" w:cs="Arial"/>
          <w:bCs/>
          <w:sz w:val="22"/>
          <w:szCs w:val="22"/>
        </w:rPr>
        <w:t xml:space="preserve"> (RG)</w:t>
      </w:r>
      <w:r w:rsidR="00037797" w:rsidRPr="00720B94">
        <w:rPr>
          <w:rFonts w:eastAsia="Arial" w:cs="Arial"/>
          <w:bCs/>
          <w:sz w:val="22"/>
          <w:szCs w:val="22"/>
        </w:rPr>
        <w:t xml:space="preserve">, see the </w:t>
      </w:r>
      <w:hyperlink r:id="rId69" w:history="1">
        <w:r w:rsidR="00037797" w:rsidRPr="00717676">
          <w:rPr>
            <w:rStyle w:val="Hyperlink"/>
            <w:rFonts w:eastAsia="Arial" w:cs="Arial"/>
            <w:bCs/>
            <w:color w:val="007D89" w:themeColor="accent3" w:themeShade="BF"/>
            <w:sz w:val="22"/>
            <w:szCs w:val="22"/>
          </w:rPr>
          <w:t>American Biological Safety Association’s risk group database</w:t>
        </w:r>
      </w:hyperlink>
      <w:r w:rsidR="00037797" w:rsidRPr="00720B94">
        <w:rPr>
          <w:rFonts w:eastAsia="Arial" w:cs="Arial"/>
          <w:bCs/>
          <w:sz w:val="22"/>
          <w:szCs w:val="22"/>
        </w:rPr>
        <w:t xml:space="preserve">. Also see the </w:t>
      </w:r>
      <w:hyperlink w:anchor="_Summary_of_Risk" w:history="1">
        <w:r w:rsidR="00000EF2" w:rsidRPr="00717676">
          <w:rPr>
            <w:rStyle w:val="Hyperlink"/>
            <w:rFonts w:eastAsia="Arial" w:cs="Arial"/>
            <w:bCs/>
            <w:color w:val="007D89" w:themeColor="accent3" w:themeShade="BF"/>
            <w:sz w:val="22"/>
            <w:szCs w:val="22"/>
          </w:rPr>
          <w:t>Summary of Risk Groups (RGs)</w:t>
        </w:r>
      </w:hyperlink>
      <w:r w:rsidR="00000EF2" w:rsidRPr="00720B94">
        <w:rPr>
          <w:rFonts w:eastAsia="Arial" w:cs="Arial"/>
          <w:bCs/>
          <w:sz w:val="22"/>
          <w:szCs w:val="22"/>
        </w:rPr>
        <w:t xml:space="preserve"> in this manual.</w:t>
      </w:r>
      <w:r w:rsidR="00037797" w:rsidRPr="00720B94">
        <w:rPr>
          <w:rFonts w:eastAsia="Arial" w:cs="Arial"/>
          <w:bCs/>
          <w:sz w:val="22"/>
          <w:szCs w:val="22"/>
        </w:rPr>
        <w:t xml:space="preserve"> </w:t>
      </w:r>
      <w:r w:rsidR="00000EF2" w:rsidRPr="00720B94">
        <w:rPr>
          <w:rFonts w:eastAsia="Arial" w:cs="Arial"/>
          <w:bCs/>
          <w:sz w:val="22"/>
          <w:szCs w:val="22"/>
        </w:rPr>
        <w:t xml:space="preserve">The </w:t>
      </w:r>
      <w:hyperlink r:id="rId70" w:history="1">
        <w:r w:rsidR="00733049" w:rsidRPr="00717676">
          <w:rPr>
            <w:rStyle w:val="Hyperlink"/>
            <w:rFonts w:eastAsia="Arial" w:cs="Arial"/>
            <w:bCs/>
            <w:color w:val="007D89" w:themeColor="accent3" w:themeShade="BF"/>
            <w:sz w:val="22"/>
            <w:szCs w:val="22"/>
          </w:rPr>
          <w:t>BMBL</w:t>
        </w:r>
      </w:hyperlink>
      <w:r w:rsidR="00733049" w:rsidRPr="00720B94">
        <w:rPr>
          <w:rFonts w:eastAsia="Arial" w:cs="Arial"/>
          <w:bCs/>
          <w:sz w:val="22"/>
          <w:szCs w:val="22"/>
        </w:rPr>
        <w:t xml:space="preserve">, Section VIII provides summary statements for many agents associated with </w:t>
      </w:r>
      <w:r w:rsidR="00FF2B74" w:rsidRPr="00720B94">
        <w:rPr>
          <w:rFonts w:eastAsia="Arial" w:cs="Arial"/>
          <w:bCs/>
          <w:sz w:val="22"/>
          <w:szCs w:val="22"/>
        </w:rPr>
        <w:t>laboratory</w:t>
      </w:r>
      <w:r w:rsidR="00D15B16" w:rsidRPr="00720B94">
        <w:rPr>
          <w:rFonts w:eastAsia="Arial" w:cs="Arial"/>
          <w:bCs/>
          <w:sz w:val="22"/>
          <w:szCs w:val="22"/>
        </w:rPr>
        <w:t>-</w:t>
      </w:r>
      <w:r w:rsidR="00FF2B74" w:rsidRPr="00720B94">
        <w:rPr>
          <w:rFonts w:eastAsia="Arial" w:cs="Arial"/>
          <w:bCs/>
          <w:sz w:val="22"/>
          <w:szCs w:val="22"/>
        </w:rPr>
        <w:t>acquired infections (</w:t>
      </w:r>
      <w:r w:rsidR="00733049" w:rsidRPr="00720B94">
        <w:rPr>
          <w:rFonts w:eastAsia="Arial" w:cs="Arial"/>
          <w:bCs/>
          <w:sz w:val="22"/>
          <w:szCs w:val="22"/>
        </w:rPr>
        <w:t>LAIs</w:t>
      </w:r>
      <w:r w:rsidR="00FF2B74" w:rsidRPr="00720B94">
        <w:rPr>
          <w:rFonts w:eastAsia="Arial" w:cs="Arial"/>
          <w:bCs/>
          <w:sz w:val="22"/>
          <w:szCs w:val="22"/>
        </w:rPr>
        <w:t>)</w:t>
      </w:r>
      <w:r w:rsidR="00733049" w:rsidRPr="00720B94">
        <w:rPr>
          <w:rFonts w:eastAsia="Arial" w:cs="Arial"/>
          <w:bCs/>
          <w:sz w:val="22"/>
          <w:szCs w:val="22"/>
        </w:rPr>
        <w:t xml:space="preserve"> or </w:t>
      </w:r>
      <w:r w:rsidR="00FF2B74" w:rsidRPr="00720B94">
        <w:rPr>
          <w:rFonts w:eastAsia="Arial" w:cs="Arial"/>
          <w:bCs/>
          <w:sz w:val="22"/>
          <w:szCs w:val="22"/>
        </w:rPr>
        <w:t xml:space="preserve">that </w:t>
      </w:r>
      <w:r w:rsidR="00733049" w:rsidRPr="00720B94">
        <w:rPr>
          <w:rFonts w:eastAsia="Arial" w:cs="Arial"/>
          <w:bCs/>
          <w:sz w:val="22"/>
          <w:szCs w:val="22"/>
        </w:rPr>
        <w:t>are of increased public concern.</w:t>
      </w:r>
    </w:p>
    <w:p w14:paraId="6E4D8C7A" w14:textId="1DDC5237" w:rsidR="005B2DE9" w:rsidRPr="00720B94" w:rsidRDefault="00203E39" w:rsidP="0092380E">
      <w:pPr>
        <w:pStyle w:val="ListParagraph"/>
        <w:numPr>
          <w:ilvl w:val="0"/>
          <w:numId w:val="41"/>
        </w:numPr>
        <w:spacing w:line="276" w:lineRule="auto"/>
        <w:rPr>
          <w:rFonts w:eastAsia="Arial" w:cs="Arial"/>
          <w:bCs/>
          <w:sz w:val="22"/>
          <w:szCs w:val="22"/>
        </w:rPr>
      </w:pPr>
      <w:r w:rsidRPr="00720B94">
        <w:rPr>
          <w:rFonts w:eastAsia="Arial" w:cs="Arial"/>
          <w:bCs/>
          <w:sz w:val="22"/>
          <w:szCs w:val="22"/>
        </w:rPr>
        <w:t>Identify</w:t>
      </w:r>
      <w:r w:rsidR="0065479F" w:rsidRPr="00720B94">
        <w:rPr>
          <w:rFonts w:eastAsia="Arial" w:cs="Arial"/>
          <w:bCs/>
          <w:sz w:val="22"/>
          <w:szCs w:val="22"/>
        </w:rPr>
        <w:t xml:space="preserve"> the possibility of the transmission of the agent.</w:t>
      </w:r>
      <w:r w:rsidR="00856B3F" w:rsidRPr="00720B94">
        <w:rPr>
          <w:rFonts w:eastAsia="Arial" w:cs="Arial"/>
          <w:bCs/>
          <w:sz w:val="22"/>
          <w:szCs w:val="22"/>
        </w:rPr>
        <w:t xml:space="preserve"> </w:t>
      </w:r>
    </w:p>
    <w:p w14:paraId="0714E555" w14:textId="0CB2C914" w:rsidR="0065479F" w:rsidRPr="00720B94" w:rsidRDefault="006C436A" w:rsidP="0092380E">
      <w:pPr>
        <w:pStyle w:val="ListParagraph"/>
        <w:numPr>
          <w:ilvl w:val="1"/>
          <w:numId w:val="41"/>
        </w:numPr>
        <w:spacing w:line="276" w:lineRule="auto"/>
        <w:rPr>
          <w:rFonts w:eastAsia="Arial" w:cs="Arial"/>
          <w:bCs/>
          <w:sz w:val="22"/>
          <w:szCs w:val="22"/>
        </w:rPr>
      </w:pPr>
      <w:r w:rsidRPr="00720B94">
        <w:rPr>
          <w:rFonts w:eastAsia="Arial" w:cs="Arial"/>
          <w:bCs/>
          <w:sz w:val="22"/>
          <w:szCs w:val="22"/>
        </w:rPr>
        <w:t>How a</w:t>
      </w:r>
      <w:r w:rsidR="00C4756F" w:rsidRPr="00720B94">
        <w:rPr>
          <w:rFonts w:eastAsia="Arial" w:cs="Arial"/>
          <w:bCs/>
          <w:sz w:val="22"/>
          <w:szCs w:val="22"/>
        </w:rPr>
        <w:t>n agent</w:t>
      </w:r>
      <w:r w:rsidRPr="00720B94">
        <w:rPr>
          <w:rFonts w:eastAsia="Arial" w:cs="Arial"/>
          <w:bCs/>
          <w:sz w:val="22"/>
          <w:szCs w:val="22"/>
        </w:rPr>
        <w:t xml:space="preserve"> might infect/inoculate a human, animal, or plant in a controlled lab setting could be different than in nature, and biosafety procedures should consider the </w:t>
      </w:r>
      <w:r w:rsidR="0095522D" w:rsidRPr="00720B94">
        <w:rPr>
          <w:rFonts w:eastAsia="Arial" w:cs="Arial"/>
          <w:bCs/>
          <w:sz w:val="22"/>
          <w:szCs w:val="22"/>
        </w:rPr>
        <w:t xml:space="preserve">work </w:t>
      </w:r>
      <w:r w:rsidRPr="00720B94">
        <w:rPr>
          <w:rFonts w:eastAsia="Arial" w:cs="Arial"/>
          <w:bCs/>
          <w:sz w:val="22"/>
          <w:szCs w:val="22"/>
        </w:rPr>
        <w:t>location.</w:t>
      </w:r>
      <w:r w:rsidR="00AC5D23" w:rsidRPr="00720B94">
        <w:rPr>
          <w:rFonts w:eastAsia="Arial" w:cs="Arial"/>
          <w:bCs/>
          <w:sz w:val="22"/>
          <w:szCs w:val="22"/>
        </w:rPr>
        <w:t xml:space="preserve"> Atypical exposure or infection routes may be viable in a lab because materials are often used in concentrations much higher than found in nature, making non-traditional exposure routes, such as aerosolization, possible. Examples of manipulation that can generate aerosols include pipetting, centrifuging, sonicating, </w:t>
      </w:r>
      <w:proofErr w:type="spellStart"/>
      <w:r w:rsidR="00AC5D23" w:rsidRPr="00720B94">
        <w:rPr>
          <w:rFonts w:eastAsia="Arial" w:cs="Arial"/>
          <w:bCs/>
          <w:sz w:val="22"/>
          <w:szCs w:val="22"/>
        </w:rPr>
        <w:t>vortexing</w:t>
      </w:r>
      <w:proofErr w:type="spellEnd"/>
      <w:r w:rsidR="00AC5D23" w:rsidRPr="00720B94">
        <w:rPr>
          <w:rFonts w:eastAsia="Arial" w:cs="Arial"/>
          <w:bCs/>
          <w:sz w:val="22"/>
          <w:szCs w:val="22"/>
        </w:rPr>
        <w:t>, changing animal bedding, and performing necropsies.</w:t>
      </w:r>
      <w:r w:rsidRPr="00720B94">
        <w:rPr>
          <w:rFonts w:eastAsia="Arial" w:cs="Arial"/>
          <w:bCs/>
          <w:sz w:val="22"/>
          <w:szCs w:val="22"/>
        </w:rPr>
        <w:t xml:space="preserve"> </w:t>
      </w:r>
      <w:r w:rsidR="00856B3F" w:rsidRPr="00720B94">
        <w:rPr>
          <w:rFonts w:eastAsia="Arial" w:cs="Arial"/>
          <w:bCs/>
          <w:sz w:val="22"/>
          <w:szCs w:val="22"/>
        </w:rPr>
        <w:t>The most likely routes of transmission in the laboratory are:</w:t>
      </w:r>
    </w:p>
    <w:p w14:paraId="39123266" w14:textId="0C8BD7C7" w:rsidR="00856B3F" w:rsidRPr="00720B94" w:rsidRDefault="00856B3F" w:rsidP="0092380E">
      <w:pPr>
        <w:pStyle w:val="ListParagraph"/>
        <w:numPr>
          <w:ilvl w:val="2"/>
          <w:numId w:val="41"/>
        </w:numPr>
        <w:spacing w:line="276" w:lineRule="auto"/>
        <w:rPr>
          <w:rFonts w:eastAsia="Arial" w:cs="Arial"/>
          <w:bCs/>
          <w:sz w:val="22"/>
          <w:szCs w:val="22"/>
        </w:rPr>
      </w:pPr>
      <w:r w:rsidRPr="00720B94">
        <w:rPr>
          <w:rFonts w:eastAsia="Arial" w:cs="Arial"/>
          <w:bCs/>
          <w:sz w:val="22"/>
          <w:szCs w:val="22"/>
        </w:rPr>
        <w:t>Direct skin, eye, or mucosal membrane exposure to an agent</w:t>
      </w:r>
    </w:p>
    <w:p w14:paraId="49070111" w14:textId="18FABE6E" w:rsidR="00856B3F" w:rsidRPr="00720B94" w:rsidRDefault="00856B3F" w:rsidP="0092380E">
      <w:pPr>
        <w:pStyle w:val="ListParagraph"/>
        <w:numPr>
          <w:ilvl w:val="2"/>
          <w:numId w:val="41"/>
        </w:numPr>
        <w:spacing w:line="276" w:lineRule="auto"/>
        <w:rPr>
          <w:rFonts w:eastAsia="Arial" w:cs="Arial"/>
          <w:bCs/>
          <w:sz w:val="22"/>
          <w:szCs w:val="22"/>
        </w:rPr>
      </w:pPr>
      <w:r w:rsidRPr="00720B94">
        <w:rPr>
          <w:rFonts w:eastAsia="Arial" w:cs="Arial"/>
          <w:bCs/>
          <w:sz w:val="22"/>
          <w:szCs w:val="22"/>
        </w:rPr>
        <w:t>Parenteral inoculation by a syringe needle or other contaminated sharp, or by bites from infected animals and arthropod vectors</w:t>
      </w:r>
    </w:p>
    <w:p w14:paraId="47F64E6D" w14:textId="0808F603" w:rsidR="00856B3F" w:rsidRPr="00720B94" w:rsidRDefault="00856B3F" w:rsidP="0092380E">
      <w:pPr>
        <w:pStyle w:val="ListParagraph"/>
        <w:numPr>
          <w:ilvl w:val="2"/>
          <w:numId w:val="41"/>
        </w:numPr>
        <w:spacing w:line="276" w:lineRule="auto"/>
        <w:rPr>
          <w:rFonts w:eastAsia="Arial" w:cs="Arial"/>
          <w:bCs/>
          <w:sz w:val="22"/>
          <w:szCs w:val="22"/>
        </w:rPr>
      </w:pPr>
      <w:r w:rsidRPr="00720B94">
        <w:rPr>
          <w:rFonts w:eastAsia="Arial" w:cs="Arial"/>
          <w:bCs/>
          <w:sz w:val="22"/>
          <w:szCs w:val="22"/>
        </w:rPr>
        <w:t>Ingestion of liquid suspension of an infectious agent, or by contaminated hand to mouth exposure</w:t>
      </w:r>
    </w:p>
    <w:p w14:paraId="5B7C0618" w14:textId="6AC4C961" w:rsidR="00856B3F" w:rsidRPr="00720B94" w:rsidRDefault="00856B3F" w:rsidP="0092380E">
      <w:pPr>
        <w:pStyle w:val="ListParagraph"/>
        <w:numPr>
          <w:ilvl w:val="2"/>
          <w:numId w:val="41"/>
        </w:numPr>
        <w:spacing w:line="276" w:lineRule="auto"/>
        <w:rPr>
          <w:rFonts w:eastAsia="Arial" w:cs="Arial"/>
          <w:bCs/>
          <w:sz w:val="22"/>
          <w:szCs w:val="22"/>
        </w:rPr>
      </w:pPr>
      <w:r w:rsidRPr="00720B94">
        <w:rPr>
          <w:rFonts w:eastAsia="Arial" w:cs="Arial"/>
          <w:bCs/>
          <w:sz w:val="22"/>
          <w:szCs w:val="22"/>
        </w:rPr>
        <w:t>Inhalation of infectious aerosols</w:t>
      </w:r>
    </w:p>
    <w:p w14:paraId="7CB1518C" w14:textId="10B54C7A" w:rsidR="00765AAC" w:rsidRPr="00720B94" w:rsidRDefault="005B2DE9" w:rsidP="0092380E">
      <w:pPr>
        <w:pStyle w:val="ListParagraph"/>
        <w:numPr>
          <w:ilvl w:val="0"/>
          <w:numId w:val="41"/>
        </w:numPr>
        <w:spacing w:line="276" w:lineRule="auto"/>
        <w:rPr>
          <w:rFonts w:eastAsia="Arial" w:cs="Arial"/>
          <w:bCs/>
          <w:sz w:val="22"/>
          <w:szCs w:val="22"/>
        </w:rPr>
      </w:pPr>
      <w:r w:rsidRPr="00720B94">
        <w:rPr>
          <w:rFonts w:eastAsia="Arial" w:cs="Arial"/>
          <w:bCs/>
          <w:sz w:val="22"/>
          <w:szCs w:val="22"/>
        </w:rPr>
        <w:t>Identify laboratory procedure hazards.</w:t>
      </w:r>
    </w:p>
    <w:p w14:paraId="427F6513" w14:textId="358604BE" w:rsidR="00747965" w:rsidRPr="00720B94" w:rsidRDefault="00747965" w:rsidP="0092380E">
      <w:pPr>
        <w:pStyle w:val="ListParagraph"/>
        <w:numPr>
          <w:ilvl w:val="1"/>
          <w:numId w:val="41"/>
        </w:numPr>
        <w:spacing w:line="276" w:lineRule="auto"/>
        <w:rPr>
          <w:rFonts w:eastAsia="Arial" w:cs="Arial"/>
          <w:bCs/>
          <w:sz w:val="22"/>
          <w:szCs w:val="22"/>
        </w:rPr>
      </w:pPr>
      <w:r w:rsidRPr="00720B94">
        <w:rPr>
          <w:rFonts w:eastAsia="Arial" w:cs="Arial"/>
          <w:bCs/>
          <w:sz w:val="22"/>
          <w:szCs w:val="22"/>
        </w:rPr>
        <w:t>The principal lab procedure hazards are agent concentration, suspension volume, equipment, and procedures that generate small particle aerosols and larger airborne particles (droplets), and use of sharps.</w:t>
      </w:r>
      <w:r w:rsidR="00836ED4" w:rsidRPr="00720B94">
        <w:rPr>
          <w:rFonts w:eastAsia="Arial" w:cs="Arial"/>
          <w:bCs/>
          <w:sz w:val="22"/>
          <w:szCs w:val="22"/>
        </w:rPr>
        <w:t xml:space="preserve"> Procedures involving animals</w:t>
      </w:r>
      <w:r w:rsidR="00BC369A" w:rsidRPr="00720B94">
        <w:rPr>
          <w:rFonts w:eastAsia="Arial" w:cs="Arial"/>
          <w:bCs/>
          <w:sz w:val="22"/>
          <w:szCs w:val="22"/>
        </w:rPr>
        <w:t xml:space="preserve"> can present hazards such as bites and scratches, exposure to zoonotic agents, and the handling of experimentally generated infectious aerosols.</w:t>
      </w:r>
    </w:p>
    <w:p w14:paraId="7712E259" w14:textId="359D6A4E" w:rsidR="007B0A6F" w:rsidRPr="00720B94" w:rsidRDefault="007B0A6F" w:rsidP="0092380E">
      <w:pPr>
        <w:pStyle w:val="ListParagraph"/>
        <w:numPr>
          <w:ilvl w:val="0"/>
          <w:numId w:val="41"/>
        </w:numPr>
        <w:spacing w:line="276" w:lineRule="auto"/>
        <w:rPr>
          <w:rFonts w:eastAsia="Arial" w:cs="Arial"/>
          <w:bCs/>
          <w:sz w:val="22"/>
          <w:szCs w:val="22"/>
        </w:rPr>
      </w:pPr>
      <w:r w:rsidRPr="00720B94">
        <w:rPr>
          <w:rFonts w:eastAsia="Arial" w:cs="Arial"/>
          <w:bCs/>
          <w:sz w:val="22"/>
          <w:szCs w:val="22"/>
        </w:rPr>
        <w:t>Determine the appropriate BSL and additional precautions indicated by the risk assessment.</w:t>
      </w:r>
    </w:p>
    <w:p w14:paraId="51B781DC" w14:textId="238C03A7" w:rsidR="00B714B0" w:rsidRPr="00720B94" w:rsidRDefault="00B714B0" w:rsidP="0092380E">
      <w:pPr>
        <w:pStyle w:val="ListParagraph"/>
        <w:numPr>
          <w:ilvl w:val="1"/>
          <w:numId w:val="41"/>
        </w:numPr>
        <w:spacing w:after="160" w:line="276" w:lineRule="auto"/>
        <w:rPr>
          <w:rFonts w:eastAsia="Arial" w:cs="Arial"/>
          <w:bCs/>
          <w:sz w:val="22"/>
          <w:szCs w:val="22"/>
        </w:rPr>
      </w:pPr>
      <w:r w:rsidRPr="00720B94">
        <w:rPr>
          <w:rFonts w:eastAsia="Arial" w:cs="Arial"/>
          <w:bCs/>
          <w:sz w:val="22"/>
          <w:szCs w:val="22"/>
        </w:rPr>
        <w:lastRenderedPageBreak/>
        <w:t xml:space="preserve">See </w:t>
      </w:r>
      <w:hyperlink w:anchor="_Summary_of_Biosafety" w:history="1">
        <w:r w:rsidRPr="00717676">
          <w:rPr>
            <w:rStyle w:val="Hyperlink"/>
            <w:rFonts w:eastAsia="Arial" w:cs="Arial"/>
            <w:bCs/>
            <w:color w:val="007D89" w:themeColor="accent3" w:themeShade="BF"/>
            <w:sz w:val="22"/>
            <w:szCs w:val="22"/>
          </w:rPr>
          <w:t>Summary of Biosafety Levels (BSLs)</w:t>
        </w:r>
      </w:hyperlink>
      <w:r w:rsidRPr="00720B94">
        <w:rPr>
          <w:rFonts w:eastAsia="Arial" w:cs="Arial"/>
          <w:bCs/>
          <w:sz w:val="22"/>
          <w:szCs w:val="22"/>
        </w:rPr>
        <w:t xml:space="preserve"> in this manual and </w:t>
      </w:r>
      <w:hyperlink r:id="rId71" w:history="1">
        <w:r w:rsidR="00671D57" w:rsidRPr="00717676">
          <w:rPr>
            <w:rStyle w:val="Hyperlink"/>
            <w:rFonts w:eastAsia="Arial" w:cs="Arial"/>
            <w:bCs/>
            <w:color w:val="007D89" w:themeColor="accent3" w:themeShade="BF"/>
            <w:sz w:val="22"/>
            <w:szCs w:val="22"/>
          </w:rPr>
          <w:t>BMBL</w:t>
        </w:r>
      </w:hyperlink>
      <w:r w:rsidR="00671D57" w:rsidRPr="00720B94">
        <w:rPr>
          <w:rFonts w:eastAsia="Arial" w:cs="Arial"/>
          <w:bCs/>
          <w:sz w:val="22"/>
          <w:szCs w:val="22"/>
        </w:rPr>
        <w:t xml:space="preserve"> Sections IV and V.</w:t>
      </w:r>
    </w:p>
    <w:p w14:paraId="36099CFF" w14:textId="7AA9E456" w:rsidR="009A6EA3" w:rsidRPr="00720B94" w:rsidRDefault="005A0BFC" w:rsidP="00720B94">
      <w:pPr>
        <w:pStyle w:val="Heading2"/>
      </w:pPr>
      <w:bookmarkStart w:id="28" w:name="_Biosafety_Levels_&amp;"/>
      <w:bookmarkStart w:id="29" w:name="_Toc192509333"/>
      <w:bookmarkEnd w:id="28"/>
      <w:r w:rsidRPr="00720B94">
        <w:t xml:space="preserve">Risk Groups &amp; </w:t>
      </w:r>
      <w:r w:rsidR="009A6EA3" w:rsidRPr="00720B94">
        <w:t>Biosafety Levels</w:t>
      </w:r>
      <w:bookmarkEnd w:id="29"/>
    </w:p>
    <w:p w14:paraId="39B5116F" w14:textId="1DDB4E58" w:rsidR="009A6EA3" w:rsidRPr="00720B94" w:rsidRDefault="009A6EA3" w:rsidP="00720B94">
      <w:pPr>
        <w:spacing w:line="276" w:lineRule="auto"/>
        <w:rPr>
          <w:rFonts w:eastAsia="Arial" w:cs="Arial"/>
        </w:rPr>
      </w:pPr>
      <w:r w:rsidRPr="00720B94">
        <w:rPr>
          <w:rFonts w:eastAsia="Arial" w:cs="Arial"/>
        </w:rPr>
        <w:t xml:space="preserve">Biosafety level </w:t>
      </w:r>
      <w:r w:rsidR="00B72482" w:rsidRPr="00720B94">
        <w:rPr>
          <w:rFonts w:eastAsia="Arial" w:cs="Arial"/>
        </w:rPr>
        <w:t xml:space="preserve">(BSL) </w:t>
      </w:r>
      <w:r w:rsidRPr="00720B94">
        <w:rPr>
          <w:rFonts w:eastAsia="Arial" w:cs="Arial"/>
        </w:rPr>
        <w:t xml:space="preserve">and risk group </w:t>
      </w:r>
      <w:r w:rsidR="00B72482" w:rsidRPr="00720B94">
        <w:rPr>
          <w:rFonts w:eastAsia="Arial" w:cs="Arial"/>
        </w:rPr>
        <w:t xml:space="preserve">(RG) </w:t>
      </w:r>
      <w:r w:rsidRPr="00720B94">
        <w:rPr>
          <w:rFonts w:eastAsia="Arial" w:cs="Arial"/>
        </w:rPr>
        <w:t xml:space="preserve">are not always defined </w:t>
      </w:r>
      <w:r w:rsidR="00B72482" w:rsidRPr="00720B94">
        <w:rPr>
          <w:rFonts w:eastAsia="Arial" w:cs="Arial"/>
        </w:rPr>
        <w:t xml:space="preserve">at </w:t>
      </w:r>
      <w:r w:rsidRPr="00720B94">
        <w:rPr>
          <w:rFonts w:eastAsia="Arial" w:cs="Arial"/>
        </w:rPr>
        <w:t>the same</w:t>
      </w:r>
      <w:r w:rsidR="00B72482" w:rsidRPr="00720B94">
        <w:rPr>
          <w:rFonts w:eastAsia="Arial" w:cs="Arial"/>
        </w:rPr>
        <w:t xml:space="preserve"> level</w:t>
      </w:r>
      <w:r w:rsidR="00B11E8B" w:rsidRPr="00720B94">
        <w:rPr>
          <w:rFonts w:eastAsia="Arial" w:cs="Arial"/>
        </w:rPr>
        <w:t xml:space="preserve"> (see Appendix B)</w:t>
      </w:r>
      <w:r w:rsidRPr="00720B94">
        <w:rPr>
          <w:rFonts w:eastAsia="Arial" w:cs="Arial"/>
        </w:rPr>
        <w:t xml:space="preserve">. </w:t>
      </w:r>
      <w:r w:rsidR="00A9294E" w:rsidRPr="00720B94">
        <w:t>Microorganisms that are human pathogens can be categorized into RG</w:t>
      </w:r>
      <w:r w:rsidR="002754CC" w:rsidRPr="00720B94">
        <w:t>s</w:t>
      </w:r>
      <w:r w:rsidR="00A9294E" w:rsidRPr="00720B94">
        <w:t xml:space="preserve"> based on the transmissibility, invasiveness, virulence (i.e., ability to cause disease), and the lethality of the specific pathogen.</w:t>
      </w:r>
      <w:r w:rsidR="00A9294E" w:rsidRPr="00720B94">
        <w:rPr>
          <w:rFonts w:eastAsia="Arial" w:cs="Arial"/>
        </w:rPr>
        <w:t xml:space="preserve"> </w:t>
      </w:r>
      <w:r w:rsidR="002754CC" w:rsidRPr="00720B94">
        <w:rPr>
          <w:rFonts w:eastAsia="Arial" w:cs="Arial"/>
        </w:rPr>
        <w:t>RGs</w:t>
      </w:r>
      <w:r w:rsidRPr="00720B94">
        <w:rPr>
          <w:rFonts w:eastAsia="Arial" w:cs="Arial"/>
        </w:rPr>
        <w:t xml:space="preserve"> describe a biological agent, biological material, or rec</w:t>
      </w:r>
      <w:r w:rsidR="009F5A3F" w:rsidRPr="00720B94">
        <w:rPr>
          <w:rFonts w:eastAsia="Arial" w:cs="Arial"/>
        </w:rPr>
        <w:t xml:space="preserve">ombinant </w:t>
      </w:r>
      <w:r w:rsidR="00024E3E" w:rsidRPr="00720B94">
        <w:rPr>
          <w:rFonts w:eastAsia="Arial" w:cs="Arial"/>
        </w:rPr>
        <w:t>material b</w:t>
      </w:r>
      <w:r w:rsidRPr="00720B94">
        <w:rPr>
          <w:rFonts w:eastAsia="Arial" w:cs="Arial"/>
        </w:rPr>
        <w:t xml:space="preserve">ased on its ability to cause disease and available treatments, whereas </w:t>
      </w:r>
      <w:r w:rsidR="002754CC" w:rsidRPr="00720B94">
        <w:rPr>
          <w:rFonts w:eastAsia="Arial" w:cs="Arial"/>
        </w:rPr>
        <w:t>BSLs</w:t>
      </w:r>
      <w:r w:rsidRPr="00720B94">
        <w:rPr>
          <w:rFonts w:eastAsia="Arial" w:cs="Arial"/>
        </w:rPr>
        <w:t xml:space="preserve"> are a combination of laboratory practices, techniques, facilities, and safety equipment appropriate for the risks posed by the </w:t>
      </w:r>
      <w:r w:rsidR="00A6352F" w:rsidRPr="00720B94">
        <w:rPr>
          <w:rFonts w:eastAsia="Arial" w:cs="Arial"/>
        </w:rPr>
        <w:t>material</w:t>
      </w:r>
      <w:r w:rsidRPr="00720B94">
        <w:rPr>
          <w:rFonts w:eastAsia="Arial" w:cs="Arial"/>
        </w:rPr>
        <w:t xml:space="preserve"> and the associated laboratory procedures. One </w:t>
      </w:r>
      <w:r w:rsidR="002754CC" w:rsidRPr="00720B94">
        <w:rPr>
          <w:rFonts w:eastAsia="Arial" w:cs="Arial"/>
        </w:rPr>
        <w:t>RG</w:t>
      </w:r>
      <w:r w:rsidRPr="00720B94">
        <w:rPr>
          <w:rFonts w:eastAsia="Arial" w:cs="Arial"/>
        </w:rPr>
        <w:t xml:space="preserve"> of </w:t>
      </w:r>
      <w:r w:rsidR="00D52624" w:rsidRPr="00720B94">
        <w:rPr>
          <w:rFonts w:eastAsia="Arial" w:cs="Arial"/>
        </w:rPr>
        <w:t>a</w:t>
      </w:r>
      <w:r w:rsidR="00A6352F" w:rsidRPr="00720B94">
        <w:rPr>
          <w:rFonts w:eastAsia="Arial" w:cs="Arial"/>
        </w:rPr>
        <w:t xml:space="preserve"> material</w:t>
      </w:r>
      <w:r w:rsidRPr="00720B94">
        <w:rPr>
          <w:rFonts w:eastAsia="Arial" w:cs="Arial"/>
        </w:rPr>
        <w:t xml:space="preserve"> could be used at a higher or lower </w:t>
      </w:r>
      <w:r w:rsidR="002754CC" w:rsidRPr="00720B94">
        <w:rPr>
          <w:rFonts w:eastAsia="Arial" w:cs="Arial"/>
        </w:rPr>
        <w:t>BSL</w:t>
      </w:r>
      <w:r w:rsidRPr="00720B94">
        <w:rPr>
          <w:rFonts w:eastAsia="Arial" w:cs="Arial"/>
        </w:rPr>
        <w:t xml:space="preserve"> depending on how </w:t>
      </w:r>
      <w:r w:rsidR="008A1F21" w:rsidRPr="00720B94">
        <w:rPr>
          <w:rFonts w:eastAsia="Arial" w:cs="Arial"/>
        </w:rPr>
        <w:t>it is</w:t>
      </w:r>
      <w:r w:rsidRPr="00720B94">
        <w:rPr>
          <w:rFonts w:eastAsia="Arial" w:cs="Arial"/>
        </w:rPr>
        <w:t xml:space="preserve"> used, or if alterations </w:t>
      </w:r>
      <w:r w:rsidR="00AC63F6" w:rsidRPr="00720B94">
        <w:rPr>
          <w:rFonts w:eastAsia="Arial" w:cs="Arial"/>
        </w:rPr>
        <w:t>are</w:t>
      </w:r>
      <w:r w:rsidRPr="00720B94">
        <w:rPr>
          <w:rFonts w:eastAsia="Arial" w:cs="Arial"/>
        </w:rPr>
        <w:t xml:space="preserve"> made rendering </w:t>
      </w:r>
      <w:r w:rsidR="008A1F21" w:rsidRPr="00720B94">
        <w:rPr>
          <w:rFonts w:eastAsia="Arial" w:cs="Arial"/>
        </w:rPr>
        <w:t>it</w:t>
      </w:r>
      <w:r w:rsidRPr="00720B94">
        <w:rPr>
          <w:rFonts w:eastAsia="Arial" w:cs="Arial"/>
        </w:rPr>
        <w:t xml:space="preserve"> more hazardous (</w:t>
      </w:r>
      <w:r w:rsidR="009C4E78" w:rsidRPr="00720B94">
        <w:rPr>
          <w:rFonts w:eastAsia="Arial" w:cs="Arial"/>
        </w:rPr>
        <w:t>e.g.</w:t>
      </w:r>
      <w:r w:rsidRPr="00720B94">
        <w:rPr>
          <w:rFonts w:eastAsia="Arial" w:cs="Arial"/>
        </w:rPr>
        <w:t>, incorporating virulence factors or resistance markers into microbes capable of infecting humans</w:t>
      </w:r>
      <w:r w:rsidR="00AC63F6" w:rsidRPr="00720B94">
        <w:rPr>
          <w:rFonts w:eastAsia="Arial" w:cs="Arial"/>
        </w:rPr>
        <w:t xml:space="preserve">, </w:t>
      </w:r>
      <w:r w:rsidRPr="00720B94">
        <w:rPr>
          <w:rFonts w:eastAsia="Arial" w:cs="Arial"/>
        </w:rPr>
        <w:t>animals</w:t>
      </w:r>
      <w:r w:rsidR="00AC63F6" w:rsidRPr="00720B94">
        <w:rPr>
          <w:rFonts w:eastAsia="Arial" w:cs="Arial"/>
        </w:rPr>
        <w:t xml:space="preserve">, or </w:t>
      </w:r>
      <w:r w:rsidRPr="00720B94">
        <w:rPr>
          <w:rFonts w:eastAsia="Arial" w:cs="Arial"/>
        </w:rPr>
        <w:t>plants) or less hazardous (</w:t>
      </w:r>
      <w:r w:rsidR="009C4E78" w:rsidRPr="00720B94">
        <w:rPr>
          <w:rFonts w:eastAsia="Arial" w:cs="Arial"/>
        </w:rPr>
        <w:t xml:space="preserve">e.g., </w:t>
      </w:r>
      <w:r w:rsidRPr="00720B94">
        <w:rPr>
          <w:rFonts w:eastAsia="Arial" w:cs="Arial"/>
        </w:rPr>
        <w:t>chemically</w:t>
      </w:r>
      <w:r w:rsidR="009C4E78" w:rsidRPr="00720B94">
        <w:rPr>
          <w:rFonts w:eastAsia="Arial" w:cs="Arial"/>
        </w:rPr>
        <w:t xml:space="preserve"> </w:t>
      </w:r>
      <w:r w:rsidRPr="00720B94">
        <w:rPr>
          <w:rFonts w:eastAsia="Arial" w:cs="Arial"/>
        </w:rPr>
        <w:t>inactivating and fixing pathogenic tissues or samples).</w:t>
      </w:r>
    </w:p>
    <w:p w14:paraId="0838774C" w14:textId="1760D341" w:rsidR="00D74F1E" w:rsidRPr="00720B94" w:rsidRDefault="007D0D0F" w:rsidP="00720B94">
      <w:pPr>
        <w:spacing w:line="276" w:lineRule="auto"/>
      </w:pPr>
      <w:r w:rsidRPr="00720B94">
        <w:rPr>
          <w:rFonts w:eastAsia="Arial" w:cs="Arial"/>
        </w:rPr>
        <w:t xml:space="preserve">The </w:t>
      </w:r>
      <w:hyperlink r:id="rId72" w:history="1">
        <w:r w:rsidR="009A6EA3" w:rsidRPr="00717676">
          <w:rPr>
            <w:rStyle w:val="Hyperlink"/>
            <w:rFonts w:eastAsia="Arial" w:cs="Arial"/>
            <w:color w:val="007D89" w:themeColor="accent3" w:themeShade="BF"/>
          </w:rPr>
          <w:t>American Biological Safety Association</w:t>
        </w:r>
        <w:r w:rsidR="00BD5EC0" w:rsidRPr="00717676">
          <w:rPr>
            <w:rStyle w:val="Hyperlink"/>
            <w:rFonts w:eastAsia="Arial" w:cs="Arial"/>
            <w:color w:val="007D89" w:themeColor="accent3" w:themeShade="BF"/>
          </w:rPr>
          <w:t>’s</w:t>
        </w:r>
        <w:r w:rsidR="009A6EA3" w:rsidRPr="00717676">
          <w:rPr>
            <w:rStyle w:val="Hyperlink"/>
            <w:rFonts w:eastAsia="Arial" w:cs="Arial"/>
            <w:color w:val="007D89" w:themeColor="accent3" w:themeShade="BF"/>
          </w:rPr>
          <w:t xml:space="preserve"> risk group database</w:t>
        </w:r>
      </w:hyperlink>
      <w:r w:rsidRPr="00720B94">
        <w:rPr>
          <w:rFonts w:eastAsia="Arial" w:cs="Arial"/>
        </w:rPr>
        <w:t xml:space="preserve"> can be used to determine the </w:t>
      </w:r>
      <w:r w:rsidR="002754CC" w:rsidRPr="00720B94">
        <w:rPr>
          <w:rFonts w:eastAsia="Arial" w:cs="Arial"/>
        </w:rPr>
        <w:t>RG</w:t>
      </w:r>
      <w:r w:rsidRPr="00720B94">
        <w:rPr>
          <w:rFonts w:eastAsia="Arial" w:cs="Arial"/>
        </w:rPr>
        <w:t xml:space="preserve"> for a material.</w:t>
      </w:r>
      <w:r w:rsidR="009A6EA3" w:rsidRPr="00720B94">
        <w:rPr>
          <w:rFonts w:eastAsia="Arial" w:cs="Arial"/>
        </w:rPr>
        <w:t xml:space="preserve"> </w:t>
      </w:r>
      <w:r w:rsidR="00373917" w:rsidRPr="00720B94">
        <w:t xml:space="preserve">Consideration of </w:t>
      </w:r>
      <w:r w:rsidR="002754CC" w:rsidRPr="00720B94">
        <w:t>RG</w:t>
      </w:r>
      <w:r w:rsidR="00373917" w:rsidRPr="00720B94">
        <w:t xml:space="preserve">, however, </w:t>
      </w:r>
      <w:r w:rsidR="008A1F21" w:rsidRPr="00720B94">
        <w:t xml:space="preserve">is </w:t>
      </w:r>
      <w:r w:rsidR="00373917" w:rsidRPr="00720B94">
        <w:t xml:space="preserve">merely a starting point for </w:t>
      </w:r>
      <w:r w:rsidR="001A4A25" w:rsidRPr="00720B94">
        <w:t>a</w:t>
      </w:r>
      <w:r w:rsidR="00373917" w:rsidRPr="00720B94">
        <w:t xml:space="preserve"> comprehensive risk assessment. Further attention must be given to the circumstances, such as the planned procedures and the safety equipment. </w:t>
      </w:r>
      <w:r w:rsidR="003946F0" w:rsidRPr="00720B94">
        <w:t>P</w:t>
      </w:r>
      <w:r w:rsidR="00373917" w:rsidRPr="00720B94">
        <w:t xml:space="preserve">recautions may be adjusted to reflect the specific situation in which the </w:t>
      </w:r>
      <w:r w:rsidR="001A4A25" w:rsidRPr="00720B94">
        <w:t>material</w:t>
      </w:r>
      <w:r w:rsidR="00373917" w:rsidRPr="00720B94">
        <w:t xml:space="preserve"> will be used.</w:t>
      </w:r>
      <w:r w:rsidR="007B6F12" w:rsidRPr="00720B94">
        <w:t xml:space="preserve"> </w:t>
      </w:r>
      <w:r w:rsidR="00373917" w:rsidRPr="00720B94">
        <w:t xml:space="preserve">Consideration also is extended to microorganisms that cause diseases in animals and/or plants, which are not categorized into </w:t>
      </w:r>
      <w:r w:rsidR="00BA15B4" w:rsidRPr="00720B94">
        <w:t>RGs</w:t>
      </w:r>
      <w:r w:rsidR="00373917" w:rsidRPr="00720B94">
        <w:t xml:space="preserve"> as are human pathogens. The desired containment for animal and plant pathogens is based on the severity of the disease, its ability to disseminate and become established in the local environment, and the availability of prophylactic treatment. </w:t>
      </w:r>
    </w:p>
    <w:p w14:paraId="64EAE2FF" w14:textId="0818EE82" w:rsidR="00F52BB3" w:rsidRPr="00720B94" w:rsidRDefault="00373917" w:rsidP="00720B94">
      <w:pPr>
        <w:spacing w:line="276" w:lineRule="auto"/>
      </w:pPr>
      <w:r w:rsidRPr="00720B94">
        <w:t>The progression from invasion to infection to disease following contact with an infectious agent depends upon the dose, route of transmission, invasive characteristics of the agent, virulence, and resistance of the exposed host. Not all contacts result in infection</w:t>
      </w:r>
      <w:r w:rsidR="001C43E8" w:rsidRPr="00720B94">
        <w:t>,</w:t>
      </w:r>
      <w:r w:rsidRPr="00720B94">
        <w:t xml:space="preserve"> and even when disease occurs, severity can vary. Attenuated strains should be handled with the same precautions as the virulent parental strain unless reduced pathogenicity is well documented and irreversible. Viral vectors, even if rendered replication defective, may still pose a threat of recombination with wildtype strains or unintentional delivery of their foreign genes.</w:t>
      </w:r>
    </w:p>
    <w:p w14:paraId="5698AAE0" w14:textId="581CCB09" w:rsidR="00B72482" w:rsidRPr="00720B94" w:rsidRDefault="00BA15B4" w:rsidP="00720B94">
      <w:pPr>
        <w:spacing w:before="160" w:line="276" w:lineRule="auto"/>
        <w:rPr>
          <w:rFonts w:eastAsia="Arial" w:cs="Arial"/>
        </w:rPr>
      </w:pPr>
      <w:r w:rsidRPr="00720B94">
        <w:rPr>
          <w:rFonts w:eastAsia="Arial" w:cs="Arial"/>
        </w:rPr>
        <w:t>RGs</w:t>
      </w:r>
      <w:r w:rsidR="00B72482" w:rsidRPr="00720B94">
        <w:rPr>
          <w:rFonts w:eastAsia="Arial" w:cs="Arial"/>
        </w:rPr>
        <w:t xml:space="preserve"> and </w:t>
      </w:r>
      <w:r w:rsidRPr="00720B94">
        <w:rPr>
          <w:rFonts w:eastAsia="Arial" w:cs="Arial"/>
        </w:rPr>
        <w:t>BSLs</w:t>
      </w:r>
      <w:r w:rsidR="00B72482" w:rsidRPr="00720B94">
        <w:rPr>
          <w:rFonts w:eastAsia="Arial" w:cs="Arial"/>
        </w:rPr>
        <w:t xml:space="preserve"> do not </w:t>
      </w:r>
      <w:proofErr w:type="gramStart"/>
      <w:r w:rsidR="00B72482" w:rsidRPr="00720B94">
        <w:rPr>
          <w:rFonts w:eastAsia="Arial" w:cs="Arial"/>
        </w:rPr>
        <w:t>take into account</w:t>
      </w:r>
      <w:proofErr w:type="gramEnd"/>
      <w:r w:rsidR="00B72482" w:rsidRPr="00720B94">
        <w:rPr>
          <w:rFonts w:eastAsia="Arial" w:cs="Arial"/>
        </w:rPr>
        <w:t xml:space="preserve"> individual</w:t>
      </w:r>
      <w:r w:rsidR="006D304A" w:rsidRPr="00720B94">
        <w:rPr>
          <w:rFonts w:eastAsia="Arial" w:cs="Arial"/>
        </w:rPr>
        <w:t>s</w:t>
      </w:r>
      <w:r w:rsidR="00572272" w:rsidRPr="00720B94">
        <w:rPr>
          <w:rFonts w:eastAsia="Arial" w:cs="Arial"/>
        </w:rPr>
        <w:t xml:space="preserve"> and </w:t>
      </w:r>
      <w:r w:rsidR="00B72482" w:rsidRPr="00720B94">
        <w:rPr>
          <w:rFonts w:eastAsia="Arial" w:cs="Arial"/>
        </w:rPr>
        <w:t>animal</w:t>
      </w:r>
      <w:r w:rsidR="006D304A" w:rsidRPr="00720B94">
        <w:rPr>
          <w:rFonts w:eastAsia="Arial" w:cs="Arial"/>
        </w:rPr>
        <w:t>s</w:t>
      </w:r>
      <w:r w:rsidR="00572272" w:rsidRPr="00720B94">
        <w:rPr>
          <w:rFonts w:eastAsia="Arial" w:cs="Arial"/>
        </w:rPr>
        <w:t xml:space="preserve"> that</w:t>
      </w:r>
      <w:r w:rsidR="00B72482" w:rsidRPr="00720B94">
        <w:rPr>
          <w:rFonts w:eastAsia="Arial" w:cs="Arial"/>
        </w:rPr>
        <w:t xml:space="preserve"> may have increased susceptibility. While personnel do not have to disclose information regarding their altered susceptibility of infection, it is essential that </w:t>
      </w:r>
      <w:r w:rsidR="006A6C35" w:rsidRPr="00720B94">
        <w:rPr>
          <w:rFonts w:eastAsia="Arial" w:cs="Arial"/>
        </w:rPr>
        <w:t>they complete</w:t>
      </w:r>
      <w:r w:rsidR="00B72482" w:rsidRPr="00720B94">
        <w:rPr>
          <w:rFonts w:eastAsia="Arial" w:cs="Arial"/>
        </w:rPr>
        <w:t xml:space="preserve"> training to help them determine if they are at an increased risk due to pre-existing conditions, decreased immunity, their use of certain medications, organ transplantation, pregnancy or breast-feeding, or other circumstances. Personnel can discuss any concerns with their personal physician. Any animals or plants </w:t>
      </w:r>
      <w:r w:rsidR="009E6960" w:rsidRPr="00720B94">
        <w:rPr>
          <w:rFonts w:eastAsia="Arial" w:cs="Arial"/>
        </w:rPr>
        <w:t>that</w:t>
      </w:r>
      <w:r w:rsidR="00B72482" w:rsidRPr="00720B94">
        <w:rPr>
          <w:rFonts w:eastAsia="Arial" w:cs="Arial"/>
        </w:rPr>
        <w:t xml:space="preserve"> may become infected with </w:t>
      </w:r>
      <w:r w:rsidR="009E6960" w:rsidRPr="00720B94">
        <w:rPr>
          <w:rFonts w:eastAsia="Arial" w:cs="Arial"/>
        </w:rPr>
        <w:t>pa</w:t>
      </w:r>
      <w:r w:rsidR="00B72482" w:rsidRPr="00720B94">
        <w:rPr>
          <w:rFonts w:eastAsia="Arial" w:cs="Arial"/>
        </w:rPr>
        <w:t>thogens must not be removed from containment to safeguard from</w:t>
      </w:r>
      <w:r w:rsidR="009E6960" w:rsidRPr="00720B94">
        <w:rPr>
          <w:rFonts w:eastAsia="Arial" w:cs="Arial"/>
        </w:rPr>
        <w:t xml:space="preserve"> </w:t>
      </w:r>
      <w:r w:rsidR="00B72482" w:rsidRPr="00720B94">
        <w:rPr>
          <w:rFonts w:eastAsia="Arial" w:cs="Arial"/>
        </w:rPr>
        <w:t xml:space="preserve">exposures, and actions should be taken for remediation. </w:t>
      </w:r>
    </w:p>
    <w:p w14:paraId="34771E49" w14:textId="7D7B1C0E" w:rsidR="001C62A9" w:rsidRPr="00720B94" w:rsidRDefault="001C62A9" w:rsidP="00720B94">
      <w:pPr>
        <w:pStyle w:val="Heading3"/>
        <w:rPr>
          <w:rFonts w:eastAsia="Arial"/>
        </w:rPr>
      </w:pPr>
      <w:bookmarkStart w:id="30" w:name="_Summary_of_Risk"/>
      <w:bookmarkStart w:id="31" w:name="_Toc192509334"/>
      <w:bookmarkEnd w:id="30"/>
      <w:r w:rsidRPr="00720B94">
        <w:rPr>
          <w:rFonts w:eastAsia="Arial"/>
        </w:rPr>
        <w:t>Routes of Infection</w:t>
      </w:r>
      <w:bookmarkEnd w:id="31"/>
    </w:p>
    <w:p w14:paraId="1F0553CE" w14:textId="77777777" w:rsidR="0005097B" w:rsidRPr="00720B94" w:rsidRDefault="0005097B" w:rsidP="00720B94">
      <w:r w:rsidRPr="00720B94">
        <w:t xml:space="preserve">Pathogens can be transmitted via several different routes in the laboratory. The most common routes of infection are inhalation of infectious aerosols or dusts, exposure of mucous membranes to infectious droplets, ingestion from contaminated hands or utensils, animal bites, or percutaneous self-inoculation (injection or incision). Precautions should be taken to avoid contamination of cell phones if used in laboratories. Increased risk is associated with pathogens that are aerosol transmitted and when high concentrations or large volumes are used. </w:t>
      </w:r>
    </w:p>
    <w:p w14:paraId="76F0310E" w14:textId="6B682DA8" w:rsidR="001C62A9" w:rsidRPr="00720B94" w:rsidRDefault="0005097B" w:rsidP="00720B94">
      <w:r w:rsidRPr="00720B94">
        <w:t xml:space="preserve">Inhalation of infectious aerosols is implicated as the cause of many laboratory-acquired infections (LAI). Even pathogens that normally do not cause infections by inhalation route present a danger when </w:t>
      </w:r>
      <w:r w:rsidRPr="00720B94">
        <w:lastRenderedPageBreak/>
        <w:t>aerosolized. Aerosols can spread throughout the laboratory by traveling along air currents</w:t>
      </w:r>
      <w:r w:rsidR="002324F1" w:rsidRPr="00720B94">
        <w:t>,</w:t>
      </w:r>
      <w:r w:rsidRPr="00720B94">
        <w:t xml:space="preserve"> which creates the potential for indirect laboratory acquired infections to occur. Activities that have the potential to create aerosols should be performed in a biological safety cabinet (BSC) whenever possible. The BSC protects the worker and the work environment. If the activity cannot be performed in a BSC, additional personal protective equipment (PPE) such as a respirator may be required.</w:t>
      </w:r>
    </w:p>
    <w:p w14:paraId="5A03E979" w14:textId="77777777" w:rsidR="0005097B" w:rsidRPr="00720B94" w:rsidRDefault="0005097B" w:rsidP="00720B94">
      <w:pPr>
        <w:spacing w:after="0"/>
      </w:pPr>
      <w:r w:rsidRPr="00720B94">
        <w:t xml:space="preserve">Opportunistic pathogens are organisms not known to cause infection in healthy individuals but are known pathogens of persons who have been compromised in various ways including: </w:t>
      </w:r>
    </w:p>
    <w:p w14:paraId="01BD754F" w14:textId="77777777" w:rsidR="0005097B" w:rsidRPr="00720B94" w:rsidRDefault="0005097B" w:rsidP="0092380E">
      <w:pPr>
        <w:pStyle w:val="ListParagraph"/>
        <w:numPr>
          <w:ilvl w:val="0"/>
          <w:numId w:val="19"/>
        </w:numPr>
        <w:rPr>
          <w:sz w:val="22"/>
          <w:szCs w:val="22"/>
        </w:rPr>
      </w:pPr>
      <w:r w:rsidRPr="00720B94">
        <w:rPr>
          <w:sz w:val="22"/>
          <w:szCs w:val="22"/>
        </w:rPr>
        <w:t xml:space="preserve">Open wounds or cuts </w:t>
      </w:r>
    </w:p>
    <w:p w14:paraId="290FE187" w14:textId="77777777" w:rsidR="0005097B" w:rsidRPr="00720B94" w:rsidRDefault="0005097B" w:rsidP="0092380E">
      <w:pPr>
        <w:pStyle w:val="ListParagraph"/>
        <w:numPr>
          <w:ilvl w:val="0"/>
          <w:numId w:val="19"/>
        </w:numPr>
        <w:rPr>
          <w:sz w:val="22"/>
          <w:szCs w:val="22"/>
        </w:rPr>
      </w:pPr>
      <w:r w:rsidRPr="00720B94">
        <w:rPr>
          <w:sz w:val="22"/>
          <w:szCs w:val="22"/>
        </w:rPr>
        <w:t xml:space="preserve">Antibiotic therapy </w:t>
      </w:r>
    </w:p>
    <w:p w14:paraId="00156C4D" w14:textId="77777777" w:rsidR="0005097B" w:rsidRPr="00720B94" w:rsidRDefault="0005097B" w:rsidP="0092380E">
      <w:pPr>
        <w:pStyle w:val="ListParagraph"/>
        <w:numPr>
          <w:ilvl w:val="0"/>
          <w:numId w:val="19"/>
        </w:numPr>
        <w:rPr>
          <w:sz w:val="22"/>
          <w:szCs w:val="22"/>
        </w:rPr>
      </w:pPr>
      <w:r w:rsidRPr="00720B94">
        <w:rPr>
          <w:sz w:val="22"/>
          <w:szCs w:val="22"/>
        </w:rPr>
        <w:t xml:space="preserve">Persons with immunocompromised, immunosuppressed, or susceptible immune status due to infection, acquired or congenital condition, or via therapy (e.g., infants or elderly, pregnancy, diabetes, complement deficiencies, AIDS, severe asthma, bone marrow or organ transplantation, chemotherapy, long-term steroid treatment) </w:t>
      </w:r>
    </w:p>
    <w:p w14:paraId="3BD7225A" w14:textId="2D439934" w:rsidR="0005097B" w:rsidRPr="00720B94" w:rsidRDefault="0005097B" w:rsidP="0092380E">
      <w:pPr>
        <w:pStyle w:val="ListParagraph"/>
        <w:numPr>
          <w:ilvl w:val="0"/>
          <w:numId w:val="19"/>
        </w:numPr>
        <w:spacing w:after="160"/>
        <w:rPr>
          <w:sz w:val="22"/>
          <w:szCs w:val="22"/>
        </w:rPr>
      </w:pPr>
      <w:r w:rsidRPr="00720B94">
        <w:rPr>
          <w:sz w:val="22"/>
          <w:szCs w:val="22"/>
        </w:rPr>
        <w:t>Exposures to high doses or atypical routes</w:t>
      </w:r>
    </w:p>
    <w:p w14:paraId="295E549B" w14:textId="1B6D2815" w:rsidR="0005097B" w:rsidRPr="00720B94" w:rsidRDefault="0005097B" w:rsidP="00720B94">
      <w:r w:rsidRPr="00720B94">
        <w:t>If work with pathogens is performed in the laboratory, you are encouraged to discuss with your personal physician the agents present in the laboratory.</w:t>
      </w:r>
    </w:p>
    <w:p w14:paraId="3406BE7E" w14:textId="18B4205F" w:rsidR="001D3455" w:rsidRPr="00720B94" w:rsidRDefault="001D3455" w:rsidP="00720B94">
      <w:pPr>
        <w:pStyle w:val="Heading2"/>
      </w:pPr>
      <w:bookmarkStart w:id="32" w:name="_Toc192509335"/>
      <w:r w:rsidRPr="00720B94">
        <w:t>Biohazard Containment</w:t>
      </w:r>
      <w:bookmarkEnd w:id="32"/>
    </w:p>
    <w:p w14:paraId="7FEB6A25" w14:textId="08DC92BD" w:rsidR="001D3455" w:rsidRPr="00720B94" w:rsidRDefault="00FF599A" w:rsidP="00720B94">
      <w:pPr>
        <w:rPr>
          <w:rFonts w:eastAsia="Arial" w:cs="Arial"/>
        </w:rPr>
      </w:pPr>
      <w:r w:rsidRPr="00720B94">
        <w:rPr>
          <w:rFonts w:eastAsia="Arial" w:cs="Arial"/>
        </w:rPr>
        <w:t>Although the most important aspect of biohazard control is the awareness and care used by personnel in handling hazardous materials, certain features of laboratory design, ventilation, and safety equipment can prevent dissemination of pathogens and exposure of personnel or release to the environment should an accident occur.</w:t>
      </w:r>
    </w:p>
    <w:p w14:paraId="10F61516" w14:textId="490146FC" w:rsidR="00FF599A" w:rsidRPr="00720B94" w:rsidRDefault="00FF599A" w:rsidP="00720B94">
      <w:pPr>
        <w:pStyle w:val="Heading2"/>
        <w:rPr>
          <w:rFonts w:eastAsia="Arial"/>
        </w:rPr>
      </w:pPr>
      <w:bookmarkStart w:id="33" w:name="_Toc192509336"/>
      <w:r w:rsidRPr="00720B94">
        <w:rPr>
          <w:rFonts w:eastAsia="Arial"/>
        </w:rPr>
        <w:t>Practices &amp; Procedures</w:t>
      </w:r>
      <w:bookmarkEnd w:id="33"/>
    </w:p>
    <w:p w14:paraId="5C189AB1" w14:textId="3934BC73" w:rsidR="00566136" w:rsidRPr="00720B94" w:rsidRDefault="0044309F" w:rsidP="00720B94">
      <w:pPr>
        <w:rPr>
          <w:rFonts w:eastAsia="Arial" w:cs="Arial"/>
        </w:rPr>
      </w:pPr>
      <w:r w:rsidRPr="00720B94">
        <w:rPr>
          <w:rFonts w:eastAsia="Arial" w:cs="Arial"/>
        </w:rPr>
        <w:t xml:space="preserve">Standard microbiological practices are common to all laboratories. Special microbiological practices, safety equipment, and laboratory facilities enhance worker safety, environmental protection, and minimize the risk of handling agents. Please see the </w:t>
      </w:r>
      <w:hyperlink r:id="rId73" w:history="1">
        <w:r w:rsidRPr="00717676">
          <w:rPr>
            <w:rStyle w:val="Hyperlink"/>
            <w:rFonts w:eastAsia="Arial" w:cs="Arial"/>
            <w:color w:val="007D89" w:themeColor="accent3" w:themeShade="BF"/>
          </w:rPr>
          <w:t>CDC Biosafety in Microbiological and Biomedical Laboratories (BMBL)</w:t>
        </w:r>
      </w:hyperlink>
      <w:r w:rsidR="00D867B0" w:rsidRPr="00720B94">
        <w:rPr>
          <w:rFonts w:eastAsia="Arial" w:cs="Arial"/>
        </w:rPr>
        <w:t xml:space="preserve">, </w:t>
      </w:r>
      <w:r w:rsidRPr="00720B94">
        <w:rPr>
          <w:rFonts w:eastAsia="Arial" w:cs="Arial"/>
        </w:rPr>
        <w:t>Section IV</w:t>
      </w:r>
      <w:r w:rsidR="00D867B0" w:rsidRPr="00720B94">
        <w:rPr>
          <w:rFonts w:eastAsia="Arial" w:cs="Arial"/>
        </w:rPr>
        <w:t xml:space="preserve"> for</w:t>
      </w:r>
      <w:r w:rsidRPr="00720B94">
        <w:rPr>
          <w:rFonts w:eastAsia="Arial" w:cs="Arial"/>
        </w:rPr>
        <w:t xml:space="preserve"> information on Laboratory Biosafety Level criteria</w:t>
      </w:r>
      <w:r w:rsidR="004B3A9C" w:rsidRPr="00720B94">
        <w:rPr>
          <w:rFonts w:eastAsia="Arial" w:cs="Arial"/>
        </w:rPr>
        <w:t xml:space="preserve"> and standard microbiological practices.</w:t>
      </w:r>
      <w:r w:rsidRPr="00720B94">
        <w:rPr>
          <w:rFonts w:eastAsia="Arial" w:cs="Arial"/>
        </w:rPr>
        <w:t xml:space="preserve"> It is the responsibility of all laboratory staff to effectively decontaminate equipment before it is removed from the laboratory for maintenance, relocation, sale, or disposal.</w:t>
      </w:r>
    </w:p>
    <w:p w14:paraId="5DB888EB" w14:textId="327BE175" w:rsidR="0044309F" w:rsidRPr="00720B94" w:rsidRDefault="0044309F" w:rsidP="00720B94">
      <w:pPr>
        <w:pStyle w:val="Heading3"/>
        <w:rPr>
          <w:rFonts w:eastAsia="Arial"/>
        </w:rPr>
      </w:pPr>
      <w:bookmarkStart w:id="34" w:name="_Toc192509337"/>
      <w:r w:rsidRPr="00720B94">
        <w:rPr>
          <w:rFonts w:eastAsia="Arial"/>
        </w:rPr>
        <w:t>Biosafety Level 1</w:t>
      </w:r>
      <w:bookmarkEnd w:id="34"/>
    </w:p>
    <w:p w14:paraId="55852543" w14:textId="5063EE6C" w:rsidR="0044309F" w:rsidRPr="00720B94" w:rsidRDefault="00B419F2" w:rsidP="00720B94">
      <w:pPr>
        <w:rPr>
          <w:rFonts w:eastAsia="Arial" w:cs="Arial"/>
        </w:rPr>
      </w:pPr>
      <w:r w:rsidRPr="00720B94">
        <w:rPr>
          <w:rFonts w:eastAsia="Arial" w:cs="Arial"/>
        </w:rPr>
        <w:t>Biosafety Level 1 (BSL1) is suitable for work involving well-characterized agents not known to consistently cause disease in immunocompetent adult humans, and present minimal potential hazard to laboratory personnel, animals, or the environment. BSL1 laboratories are not necessarily separated from the general traffic patterns in the building. Work can typically be conducted on open bench tops using standard microbiological practices. Special containment equipment or facility design is not required but may be used as determined by appropriate risk assessment. Laboratory personnel must have specific training in the procedures conducted in the laboratory and must be supervised by a scientist with training in microbiology or a related science.</w:t>
      </w:r>
    </w:p>
    <w:p w14:paraId="65E0CE54" w14:textId="0146D466" w:rsidR="0044309F" w:rsidRPr="00720B94" w:rsidRDefault="00D06B06" w:rsidP="00720B94">
      <w:pPr>
        <w:pStyle w:val="Heading3"/>
      </w:pPr>
      <w:bookmarkStart w:id="35" w:name="_Toc192509338"/>
      <w:r w:rsidRPr="00720B94">
        <w:t>Biosafety Level 2</w:t>
      </w:r>
      <w:bookmarkEnd w:id="35"/>
    </w:p>
    <w:p w14:paraId="154EF525" w14:textId="6FC0E104" w:rsidR="00D06B06" w:rsidRPr="00720B94" w:rsidRDefault="00D06B06" w:rsidP="00720B94">
      <w:r w:rsidRPr="00720B94">
        <w:t>Biosafety Level 2 (BSL2) builds upon BSL1. BSL2 is suitable for work involving agents that pose moderate hazards to personnel, animals, or the environment. It differs from BSL1 in that: 1) laboratory personnel have specific training in handling pathogenic agents and are supervised by scientists competent in handling infectious agents and associated procedures; 2) access to the laboratory is restricted when work is being conducted; and 3) all procedures in which infectious aerosols or splashes may be created are conducted in BSCs or other physical containment equipment.</w:t>
      </w:r>
    </w:p>
    <w:p w14:paraId="55853B3B" w14:textId="18C12614" w:rsidR="00D06B06" w:rsidRPr="00720B94" w:rsidRDefault="00D06B06" w:rsidP="00720B94">
      <w:pPr>
        <w:pStyle w:val="Heading3"/>
      </w:pPr>
      <w:bookmarkStart w:id="36" w:name="_Toc192509339"/>
      <w:r w:rsidRPr="00720B94">
        <w:lastRenderedPageBreak/>
        <w:t>Biosafety Level 3</w:t>
      </w:r>
      <w:bookmarkEnd w:id="36"/>
    </w:p>
    <w:p w14:paraId="44DE9858" w14:textId="73592691" w:rsidR="00D06B06" w:rsidRPr="00720B94" w:rsidRDefault="004F74D1" w:rsidP="00720B94">
      <w:r w:rsidRPr="00720B94">
        <w:t xml:space="preserve">Biosafety Level 3 </w:t>
      </w:r>
      <w:r w:rsidR="00BC6690" w:rsidRPr="00720B94">
        <w:t xml:space="preserve">(BSL3) </w:t>
      </w:r>
      <w:r w:rsidRPr="00720B94">
        <w:t>is applicable to clinical, diagnostic, teaching, research, or production facilities where work is performed with indigenous or exotic agents that may cause serious or potentially lethal disease through the inhalation route of exposure. Laboratory personnel must receive specific training in handling pathogenic and potentially lethal agents and must be supervised by scientists competent in handling infectious agents and associated procedures. All procedures involving the manipulation of infectious materials must be conducted within BSCs or other physical containment devices. A BSL3 laboratory has special engineering and design features.</w:t>
      </w:r>
    </w:p>
    <w:p w14:paraId="569E4C55" w14:textId="19861B8D" w:rsidR="004F74D1" w:rsidRPr="00720B94" w:rsidRDefault="004F74D1" w:rsidP="00720B94">
      <w:pPr>
        <w:pStyle w:val="Heading4"/>
      </w:pPr>
      <w:r w:rsidRPr="00720B94">
        <w:t>BSL3 Manual Requirements</w:t>
      </w:r>
    </w:p>
    <w:p w14:paraId="30FD88B4" w14:textId="790F7106" w:rsidR="00157E4B" w:rsidRPr="00720B94" w:rsidRDefault="00157E4B" w:rsidP="00720B94">
      <w:pPr>
        <w:rPr>
          <w:rFonts w:cs="Arial"/>
        </w:rPr>
      </w:pPr>
      <w:r w:rsidRPr="00720B94">
        <w:t>A BSL3 Manual is needed for all BSL3/ABSL3/ACL3 laboratories. The manual provides a summary of procedures and practices for staff to follow while working in the BSL3 laboratory. The manual is required to be specific to your laboratory, facility, agents, and procedures used, and is reviewed as part of the risk assessment. It is required that the manual and the biosafety protoco</w:t>
      </w:r>
      <w:r w:rsidRPr="00720B94">
        <w:rPr>
          <w:rFonts w:cs="Arial"/>
        </w:rPr>
        <w:t>l be reviewed annually by the laboratory and updated to reflect any changes in the laboratory that may affect the risk assessment. At minimum the elements below must be addressed in a BSL3 manual</w:t>
      </w:r>
      <w:r w:rsidR="000C5F12" w:rsidRPr="00720B94">
        <w:rPr>
          <w:rFonts w:cs="Arial"/>
        </w:rPr>
        <w:t xml:space="preserve"> (see Appendix C)</w:t>
      </w:r>
      <w:r w:rsidRPr="00720B94">
        <w:rPr>
          <w:rFonts w:cs="Arial"/>
        </w:rPr>
        <w:t>. Some of the elements may not be applicable to your laborator</w:t>
      </w:r>
      <w:r w:rsidR="00D138EC" w:rsidRPr="00720B94">
        <w:rPr>
          <w:rFonts w:cs="Arial"/>
        </w:rPr>
        <w:t>y</w:t>
      </w:r>
      <w:r w:rsidR="000C5F12" w:rsidRPr="00720B94">
        <w:rPr>
          <w:rFonts w:cs="Arial"/>
        </w:rPr>
        <w:t xml:space="preserve"> and are italicized (see Appendix C)</w:t>
      </w:r>
      <w:r w:rsidR="00D138EC" w:rsidRPr="00720B94">
        <w:rPr>
          <w:rFonts w:cs="Arial"/>
        </w:rPr>
        <w:t>.</w:t>
      </w:r>
      <w:r w:rsidRPr="00720B94">
        <w:rPr>
          <w:rFonts w:cs="Arial"/>
        </w:rPr>
        <w:t xml:space="preserve"> </w:t>
      </w:r>
    </w:p>
    <w:p w14:paraId="47485AC0" w14:textId="32627F5D" w:rsidR="000C058C" w:rsidRPr="00720B94" w:rsidRDefault="00516363" w:rsidP="00720B94">
      <w:pPr>
        <w:pStyle w:val="Heading3"/>
      </w:pPr>
      <w:bookmarkStart w:id="37" w:name="_Toc192509340"/>
      <w:r w:rsidRPr="00720B94">
        <w:t>Summary of Safety Practices for Biosafety Levels 1-3</w:t>
      </w:r>
      <w:bookmarkEnd w:id="37"/>
    </w:p>
    <w:p w14:paraId="57A865C1" w14:textId="423118F7" w:rsidR="00E01C31" w:rsidRPr="00720B94" w:rsidRDefault="00E01C31" w:rsidP="00720B94">
      <w:r w:rsidRPr="00720B94">
        <w:t>During the review of biosafety protocols, risk assessment will determine the required containment and practices for specific research activities</w:t>
      </w:r>
      <w:r w:rsidR="00692F15" w:rsidRPr="00720B94">
        <w:t xml:space="preserve"> (see Appendix D)</w:t>
      </w:r>
      <w:r w:rsidRPr="00720B94">
        <w:t>.</w:t>
      </w:r>
    </w:p>
    <w:p w14:paraId="530818BC" w14:textId="5357A609" w:rsidR="00774BFB" w:rsidRPr="00720B94" w:rsidRDefault="00774BFB" w:rsidP="00720B94">
      <w:pPr>
        <w:pStyle w:val="Heading2"/>
        <w:spacing w:before="160"/>
      </w:pPr>
      <w:bookmarkStart w:id="38" w:name="_Toc192509341"/>
      <w:r w:rsidRPr="00720B94">
        <w:t>Vertebrate Animal</w:t>
      </w:r>
      <w:r w:rsidR="005D1D74" w:rsidRPr="00720B94">
        <w:t xml:space="preserve"> Biosafety Level Criteria for Vivarium Research Facilities</w:t>
      </w:r>
      <w:bookmarkEnd w:id="38"/>
    </w:p>
    <w:p w14:paraId="1969C59E" w14:textId="17EF6378" w:rsidR="005D1D74" w:rsidRPr="00720B94" w:rsidRDefault="005D1D74" w:rsidP="00720B94">
      <w:r w:rsidRPr="00720B94">
        <w:t xml:space="preserve">Please also see the CDC </w:t>
      </w:r>
      <w:hyperlink r:id="rId74" w:history="1">
        <w:r w:rsidRPr="00717676">
          <w:rPr>
            <w:rStyle w:val="Hyperlink"/>
            <w:color w:val="007D89" w:themeColor="accent3" w:themeShade="BF"/>
          </w:rPr>
          <w:t>Biosafety in Microbiological and Biomedical Laboratories</w:t>
        </w:r>
      </w:hyperlink>
      <w:r w:rsidRPr="00720B94">
        <w:t xml:space="preserve"> (BMBL)</w:t>
      </w:r>
      <w:r w:rsidR="00203282" w:rsidRPr="00720B94">
        <w:t xml:space="preserve">, </w:t>
      </w:r>
      <w:r w:rsidRPr="00720B94">
        <w:t xml:space="preserve">Section V </w:t>
      </w:r>
      <w:r w:rsidR="00755CDE" w:rsidRPr="00720B94">
        <w:t>for</w:t>
      </w:r>
      <w:r w:rsidRPr="00720B94">
        <w:t xml:space="preserve"> information on Vertebrate Animal Biosafety Level Criteria. </w:t>
      </w:r>
    </w:p>
    <w:p w14:paraId="785219D3" w14:textId="2323700C" w:rsidR="005D1D74" w:rsidRPr="00720B94" w:rsidRDefault="005D1D74" w:rsidP="00720B94">
      <w:r w:rsidRPr="00720B94">
        <w:t xml:space="preserve">This guidance is provided for the use of experimentally infected animals housed in indoor research facilities (e.g., </w:t>
      </w:r>
      <w:proofErr w:type="spellStart"/>
      <w:r w:rsidRPr="00720B94">
        <w:t>vivaria</w:t>
      </w:r>
      <w:proofErr w:type="spellEnd"/>
      <w:r w:rsidRPr="00720B94">
        <w:t>), and is also useful in the maintenance of laboratory animals that may naturally harbor zoonotic infectious agents</w:t>
      </w:r>
      <w:r w:rsidR="008E565C" w:rsidRPr="00720B94">
        <w:t xml:space="preserve"> (see Appendix E)</w:t>
      </w:r>
      <w:r w:rsidRPr="00720B94">
        <w:t xml:space="preserve">. In both instances, the institutional management must provide facilities, staff, and established practices that reasonably ensure appropriate levels of environmental quality, safety, security and care for the laboratory animal. Laboratory animal facilities are a special type of laboratory. As a general principle, the biosafety level (facilities, practices, and operational requirements) recommended for working with infectious agents </w:t>
      </w:r>
      <w:r w:rsidRPr="00720B94">
        <w:rPr>
          <w:i/>
          <w:iCs/>
        </w:rPr>
        <w:t>in vivo</w:t>
      </w:r>
      <w:r w:rsidRPr="00720B94">
        <w:t xml:space="preserve"> and </w:t>
      </w:r>
      <w:r w:rsidRPr="00720B94">
        <w:rPr>
          <w:i/>
          <w:iCs/>
        </w:rPr>
        <w:t xml:space="preserve">in vitro </w:t>
      </w:r>
      <w:r w:rsidRPr="00720B94">
        <w:t>are comparable</w:t>
      </w:r>
      <w:r w:rsidR="008E565C" w:rsidRPr="00720B94">
        <w:t xml:space="preserve"> (see Appendix E)</w:t>
      </w:r>
      <w:r w:rsidRPr="00720B94">
        <w:t>.</w:t>
      </w:r>
    </w:p>
    <w:p w14:paraId="6F0CFA30" w14:textId="519C5E09" w:rsidR="00B441B1" w:rsidRPr="00720B94" w:rsidRDefault="00ED7AF7" w:rsidP="00720B94">
      <w:r w:rsidRPr="00720B94">
        <w:t xml:space="preserve">The animal room can present unique problems. In the animal room, the activities of the animals themselves can present unique hazards not found in standard microbiological laboratories. Animals may generate aerosols, they may bite and scratch, and they may be infected with a zoonotic agent. The co-application of Biosafety Levels and the Animal Biosafety Levels are determined by a protocol-driven risk assessment. These recommendations imply that laboratory animal facilities, operational practices, and quality of animal care meet applicable standards and regulations (e.g., </w:t>
      </w:r>
      <w:hyperlink r:id="rId75" w:history="1">
        <w:r w:rsidRPr="00717676">
          <w:rPr>
            <w:rStyle w:val="Hyperlink"/>
            <w:color w:val="007D89" w:themeColor="accent3" w:themeShade="BF"/>
          </w:rPr>
          <w:t>Guide for the Care and Use of Laboratory Animals</w:t>
        </w:r>
      </w:hyperlink>
      <w:r w:rsidR="004E092C" w:rsidRPr="00720B94">
        <w:t>,</w:t>
      </w:r>
      <w:r w:rsidRPr="00720B94">
        <w:t xml:space="preserve"> </w:t>
      </w:r>
      <w:hyperlink r:id="rId76" w:history="1">
        <w:r w:rsidRPr="00717676">
          <w:rPr>
            <w:rStyle w:val="Hyperlink"/>
            <w:color w:val="007D89" w:themeColor="accent3" w:themeShade="BF"/>
          </w:rPr>
          <w:t>Animal Welfare Regulations</w:t>
        </w:r>
      </w:hyperlink>
      <w:r w:rsidRPr="00720B94">
        <w:t xml:space="preserve">) and that appropriate species have been selected for animal experiments. </w:t>
      </w:r>
    </w:p>
    <w:p w14:paraId="320240AA" w14:textId="440FB5D5" w:rsidR="00352DFF" w:rsidRPr="00720B94" w:rsidRDefault="00ED7AF7" w:rsidP="00720B94">
      <w:r w:rsidRPr="00720B94">
        <w:t xml:space="preserve">In addition, the organization must have an occupational health and safety program that addresses potential hazards associated with the conduct of laboratory animal research. The publication by the Institute for Laboratory Animal Research (ILAR), </w:t>
      </w:r>
      <w:hyperlink r:id="rId77" w:history="1">
        <w:r w:rsidRPr="00717676">
          <w:rPr>
            <w:rStyle w:val="Hyperlink"/>
            <w:i/>
            <w:iCs/>
            <w:color w:val="007D89" w:themeColor="accent3" w:themeShade="BF"/>
          </w:rPr>
          <w:t>Occupational Health and Safety in the Care and Use of Research Animals</w:t>
        </w:r>
      </w:hyperlink>
      <w:r w:rsidRPr="00720B94">
        <w:t xml:space="preserve">, is helpful in this regard. </w:t>
      </w:r>
    </w:p>
    <w:p w14:paraId="0F333A15" w14:textId="77777777" w:rsidR="00A25932" w:rsidRPr="00720B94" w:rsidRDefault="00ED7AF7" w:rsidP="00720B94">
      <w:r w:rsidRPr="00720B94">
        <w:t xml:space="preserve">Facilities for laboratory animals used in studies of infectious or non-infectious disease should be physically separate from other activities such as animal production and quarantine, clinical laboratories, </w:t>
      </w:r>
      <w:r w:rsidRPr="00720B94">
        <w:lastRenderedPageBreak/>
        <w:t xml:space="preserve">and especially from facilities providing patient care. Traffic flow that will minimize the risk of cross contamination should be incorporated into the facility design. The recommendations detailed below describe four combinations of practices, safety equipment, and facilities for experiments with animals involved in infectious disease research and other studies that may require containment. </w:t>
      </w:r>
    </w:p>
    <w:p w14:paraId="56CD67AD" w14:textId="7A5B715A" w:rsidR="00E63408" w:rsidRPr="00720B94" w:rsidRDefault="00ED7AF7" w:rsidP="00720B94">
      <w:r w:rsidRPr="00720B94">
        <w:t xml:space="preserve">In addition to the animal biosafety levels described in this section, the USDA has developed facility parameters and work practices for handling agents of agriculture significance. </w:t>
      </w:r>
      <w:hyperlink r:id="rId78" w:history="1">
        <w:r w:rsidRPr="00717676">
          <w:rPr>
            <w:rStyle w:val="Hyperlink"/>
            <w:color w:val="007D89" w:themeColor="accent3" w:themeShade="BF"/>
          </w:rPr>
          <w:t>BMBL</w:t>
        </w:r>
      </w:hyperlink>
      <w:r w:rsidRPr="00720B94">
        <w:t xml:space="preserve"> Appendix D</w:t>
      </w:r>
      <w:r w:rsidR="00EF38C3" w:rsidRPr="00720B94">
        <w:t xml:space="preserve"> </w:t>
      </w:r>
      <w:r w:rsidRPr="00720B94">
        <w:t>includes a discussion on Animal Biosafety Level 3 Agriculture (BSL-3-Ag). USDA requirements are unique to agriculture because of the necessity to protect the environment from pathogens of economic or environmental impact. BMBL Appendix D also describes some of the enhancements beyond BSL/ABSL3 that may be required by USDA-APHIS when working in the laboratory or vivarium with certain veterinary agents of concern.</w:t>
      </w:r>
    </w:p>
    <w:p w14:paraId="54407F11" w14:textId="4488FFE2" w:rsidR="005D1D74" w:rsidRPr="00720B94" w:rsidRDefault="00ED7AF7" w:rsidP="00720B94">
      <w:r w:rsidRPr="00720B94">
        <w:t>Note that the IBC and IACUC may request an increase in containment to a higher animal biosafety level for some animal experiments. The evaluation of animal studies to determine required biosafety level will include pathogen-specific activities as well as pathogens commonly associated with certain species (rabies virus in bats, for instance).</w:t>
      </w:r>
    </w:p>
    <w:p w14:paraId="3AA7DBA7" w14:textId="5290ED2A" w:rsidR="00F21592" w:rsidRPr="00720B94" w:rsidRDefault="00F21592" w:rsidP="00720B94">
      <w:pPr>
        <w:pStyle w:val="Heading3"/>
      </w:pPr>
      <w:bookmarkStart w:id="39" w:name="_Toc192509342"/>
      <w:r w:rsidRPr="00720B94">
        <w:t>Aquatic Animal Considerations</w:t>
      </w:r>
      <w:bookmarkEnd w:id="39"/>
    </w:p>
    <w:p w14:paraId="77EC109D" w14:textId="77777777" w:rsidR="00603477" w:rsidRPr="00720B94" w:rsidRDefault="008C6034" w:rsidP="00720B94">
      <w:r w:rsidRPr="00720B94">
        <w:t xml:space="preserve">Aquatic animal research can be very specialized. Distinct considerations are needed for a “wet” facility. </w:t>
      </w:r>
    </w:p>
    <w:p w14:paraId="3366EDF7" w14:textId="182D31EF" w:rsidR="007E253F" w:rsidRPr="00720B94" w:rsidRDefault="008C6034" w:rsidP="00720B94">
      <w:r w:rsidRPr="00720B94">
        <w:t>Note:</w:t>
      </w:r>
      <w:r w:rsidR="00DC1793" w:rsidRPr="00720B94">
        <w:t xml:space="preserve"> The Office of Laboratory Animal Welfare</w:t>
      </w:r>
      <w:r w:rsidRPr="00720B94">
        <w:t xml:space="preserve"> </w:t>
      </w:r>
      <w:r w:rsidR="00DC1793" w:rsidRPr="00720B94">
        <w:t>(</w:t>
      </w:r>
      <w:r w:rsidRPr="00720B94">
        <w:t>OLAW</w:t>
      </w:r>
      <w:r w:rsidR="00DC1793" w:rsidRPr="00720B94">
        <w:t>)</w:t>
      </w:r>
      <w:r w:rsidRPr="00720B94">
        <w:t xml:space="preserve"> considers larval and adult forms of fish to be covered by the Public Health Service policy, and </w:t>
      </w:r>
      <w:proofErr w:type="gramStart"/>
      <w:r w:rsidRPr="00720B94">
        <w:t>both of these</w:t>
      </w:r>
      <w:proofErr w:type="gramEnd"/>
      <w:r w:rsidRPr="00720B94">
        <w:t xml:space="preserve"> forms must be counted. OLAW has made the determination that all stages of zebrafish development greater than 3 days postfertilization (</w:t>
      </w:r>
      <w:proofErr w:type="spellStart"/>
      <w:r w:rsidRPr="00720B94">
        <w:t>dpf</w:t>
      </w:r>
      <w:proofErr w:type="spellEnd"/>
      <w:r w:rsidRPr="00720B94">
        <w:t>) must be described in animal-use protocols. Zebrafish from 4 days postfertilization onward are considered animals and therefore must be counted.</w:t>
      </w:r>
    </w:p>
    <w:p w14:paraId="72B70F8C" w14:textId="77777777" w:rsidR="007E253F" w:rsidRPr="00720B94" w:rsidRDefault="008C6034" w:rsidP="00720B94">
      <w:r w:rsidRPr="00720B94">
        <w:t xml:space="preserve">General considerations: </w:t>
      </w:r>
    </w:p>
    <w:p w14:paraId="77F19B5D" w14:textId="77777777" w:rsidR="00541BE0" w:rsidRPr="00720B94" w:rsidRDefault="008C6034" w:rsidP="0092380E">
      <w:pPr>
        <w:pStyle w:val="ListParagraph"/>
        <w:numPr>
          <w:ilvl w:val="0"/>
          <w:numId w:val="4"/>
        </w:numPr>
        <w:rPr>
          <w:sz w:val="22"/>
          <w:szCs w:val="22"/>
        </w:rPr>
      </w:pPr>
      <w:r w:rsidRPr="00720B94">
        <w:rPr>
          <w:sz w:val="22"/>
          <w:szCs w:val="22"/>
        </w:rPr>
        <w:t xml:space="preserve">Water/waste decontaminated prior to release as per local, state, and federal regulations </w:t>
      </w:r>
    </w:p>
    <w:p w14:paraId="70121707" w14:textId="77777777" w:rsidR="00541BE0" w:rsidRPr="00720B94" w:rsidRDefault="008C6034" w:rsidP="0092380E">
      <w:pPr>
        <w:pStyle w:val="ListParagraph"/>
        <w:numPr>
          <w:ilvl w:val="0"/>
          <w:numId w:val="4"/>
        </w:numPr>
        <w:rPr>
          <w:sz w:val="22"/>
          <w:szCs w:val="22"/>
        </w:rPr>
      </w:pPr>
      <w:r w:rsidRPr="00720B94">
        <w:rPr>
          <w:sz w:val="22"/>
          <w:szCs w:val="22"/>
        </w:rPr>
        <w:t xml:space="preserve">Floor and flood drains are considered, and SOPs are in place to prevent releases </w:t>
      </w:r>
    </w:p>
    <w:p w14:paraId="2AECD948" w14:textId="4BF6C380" w:rsidR="00541BE0" w:rsidRPr="00720B94" w:rsidRDefault="008C6034" w:rsidP="0092380E">
      <w:pPr>
        <w:pStyle w:val="ListParagraph"/>
        <w:numPr>
          <w:ilvl w:val="0"/>
          <w:numId w:val="4"/>
        </w:numPr>
        <w:rPr>
          <w:sz w:val="22"/>
          <w:szCs w:val="22"/>
        </w:rPr>
      </w:pPr>
      <w:r w:rsidRPr="00720B94">
        <w:rPr>
          <w:sz w:val="22"/>
          <w:szCs w:val="22"/>
        </w:rPr>
        <w:t>Inspection of facility for areas of water penetration and areas of concern are caulked, sealed or gasketed</w:t>
      </w:r>
    </w:p>
    <w:p w14:paraId="53706802" w14:textId="77777777" w:rsidR="00541BE0" w:rsidRPr="00720B94" w:rsidRDefault="008C6034" w:rsidP="0092380E">
      <w:pPr>
        <w:pStyle w:val="ListParagraph"/>
        <w:numPr>
          <w:ilvl w:val="0"/>
          <w:numId w:val="4"/>
        </w:numPr>
        <w:rPr>
          <w:sz w:val="22"/>
          <w:szCs w:val="22"/>
        </w:rPr>
      </w:pPr>
      <w:r w:rsidRPr="00720B94">
        <w:rPr>
          <w:sz w:val="22"/>
          <w:szCs w:val="22"/>
        </w:rPr>
        <w:t xml:space="preserve">Risk assessment for any airborne pathogen concerns </w:t>
      </w:r>
    </w:p>
    <w:p w14:paraId="313FA60F" w14:textId="77777777" w:rsidR="00541BE0" w:rsidRPr="00720B94" w:rsidRDefault="008C6034" w:rsidP="0092380E">
      <w:pPr>
        <w:pStyle w:val="ListParagraph"/>
        <w:numPr>
          <w:ilvl w:val="0"/>
          <w:numId w:val="4"/>
        </w:numPr>
        <w:rPr>
          <w:sz w:val="22"/>
          <w:szCs w:val="22"/>
        </w:rPr>
      </w:pPr>
      <w:r w:rsidRPr="00720B94">
        <w:rPr>
          <w:sz w:val="22"/>
          <w:szCs w:val="22"/>
        </w:rPr>
        <w:t xml:space="preserve">Permit requirements as applicable </w:t>
      </w:r>
    </w:p>
    <w:p w14:paraId="143751DB" w14:textId="77777777" w:rsidR="00541BE0" w:rsidRPr="00720B94" w:rsidRDefault="008C6034" w:rsidP="0092380E">
      <w:pPr>
        <w:pStyle w:val="ListParagraph"/>
        <w:numPr>
          <w:ilvl w:val="0"/>
          <w:numId w:val="4"/>
        </w:numPr>
        <w:rPr>
          <w:sz w:val="22"/>
          <w:szCs w:val="22"/>
        </w:rPr>
      </w:pPr>
      <w:r w:rsidRPr="00720B94">
        <w:rPr>
          <w:sz w:val="22"/>
          <w:szCs w:val="22"/>
        </w:rPr>
        <w:t xml:space="preserve">Fish tank waste removal processes </w:t>
      </w:r>
    </w:p>
    <w:p w14:paraId="02E5AFFE" w14:textId="77777777" w:rsidR="00541BE0" w:rsidRPr="00720B94" w:rsidRDefault="008C6034" w:rsidP="0092380E">
      <w:pPr>
        <w:pStyle w:val="ListParagraph"/>
        <w:numPr>
          <w:ilvl w:val="0"/>
          <w:numId w:val="4"/>
        </w:numPr>
        <w:rPr>
          <w:sz w:val="22"/>
          <w:szCs w:val="22"/>
        </w:rPr>
      </w:pPr>
      <w:r w:rsidRPr="00720B94">
        <w:rPr>
          <w:sz w:val="22"/>
          <w:szCs w:val="22"/>
        </w:rPr>
        <w:t xml:space="preserve">Disposal and end of study decontamination SOPs </w:t>
      </w:r>
    </w:p>
    <w:p w14:paraId="35A458AC" w14:textId="77777777" w:rsidR="00541BE0" w:rsidRPr="00720B94" w:rsidRDefault="008C6034" w:rsidP="0092380E">
      <w:pPr>
        <w:pStyle w:val="ListParagraph"/>
        <w:numPr>
          <w:ilvl w:val="0"/>
          <w:numId w:val="4"/>
        </w:numPr>
        <w:rPr>
          <w:sz w:val="22"/>
          <w:szCs w:val="22"/>
        </w:rPr>
      </w:pPr>
      <w:r w:rsidRPr="00720B94">
        <w:rPr>
          <w:sz w:val="22"/>
          <w:szCs w:val="22"/>
        </w:rPr>
        <w:t xml:space="preserve">Specialized hazard communication and/or signage as per risk assessment </w:t>
      </w:r>
    </w:p>
    <w:p w14:paraId="2BDFB96C" w14:textId="77777777" w:rsidR="00541BE0" w:rsidRPr="00720B94" w:rsidRDefault="008C6034" w:rsidP="0092380E">
      <w:pPr>
        <w:pStyle w:val="ListParagraph"/>
        <w:numPr>
          <w:ilvl w:val="0"/>
          <w:numId w:val="4"/>
        </w:numPr>
        <w:rPr>
          <w:sz w:val="22"/>
          <w:szCs w:val="22"/>
        </w:rPr>
      </w:pPr>
      <w:r w:rsidRPr="00720B94">
        <w:rPr>
          <w:sz w:val="22"/>
          <w:szCs w:val="22"/>
        </w:rPr>
        <w:t xml:space="preserve">Room surfaces are easy to clean and impervious to moisture (floor, walls, ceiling) </w:t>
      </w:r>
    </w:p>
    <w:p w14:paraId="45112B8D" w14:textId="77777777" w:rsidR="00541BE0" w:rsidRPr="00720B94" w:rsidRDefault="00541BE0" w:rsidP="0092380E">
      <w:pPr>
        <w:pStyle w:val="ListParagraph"/>
        <w:numPr>
          <w:ilvl w:val="0"/>
          <w:numId w:val="4"/>
        </w:numPr>
        <w:rPr>
          <w:sz w:val="22"/>
          <w:szCs w:val="22"/>
        </w:rPr>
      </w:pPr>
      <w:r w:rsidRPr="00720B94">
        <w:rPr>
          <w:sz w:val="22"/>
          <w:szCs w:val="22"/>
        </w:rPr>
        <w:t>T</w:t>
      </w:r>
      <w:r w:rsidR="008C6034" w:rsidRPr="00720B94">
        <w:rPr>
          <w:sz w:val="22"/>
          <w:szCs w:val="22"/>
        </w:rPr>
        <w:t xml:space="preserve">raining specific to research activities </w:t>
      </w:r>
    </w:p>
    <w:p w14:paraId="644CA747" w14:textId="77777777" w:rsidR="00541BE0" w:rsidRPr="00720B94" w:rsidRDefault="008C6034" w:rsidP="0092380E">
      <w:pPr>
        <w:pStyle w:val="ListParagraph"/>
        <w:numPr>
          <w:ilvl w:val="0"/>
          <w:numId w:val="4"/>
        </w:numPr>
        <w:rPr>
          <w:sz w:val="22"/>
          <w:szCs w:val="22"/>
        </w:rPr>
      </w:pPr>
      <w:r w:rsidRPr="00720B94">
        <w:rPr>
          <w:sz w:val="22"/>
          <w:szCs w:val="22"/>
        </w:rPr>
        <w:t xml:space="preserve">Spill protocols: </w:t>
      </w:r>
    </w:p>
    <w:p w14:paraId="54792595" w14:textId="77777777" w:rsidR="00541BE0" w:rsidRPr="00720B94" w:rsidRDefault="008C6034" w:rsidP="0092380E">
      <w:pPr>
        <w:pStyle w:val="ListParagraph"/>
        <w:numPr>
          <w:ilvl w:val="1"/>
          <w:numId w:val="4"/>
        </w:numPr>
        <w:rPr>
          <w:sz w:val="22"/>
          <w:szCs w:val="22"/>
        </w:rPr>
      </w:pPr>
      <w:r w:rsidRPr="00720B94">
        <w:rPr>
          <w:sz w:val="22"/>
          <w:szCs w:val="22"/>
        </w:rPr>
        <w:t xml:space="preserve">Kits stored away from the floor </w:t>
      </w:r>
    </w:p>
    <w:p w14:paraId="3E3353DE" w14:textId="5D072526" w:rsidR="00541BE0" w:rsidRPr="00720B94" w:rsidRDefault="008C6034" w:rsidP="0092380E">
      <w:pPr>
        <w:pStyle w:val="ListParagraph"/>
        <w:numPr>
          <w:ilvl w:val="1"/>
          <w:numId w:val="4"/>
        </w:numPr>
        <w:spacing w:after="160"/>
        <w:rPr>
          <w:sz w:val="22"/>
          <w:szCs w:val="22"/>
        </w:rPr>
      </w:pPr>
      <w:r w:rsidRPr="00720B94">
        <w:rPr>
          <w:sz w:val="22"/>
          <w:szCs w:val="22"/>
        </w:rPr>
        <w:t>Similar considerations as for large scale liquid activities</w:t>
      </w:r>
    </w:p>
    <w:p w14:paraId="7FE63FA5" w14:textId="4434F1F6" w:rsidR="00541BE0" w:rsidRPr="00720B94" w:rsidRDefault="008C6034" w:rsidP="00720B94">
      <w:r w:rsidRPr="00720B94">
        <w:t xml:space="preserve">Aquatic facility: </w:t>
      </w:r>
    </w:p>
    <w:p w14:paraId="68DFF6C4" w14:textId="77777777" w:rsidR="00541BE0" w:rsidRPr="00720B94" w:rsidRDefault="008C6034" w:rsidP="0092380E">
      <w:pPr>
        <w:pStyle w:val="ListParagraph"/>
        <w:numPr>
          <w:ilvl w:val="0"/>
          <w:numId w:val="5"/>
        </w:numPr>
        <w:rPr>
          <w:sz w:val="22"/>
          <w:szCs w:val="22"/>
        </w:rPr>
      </w:pPr>
      <w:r w:rsidRPr="00720B94">
        <w:rPr>
          <w:sz w:val="22"/>
          <w:szCs w:val="22"/>
        </w:rPr>
        <w:t xml:space="preserve">Location and facility design with respect to potential release into environment </w:t>
      </w:r>
    </w:p>
    <w:p w14:paraId="403FB40D" w14:textId="77777777" w:rsidR="00541BE0" w:rsidRPr="00720B94" w:rsidRDefault="008C6034" w:rsidP="0092380E">
      <w:pPr>
        <w:pStyle w:val="ListParagraph"/>
        <w:numPr>
          <w:ilvl w:val="0"/>
          <w:numId w:val="5"/>
        </w:numPr>
        <w:rPr>
          <w:sz w:val="22"/>
          <w:szCs w:val="22"/>
        </w:rPr>
      </w:pPr>
      <w:r w:rsidRPr="00720B94">
        <w:rPr>
          <w:sz w:val="22"/>
          <w:szCs w:val="22"/>
        </w:rPr>
        <w:t xml:space="preserve">Release SOPs and reporting SOPs </w:t>
      </w:r>
    </w:p>
    <w:p w14:paraId="1C0FA245" w14:textId="77777777" w:rsidR="00541BE0" w:rsidRPr="00720B94" w:rsidRDefault="008C6034" w:rsidP="0092380E">
      <w:pPr>
        <w:pStyle w:val="ListParagraph"/>
        <w:numPr>
          <w:ilvl w:val="0"/>
          <w:numId w:val="5"/>
        </w:numPr>
        <w:rPr>
          <w:sz w:val="22"/>
          <w:szCs w:val="22"/>
        </w:rPr>
      </w:pPr>
      <w:r w:rsidRPr="00720B94">
        <w:rPr>
          <w:sz w:val="22"/>
          <w:szCs w:val="22"/>
        </w:rPr>
        <w:t xml:space="preserve">Exit and entry points: </w:t>
      </w:r>
    </w:p>
    <w:p w14:paraId="07D26B32" w14:textId="77777777" w:rsidR="00541BE0" w:rsidRPr="00720B94" w:rsidRDefault="008C6034" w:rsidP="0092380E">
      <w:pPr>
        <w:pStyle w:val="ListParagraph"/>
        <w:numPr>
          <w:ilvl w:val="1"/>
          <w:numId w:val="5"/>
        </w:numPr>
        <w:rPr>
          <w:sz w:val="22"/>
          <w:szCs w:val="22"/>
        </w:rPr>
      </w:pPr>
      <w:r w:rsidRPr="00720B94">
        <w:rPr>
          <w:sz w:val="22"/>
          <w:szCs w:val="22"/>
        </w:rPr>
        <w:t xml:space="preserve">PPE availability, use </w:t>
      </w:r>
    </w:p>
    <w:p w14:paraId="4A176104" w14:textId="77777777" w:rsidR="00541BE0" w:rsidRPr="00720B94" w:rsidRDefault="008C6034" w:rsidP="0092380E">
      <w:pPr>
        <w:pStyle w:val="ListParagraph"/>
        <w:numPr>
          <w:ilvl w:val="1"/>
          <w:numId w:val="5"/>
        </w:numPr>
        <w:rPr>
          <w:sz w:val="22"/>
          <w:szCs w:val="22"/>
        </w:rPr>
      </w:pPr>
      <w:r w:rsidRPr="00720B94">
        <w:rPr>
          <w:sz w:val="22"/>
          <w:szCs w:val="22"/>
        </w:rPr>
        <w:t xml:space="preserve">Foot baths </w:t>
      </w:r>
    </w:p>
    <w:p w14:paraId="1C62F7D5" w14:textId="77777777" w:rsidR="00541BE0" w:rsidRPr="00720B94" w:rsidRDefault="008C6034" w:rsidP="0092380E">
      <w:pPr>
        <w:pStyle w:val="ListParagraph"/>
        <w:numPr>
          <w:ilvl w:val="1"/>
          <w:numId w:val="5"/>
        </w:numPr>
        <w:rPr>
          <w:sz w:val="22"/>
          <w:szCs w:val="22"/>
        </w:rPr>
      </w:pPr>
      <w:r w:rsidRPr="00720B94">
        <w:rPr>
          <w:sz w:val="22"/>
          <w:szCs w:val="22"/>
        </w:rPr>
        <w:t xml:space="preserve">Signage </w:t>
      </w:r>
    </w:p>
    <w:p w14:paraId="398C134B" w14:textId="77777777" w:rsidR="00541BE0" w:rsidRPr="00720B94" w:rsidRDefault="008C6034" w:rsidP="0092380E">
      <w:pPr>
        <w:pStyle w:val="ListParagraph"/>
        <w:numPr>
          <w:ilvl w:val="1"/>
          <w:numId w:val="5"/>
        </w:numPr>
        <w:rPr>
          <w:sz w:val="22"/>
          <w:szCs w:val="22"/>
        </w:rPr>
      </w:pPr>
      <w:r w:rsidRPr="00720B94">
        <w:rPr>
          <w:sz w:val="22"/>
          <w:szCs w:val="22"/>
        </w:rPr>
        <w:t xml:space="preserve">Emergency information posted (contact information, spill information, etc.) </w:t>
      </w:r>
    </w:p>
    <w:p w14:paraId="1CE73D6D" w14:textId="7AB2D46B" w:rsidR="00F21592" w:rsidRPr="00720B94" w:rsidRDefault="008C6034" w:rsidP="0092380E">
      <w:pPr>
        <w:pStyle w:val="ListParagraph"/>
        <w:numPr>
          <w:ilvl w:val="0"/>
          <w:numId w:val="5"/>
        </w:numPr>
        <w:spacing w:after="160"/>
        <w:rPr>
          <w:sz w:val="22"/>
          <w:szCs w:val="22"/>
        </w:rPr>
      </w:pPr>
      <w:r w:rsidRPr="00720B94">
        <w:rPr>
          <w:sz w:val="22"/>
          <w:szCs w:val="22"/>
        </w:rPr>
        <w:t>Control access (Biosecurity concerns)</w:t>
      </w:r>
    </w:p>
    <w:p w14:paraId="4197BDA7" w14:textId="388960C2" w:rsidR="008C6034" w:rsidRPr="00720B94" w:rsidRDefault="008C6034" w:rsidP="00720B94">
      <w:pPr>
        <w:pStyle w:val="Heading3"/>
      </w:pPr>
      <w:bookmarkStart w:id="40" w:name="_Toc192509343"/>
      <w:r w:rsidRPr="00720B94">
        <w:lastRenderedPageBreak/>
        <w:t>Wild-Caught Animal Considerations</w:t>
      </w:r>
      <w:bookmarkEnd w:id="40"/>
    </w:p>
    <w:p w14:paraId="28D40E1B" w14:textId="7B09B8C4" w:rsidR="00C162AA" w:rsidRPr="00720B94" w:rsidRDefault="008C6034" w:rsidP="00720B94">
      <w:r w:rsidRPr="00720B94">
        <w:t xml:space="preserve">Please contact the </w:t>
      </w:r>
      <w:r w:rsidR="004C7BCE" w:rsidRPr="00720B94">
        <w:t>IBC and IACUC</w:t>
      </w:r>
      <w:r w:rsidRPr="00720B94">
        <w:t xml:space="preserve"> prior to conducting research with wild</w:t>
      </w:r>
      <w:r w:rsidR="004C7BCE" w:rsidRPr="00720B94">
        <w:t>-</w:t>
      </w:r>
      <w:r w:rsidRPr="00720B94">
        <w:t>caught animals. Some wildlife species naturally harbor zoonotic infectious agents. In addition, permits may be required from state or federal agencies prior to collecting certain animals from the wild.</w:t>
      </w:r>
      <w:r w:rsidR="00955A80" w:rsidRPr="00720B94">
        <w:t xml:space="preserve"> </w:t>
      </w:r>
    </w:p>
    <w:p w14:paraId="69336B84" w14:textId="4D2645F7" w:rsidR="008874B9" w:rsidRPr="00720B94" w:rsidRDefault="008874B9" w:rsidP="00720B94">
      <w:pPr>
        <w:pStyle w:val="Heading2"/>
      </w:pPr>
      <w:bookmarkStart w:id="41" w:name="_Toc192509344"/>
      <w:r w:rsidRPr="00720B94">
        <w:t>Arthropod Biocontainment</w:t>
      </w:r>
      <w:bookmarkEnd w:id="41"/>
    </w:p>
    <w:p w14:paraId="5056F0E4" w14:textId="158E6BED" w:rsidR="008874B9" w:rsidRPr="00720B94" w:rsidRDefault="007C5B64" w:rsidP="00720B94">
      <w:r w:rsidRPr="00720B94">
        <w:t xml:space="preserve">Arthropods include, but are not limited to, insects (e.g., mosquitoes, black flies, sand flies, tsetse flies, midges, </w:t>
      </w:r>
      <w:r w:rsidR="006411A8" w:rsidRPr="00720B94">
        <w:t>H</w:t>
      </w:r>
      <w:r w:rsidRPr="00720B94">
        <w:t xml:space="preserve">emiptera, </w:t>
      </w:r>
      <w:proofErr w:type="spellStart"/>
      <w:r w:rsidR="006411A8" w:rsidRPr="00720B94">
        <w:t>P</w:t>
      </w:r>
      <w:r w:rsidRPr="00720B94">
        <w:t>hthiraptera</w:t>
      </w:r>
      <w:proofErr w:type="spellEnd"/>
      <w:r w:rsidRPr="00720B94">
        <w:t xml:space="preserve">, </w:t>
      </w:r>
      <w:r w:rsidR="006411A8" w:rsidRPr="00720B94">
        <w:t>S</w:t>
      </w:r>
      <w:r w:rsidRPr="00720B94">
        <w:t xml:space="preserve">iphonaptera, fruit flies, cockroaches, </w:t>
      </w:r>
      <w:r w:rsidR="006411A8" w:rsidRPr="00720B94">
        <w:t>L</w:t>
      </w:r>
      <w:r w:rsidRPr="00720B94">
        <w:t xml:space="preserve">epidoptera, </w:t>
      </w:r>
      <w:r w:rsidR="006411A8" w:rsidRPr="00720B94">
        <w:t>C</w:t>
      </w:r>
      <w:r w:rsidRPr="00720B94">
        <w:t xml:space="preserve">oleoptera) and </w:t>
      </w:r>
      <w:r w:rsidR="006411A8" w:rsidRPr="00720B94">
        <w:t>A</w:t>
      </w:r>
      <w:r w:rsidRPr="00720B94">
        <w:t xml:space="preserve">rachnids (e.g., ticks, mites, spiders). All lifecycle stages must be considered ‘arthropods’ (e.g., eggs, larvae, nymphs, adults). Complex life cycles and organism diversity require careful consideration in the risk assessment. Arthropod containment is not specifically addressed in BMBL or the NIH Guidelines. </w:t>
      </w:r>
      <w:hyperlink r:id="rId79" w:history="1">
        <w:r w:rsidRPr="00717676">
          <w:rPr>
            <w:rStyle w:val="Hyperlink"/>
            <w:color w:val="007D89" w:themeColor="accent3" w:themeShade="BF"/>
          </w:rPr>
          <w:t>Arthropod Containment Guidelines</w:t>
        </w:r>
      </w:hyperlink>
      <w:r w:rsidRPr="00720B94">
        <w:t xml:space="preserve"> were developed by the American Committee of Medical Entomology as a reference for research involving arthropod vectors of human and animal diseases. In addition to disease-carrying potential, risk assessment for arthropods must consider additional factors such as recombinant modifications, natural range (i.e., is the arthropod an exotic or invasive species in Wisconsin), and ecological role (e.g., is the arthropod considered a pest species). Key elements of the Arthropod Containment</w:t>
      </w:r>
      <w:r w:rsidR="00530BC2" w:rsidRPr="00720B94">
        <w:t xml:space="preserve">, including practices and facility standards </w:t>
      </w:r>
      <w:r w:rsidRPr="00720B94">
        <w:t xml:space="preserve">are summarized </w:t>
      </w:r>
      <w:r w:rsidR="00530BC2" w:rsidRPr="00720B94">
        <w:t>in Appendix F</w:t>
      </w:r>
      <w:r w:rsidRPr="00720B94">
        <w:t>.</w:t>
      </w:r>
    </w:p>
    <w:p w14:paraId="0CE242AB" w14:textId="71DDB005" w:rsidR="00755D7E" w:rsidRPr="00720B94" w:rsidRDefault="00755D7E" w:rsidP="00720B94">
      <w:pPr>
        <w:pStyle w:val="Heading2"/>
      </w:pPr>
      <w:bookmarkStart w:id="42" w:name="_Toc192509345"/>
      <w:r w:rsidRPr="00720B94">
        <w:t>Plant Biocontainment</w:t>
      </w:r>
      <w:bookmarkEnd w:id="42"/>
    </w:p>
    <w:p w14:paraId="1D315EB0" w14:textId="262277CB" w:rsidR="00C800A4" w:rsidRPr="00720B94" w:rsidRDefault="00C800A4" w:rsidP="00720B94">
      <w:r w:rsidRPr="00720B94">
        <w:t>Biosafety principles are applied to activities involving plants that are exotic, recombinant, and/or grown in association with biological toxins, pathogenic or recombinant microbes and/or pathogenic or recombinant small animals (e.g., insects). The principal purpose of plant containment is to protect the environment, not the researcher. The containment principles are based on the recognition that the organisms that are used pose no health threat to humans or higher animals (unless deliberately modified for that purpose), and that the containment conditions minimize the possibility of an unanticipated deleterious effect on organisms and ecosystems outside of the experimental facility (e.g., the inadvertent spread of a serious pathogen from a greenhouse to a local agricultural crop or the unintentional introduction and establishment of a plant in a new ecosystem). Under special circumstances, which typically require explicit approval from US Department of Agriculture</w:t>
      </w:r>
      <w:r w:rsidR="004D36F4" w:rsidRPr="00720B94">
        <w:t>-</w:t>
      </w:r>
      <w:r w:rsidRPr="00720B94">
        <w:t>Animal and Plant Health Inspection Service (USDA-APHIS), it is possible to conduct field trials. Otherwise, release to the environment must be prevented.</w:t>
      </w:r>
    </w:p>
    <w:p w14:paraId="73E76818" w14:textId="75AF876D" w:rsidR="002005A2" w:rsidRPr="00720B94" w:rsidRDefault="00C800A4" w:rsidP="00720B94">
      <w:r w:rsidRPr="00720B94">
        <w:t xml:space="preserve">Guidance for handling potentially biohazardous plants and associated organisms </w:t>
      </w:r>
      <w:proofErr w:type="gramStart"/>
      <w:r w:rsidRPr="00720B94">
        <w:t>lag behind</w:t>
      </w:r>
      <w:proofErr w:type="gramEnd"/>
      <w:r w:rsidRPr="00720B94">
        <w:t xml:space="preserve"> that available for vertebrates and their infectious agents. The USDA-APHIS regulates importation, interstate movement, and environmental release of plant pests and transgenic plants but provides minimal guidance for management of facilities. The best available information </w:t>
      </w:r>
      <w:proofErr w:type="gramStart"/>
      <w:r w:rsidRPr="00720B94">
        <w:t>at this time</w:t>
      </w:r>
      <w:proofErr w:type="gramEnd"/>
      <w:r w:rsidRPr="00720B94">
        <w:t xml:space="preserve"> comes from the NIH Guidelines. While the NIH Guidelines specifically address recombinant DNA, the recommendations regarding effective containment are equally relevant to research using non-recombinant methods. </w:t>
      </w:r>
    </w:p>
    <w:p w14:paraId="5340BD85" w14:textId="55414506" w:rsidR="002005A2" w:rsidRPr="00720B94" w:rsidRDefault="00C800A4" w:rsidP="00720B94">
      <w:r w:rsidRPr="00720B94">
        <w:t xml:space="preserve">The information </w:t>
      </w:r>
      <w:r w:rsidR="0073221B" w:rsidRPr="00720B94">
        <w:t>in Appendix G</w:t>
      </w:r>
      <w:r w:rsidRPr="00720B94">
        <w:t xml:space="preserve"> presents portions of the NIH Guidelines that pertain to containment of transgenic plants and associated organisms. The content is consistent with that of the Guidelines</w:t>
      </w:r>
      <w:r w:rsidR="004F73AE" w:rsidRPr="00720B94">
        <w:t>,</w:t>
      </w:r>
      <w:r w:rsidRPr="00720B94">
        <w:t xml:space="preserve"> but the format has been rearranged to make it more readable. For </w:t>
      </w:r>
      <w:r w:rsidR="0073221B" w:rsidRPr="00720B94">
        <w:t xml:space="preserve">more </w:t>
      </w:r>
      <w:r w:rsidRPr="00720B94">
        <w:t>detailed information on Plant Biosafety Levels (BSL1-P through BSL4-P), refer to the NIH Guidelines</w:t>
      </w:r>
      <w:r w:rsidR="002829F1" w:rsidRPr="00720B94">
        <w:t xml:space="preserve"> </w:t>
      </w:r>
      <w:hyperlink r:id="rId80" w:anchor="_Toc3457202" w:history="1">
        <w:r w:rsidR="002829F1" w:rsidRPr="00717676">
          <w:rPr>
            <w:rStyle w:val="Hyperlink"/>
            <w:color w:val="007D89" w:themeColor="accent3" w:themeShade="BF"/>
          </w:rPr>
          <w:t>Appendix L</w:t>
        </w:r>
      </w:hyperlink>
      <w:r w:rsidRPr="00720B94">
        <w:t>.</w:t>
      </w:r>
    </w:p>
    <w:p w14:paraId="60B6B6D6" w14:textId="5C0C8401" w:rsidR="00755D7E" w:rsidRPr="00720B94" w:rsidRDefault="00C800A4" w:rsidP="00720B94">
      <w:r w:rsidRPr="00720B94">
        <w:t>Containment for transgenic plants and their associated plant pathogens may be achieved by a combination of physical and biological means and relies more heavily on biological factors than is the norm for human and animal infectious agents. The risk</w:t>
      </w:r>
      <w:r w:rsidR="002005A2" w:rsidRPr="00720B94">
        <w:t xml:space="preserve"> </w:t>
      </w:r>
      <w:r w:rsidR="00043195" w:rsidRPr="00720B94">
        <w:t>assessment considers the specific organism(s), geographic/ecological setting, and the available mechanical barriers; then the selected practices are tailored to the specific situation. For example, preventing the spread or release of transgenic pollen is a form of biological containment which can be achieved by using sterile lines, altering day length to prevent flowering, or other strategies.</w:t>
      </w:r>
    </w:p>
    <w:p w14:paraId="1DF3CC8C" w14:textId="5A07DB77" w:rsidR="003A0837" w:rsidRPr="00720B94" w:rsidRDefault="003A0837" w:rsidP="00720B94">
      <w:pPr>
        <w:pStyle w:val="Heading3"/>
      </w:pPr>
      <w:bookmarkStart w:id="43" w:name="_Toc192509346"/>
      <w:r w:rsidRPr="00720B94">
        <w:lastRenderedPageBreak/>
        <w:t>Determination of Plant Containment Level</w:t>
      </w:r>
      <w:bookmarkEnd w:id="43"/>
    </w:p>
    <w:p w14:paraId="75EE5DC7" w14:textId="77777777" w:rsidR="00911F57" w:rsidRPr="00720B94" w:rsidRDefault="00911F57" w:rsidP="00720B94">
      <w:r w:rsidRPr="00720B94">
        <w:t xml:space="preserve">Knowledge of the organisms and judgment based on accepted scientific practices should be used in all cases in selecting the appropriate level of containment. For example, if the genetic modification has the objective of increasing pathogenicity or converting a non-pathogenic organism into a pathogen, then a higher level of containment may be appropriate depending on the organism, its mode of dissemination, and its target organisms. </w:t>
      </w:r>
    </w:p>
    <w:p w14:paraId="10BB05CE" w14:textId="1ACAB6F7" w:rsidR="00BE2FA4" w:rsidRPr="00720B94" w:rsidRDefault="00911F57" w:rsidP="00720B94">
      <w:r w:rsidRPr="00720B94">
        <w:t xml:space="preserve">Experiments that fall under </w:t>
      </w:r>
      <w:hyperlink r:id="rId81" w:anchor="_Toc3457047" w:history="1">
        <w:r w:rsidRPr="00717676">
          <w:rPr>
            <w:rStyle w:val="Hyperlink"/>
            <w:color w:val="007D89" w:themeColor="accent3" w:themeShade="BF"/>
          </w:rPr>
          <w:t>Section III-E</w:t>
        </w:r>
      </w:hyperlink>
      <w:r w:rsidRPr="00720B94">
        <w:t xml:space="preserve"> of the NIH Guidelines require </w:t>
      </w:r>
      <w:r w:rsidR="00E94351" w:rsidRPr="00720B94">
        <w:t>IBC</w:t>
      </w:r>
      <w:r w:rsidRPr="00720B94">
        <w:t xml:space="preserve"> notice simultaneous with initiation. Those that fall under </w:t>
      </w:r>
      <w:hyperlink r:id="rId82" w:anchor="_Toc3457039" w:history="1">
        <w:r w:rsidRPr="00717676">
          <w:rPr>
            <w:rStyle w:val="Hyperlink"/>
            <w:color w:val="007D89" w:themeColor="accent3" w:themeShade="BF"/>
          </w:rPr>
          <w:t>Section III-D</w:t>
        </w:r>
      </w:hyperlink>
      <w:r w:rsidRPr="00720B94">
        <w:t xml:space="preserve"> require </w:t>
      </w:r>
      <w:r w:rsidR="00E94351" w:rsidRPr="00720B94">
        <w:t>IBC</w:t>
      </w:r>
      <w:r w:rsidRPr="00720B94">
        <w:t xml:space="preserve"> approval before initiation. </w:t>
      </w:r>
    </w:p>
    <w:p w14:paraId="6448ACE7" w14:textId="43164EBA" w:rsidR="00BE2FA4" w:rsidRPr="00720B94" w:rsidRDefault="00911F57" w:rsidP="00720B94">
      <w:r w:rsidRPr="00720B94">
        <w:t>BSL1-P is recommended for most experiments with recombinant DNA-containing plants and plant-associated microorganisms (excluding those covered below for Section III-D)</w:t>
      </w:r>
      <w:r w:rsidR="0065346B" w:rsidRPr="00720B94">
        <w:t xml:space="preserve"> (see Appendix G)</w:t>
      </w:r>
      <w:r w:rsidRPr="00720B94">
        <w:t xml:space="preserve">. Example: plant transformation using recombinant Agrobacterium where the genetic modification is not expected to increase adverse characteristics. </w:t>
      </w:r>
    </w:p>
    <w:p w14:paraId="49237482" w14:textId="15A47726" w:rsidR="00BE2FA4" w:rsidRPr="00720B94" w:rsidRDefault="00911F57" w:rsidP="00720B94">
      <w:r w:rsidRPr="00720B94">
        <w:t>BSL2-P Biological Containment</w:t>
      </w:r>
      <w:r w:rsidR="0065346B" w:rsidRPr="00720B94">
        <w:t xml:space="preserve"> (see Appendix G)</w:t>
      </w:r>
      <w:r w:rsidRPr="00720B94">
        <w:t xml:space="preserve"> is recommended for: </w:t>
      </w:r>
    </w:p>
    <w:p w14:paraId="75C07D55" w14:textId="77777777" w:rsidR="00BE2FA4" w:rsidRPr="00720B94" w:rsidRDefault="00911F57" w:rsidP="0092380E">
      <w:pPr>
        <w:pStyle w:val="ListParagraph"/>
        <w:numPr>
          <w:ilvl w:val="0"/>
          <w:numId w:val="14"/>
        </w:numPr>
        <w:rPr>
          <w:sz w:val="22"/>
          <w:szCs w:val="22"/>
        </w:rPr>
      </w:pPr>
      <w:r w:rsidRPr="00720B94">
        <w:rPr>
          <w:sz w:val="22"/>
          <w:szCs w:val="22"/>
        </w:rPr>
        <w:t xml:space="preserve">Plants modified by rDNA that are noxious weeds or can interbreed with noxious weed in the immediate geographic area. </w:t>
      </w:r>
    </w:p>
    <w:p w14:paraId="3E56C0D3" w14:textId="77777777" w:rsidR="00BE2FA4" w:rsidRPr="00720B94" w:rsidRDefault="00911F57" w:rsidP="0092380E">
      <w:pPr>
        <w:pStyle w:val="ListParagraph"/>
        <w:numPr>
          <w:ilvl w:val="0"/>
          <w:numId w:val="14"/>
        </w:numPr>
        <w:rPr>
          <w:sz w:val="22"/>
          <w:szCs w:val="22"/>
        </w:rPr>
      </w:pPr>
      <w:r w:rsidRPr="00720B94">
        <w:rPr>
          <w:sz w:val="22"/>
          <w:szCs w:val="22"/>
        </w:rPr>
        <w:t xml:space="preserve">Plants in which the introduced DNA represents the complete genome of a nonexotic infectious agent. </w:t>
      </w:r>
    </w:p>
    <w:p w14:paraId="46995157" w14:textId="77777777" w:rsidR="00BE2FA4" w:rsidRPr="00720B94" w:rsidRDefault="00911F57" w:rsidP="0092380E">
      <w:pPr>
        <w:pStyle w:val="ListParagraph"/>
        <w:numPr>
          <w:ilvl w:val="0"/>
          <w:numId w:val="14"/>
        </w:numPr>
        <w:rPr>
          <w:sz w:val="22"/>
          <w:szCs w:val="22"/>
        </w:rPr>
      </w:pPr>
      <w:r w:rsidRPr="00720B94">
        <w:rPr>
          <w:sz w:val="22"/>
          <w:szCs w:val="22"/>
        </w:rPr>
        <w:t xml:space="preserve">Plants associated with recombinant DNA-modified non-exotic microorganisms that have a recognized potential for serious detrimental impact on managed or natural ecosystems. </w:t>
      </w:r>
    </w:p>
    <w:p w14:paraId="256828BD" w14:textId="77777777" w:rsidR="00BE2FA4" w:rsidRPr="00720B94" w:rsidRDefault="00911F57" w:rsidP="0092380E">
      <w:pPr>
        <w:pStyle w:val="ListParagraph"/>
        <w:numPr>
          <w:ilvl w:val="0"/>
          <w:numId w:val="14"/>
        </w:numPr>
        <w:rPr>
          <w:sz w:val="22"/>
          <w:szCs w:val="22"/>
        </w:rPr>
      </w:pPr>
      <w:r w:rsidRPr="00720B94">
        <w:rPr>
          <w:sz w:val="22"/>
          <w:szCs w:val="22"/>
        </w:rPr>
        <w:t xml:space="preserve">Plants associated with recombinant DNA-modified exotic microorganisms that have no recognized potential for serious detrimental impact on managed or natural ecosystems. </w:t>
      </w:r>
    </w:p>
    <w:p w14:paraId="2EF5A8D4" w14:textId="430E9398" w:rsidR="00BE2FA4" w:rsidRPr="00720B94" w:rsidRDefault="00911F57" w:rsidP="0092380E">
      <w:pPr>
        <w:pStyle w:val="ListParagraph"/>
        <w:numPr>
          <w:ilvl w:val="0"/>
          <w:numId w:val="14"/>
        </w:numPr>
        <w:rPr>
          <w:sz w:val="22"/>
          <w:szCs w:val="22"/>
        </w:rPr>
      </w:pPr>
      <w:r w:rsidRPr="00720B94">
        <w:rPr>
          <w:sz w:val="22"/>
          <w:szCs w:val="22"/>
        </w:rPr>
        <w:t>Experiments with recombinant DNA-modified arthropods or small animals associated with plants, or with arthropods or small animals with recombinant DNA-modified microorganisms associated with them if the recombinant DNA</w:t>
      </w:r>
      <w:r w:rsidR="00BE2FA4" w:rsidRPr="00720B94">
        <w:rPr>
          <w:sz w:val="22"/>
          <w:szCs w:val="22"/>
        </w:rPr>
        <w:t>-</w:t>
      </w:r>
      <w:r w:rsidRPr="00720B94">
        <w:rPr>
          <w:sz w:val="22"/>
          <w:szCs w:val="22"/>
        </w:rPr>
        <w:t xml:space="preserve">modified microorganisms have no recognized potential for serious detrimental impact on managed or natural ecosystems. </w:t>
      </w:r>
    </w:p>
    <w:p w14:paraId="6124DBBC" w14:textId="77777777" w:rsidR="0073221B" w:rsidRPr="00720B94" w:rsidRDefault="0073221B" w:rsidP="00720B94">
      <w:pPr>
        <w:pStyle w:val="ListParagraph"/>
        <w:rPr>
          <w:sz w:val="22"/>
          <w:szCs w:val="22"/>
        </w:rPr>
      </w:pPr>
    </w:p>
    <w:p w14:paraId="2BD36D04" w14:textId="4EEF647F" w:rsidR="00BE2FA4" w:rsidRPr="00720B94" w:rsidRDefault="00911F57" w:rsidP="00720B94">
      <w:r w:rsidRPr="00720B94">
        <w:t>BSL3-P Biological Containment</w:t>
      </w:r>
      <w:r w:rsidR="0065346B" w:rsidRPr="00720B94">
        <w:t xml:space="preserve"> (see Appendix G)</w:t>
      </w:r>
      <w:r w:rsidRPr="00720B94">
        <w:t xml:space="preserve"> is recommended for: </w:t>
      </w:r>
    </w:p>
    <w:p w14:paraId="7A7B5645" w14:textId="6864155F" w:rsidR="003A0837" w:rsidRPr="00720B94" w:rsidRDefault="00911F57" w:rsidP="0092380E">
      <w:pPr>
        <w:pStyle w:val="ListParagraph"/>
        <w:numPr>
          <w:ilvl w:val="0"/>
          <w:numId w:val="15"/>
        </w:numPr>
        <w:rPr>
          <w:sz w:val="22"/>
          <w:szCs w:val="22"/>
        </w:rPr>
      </w:pPr>
      <w:r w:rsidRPr="00720B94">
        <w:rPr>
          <w:sz w:val="22"/>
          <w:szCs w:val="22"/>
        </w:rPr>
        <w:t>Experiments involving most exotic infectious agents with recognized potential for serious detrimental impact on managed or natural ecosystems when recombinant DNA techniques are associated with whole plants.</w:t>
      </w:r>
    </w:p>
    <w:p w14:paraId="57E51FA0" w14:textId="77777777" w:rsidR="0071645C" w:rsidRPr="00720B94" w:rsidRDefault="0071645C" w:rsidP="0092380E">
      <w:pPr>
        <w:pStyle w:val="ListParagraph"/>
        <w:numPr>
          <w:ilvl w:val="0"/>
          <w:numId w:val="15"/>
        </w:numPr>
        <w:rPr>
          <w:sz w:val="22"/>
          <w:szCs w:val="22"/>
        </w:rPr>
      </w:pPr>
      <w:r w:rsidRPr="00720B94">
        <w:rPr>
          <w:sz w:val="22"/>
          <w:szCs w:val="22"/>
        </w:rPr>
        <w:t xml:space="preserve">Experiments involving plants containing cloned genomes of readily transmissible exotic infectious agents with recognized potential for serious detrimental effects on managed or natural ecosystems in which there exists the possibility of reconstituting the complete and functional genome of the infectious agent by genomic complementation in plants. </w:t>
      </w:r>
    </w:p>
    <w:p w14:paraId="1F4B9CB2" w14:textId="77777777" w:rsidR="0071645C" w:rsidRPr="00720B94" w:rsidRDefault="0071645C" w:rsidP="0092380E">
      <w:pPr>
        <w:pStyle w:val="ListParagraph"/>
        <w:numPr>
          <w:ilvl w:val="0"/>
          <w:numId w:val="15"/>
        </w:numPr>
        <w:rPr>
          <w:sz w:val="22"/>
          <w:szCs w:val="22"/>
        </w:rPr>
      </w:pPr>
      <w:r w:rsidRPr="00720B94">
        <w:rPr>
          <w:sz w:val="22"/>
          <w:szCs w:val="22"/>
        </w:rPr>
        <w:t xml:space="preserve">Experiments with microbial pathogens of insects or small animals associated with plants if the recombinant-DNA modified organism has a recognized potential for serious detrimental impact on managed or natural ecosystems. </w:t>
      </w:r>
    </w:p>
    <w:p w14:paraId="6294CF2D" w14:textId="5CCB1105" w:rsidR="0071645C" w:rsidRPr="00720B94" w:rsidRDefault="0071645C" w:rsidP="0092380E">
      <w:pPr>
        <w:pStyle w:val="ListParagraph"/>
        <w:numPr>
          <w:ilvl w:val="0"/>
          <w:numId w:val="15"/>
        </w:numPr>
        <w:spacing w:after="160"/>
        <w:rPr>
          <w:sz w:val="22"/>
          <w:szCs w:val="22"/>
        </w:rPr>
      </w:pPr>
      <w:r w:rsidRPr="00720B94">
        <w:rPr>
          <w:sz w:val="22"/>
          <w:szCs w:val="22"/>
        </w:rPr>
        <w:t>Experiments involving sequences encoding potent vertebrate toxins introduced into plants or plant-associated organisms.</w:t>
      </w:r>
    </w:p>
    <w:p w14:paraId="638C638C" w14:textId="1A112ABD" w:rsidR="00962890" w:rsidRPr="00720B94" w:rsidRDefault="00962890" w:rsidP="00720B94">
      <w:pPr>
        <w:pStyle w:val="Heading3"/>
      </w:pPr>
      <w:bookmarkStart w:id="44" w:name="_Toc192509347"/>
      <w:r w:rsidRPr="00720B94">
        <w:t>Biological Containment of Plants</w:t>
      </w:r>
      <w:bookmarkEnd w:id="44"/>
    </w:p>
    <w:p w14:paraId="30767EBB" w14:textId="4CE88720" w:rsidR="00962890" w:rsidRPr="00720B94" w:rsidRDefault="00962890" w:rsidP="00720B94">
      <w:r w:rsidRPr="00720B94">
        <w:t xml:space="preserve">Effective dissemination of plants by pollen or seed can be prevented by one or more of the following procedures: </w:t>
      </w:r>
    </w:p>
    <w:p w14:paraId="42D8C466" w14:textId="77777777" w:rsidR="00962890" w:rsidRPr="00720B94" w:rsidRDefault="00962890" w:rsidP="0092380E">
      <w:pPr>
        <w:pStyle w:val="ListParagraph"/>
        <w:numPr>
          <w:ilvl w:val="0"/>
          <w:numId w:val="16"/>
        </w:numPr>
        <w:rPr>
          <w:sz w:val="22"/>
          <w:szCs w:val="22"/>
        </w:rPr>
      </w:pPr>
      <w:r w:rsidRPr="00720B94">
        <w:rPr>
          <w:sz w:val="22"/>
          <w:szCs w:val="22"/>
        </w:rPr>
        <w:t xml:space="preserve">Cover the reproductive structures to prevent pollen dissemination at flowering and seed dissemination at </w:t>
      </w:r>
      <w:proofErr w:type="gramStart"/>
      <w:r w:rsidRPr="00720B94">
        <w:rPr>
          <w:sz w:val="22"/>
          <w:szCs w:val="22"/>
        </w:rPr>
        <w:t>maturity;</w:t>
      </w:r>
      <w:proofErr w:type="gramEnd"/>
      <w:r w:rsidRPr="00720B94">
        <w:rPr>
          <w:sz w:val="22"/>
          <w:szCs w:val="22"/>
        </w:rPr>
        <w:t xml:space="preserve"> </w:t>
      </w:r>
    </w:p>
    <w:p w14:paraId="5F999204" w14:textId="77777777" w:rsidR="00962890" w:rsidRPr="00720B94" w:rsidRDefault="00962890" w:rsidP="0092380E">
      <w:pPr>
        <w:pStyle w:val="ListParagraph"/>
        <w:numPr>
          <w:ilvl w:val="0"/>
          <w:numId w:val="16"/>
        </w:numPr>
        <w:rPr>
          <w:sz w:val="22"/>
          <w:szCs w:val="22"/>
        </w:rPr>
      </w:pPr>
      <w:r w:rsidRPr="00720B94">
        <w:rPr>
          <w:sz w:val="22"/>
          <w:szCs w:val="22"/>
        </w:rPr>
        <w:t xml:space="preserve">Remove reproductive structures by employing male sterile strains, or harvest the plant material prior to the reproductive </w:t>
      </w:r>
      <w:proofErr w:type="gramStart"/>
      <w:r w:rsidRPr="00720B94">
        <w:rPr>
          <w:sz w:val="22"/>
          <w:szCs w:val="22"/>
        </w:rPr>
        <w:t>stage;</w:t>
      </w:r>
      <w:proofErr w:type="gramEnd"/>
      <w:r w:rsidRPr="00720B94">
        <w:rPr>
          <w:sz w:val="22"/>
          <w:szCs w:val="22"/>
        </w:rPr>
        <w:t xml:space="preserve"> </w:t>
      </w:r>
    </w:p>
    <w:p w14:paraId="1FA16104" w14:textId="21838F47" w:rsidR="00962890" w:rsidRPr="00720B94" w:rsidRDefault="00962890" w:rsidP="0092380E">
      <w:pPr>
        <w:pStyle w:val="ListParagraph"/>
        <w:numPr>
          <w:ilvl w:val="0"/>
          <w:numId w:val="16"/>
        </w:numPr>
        <w:spacing w:after="160"/>
        <w:rPr>
          <w:sz w:val="22"/>
          <w:szCs w:val="22"/>
        </w:rPr>
      </w:pPr>
      <w:r w:rsidRPr="00720B94">
        <w:rPr>
          <w:sz w:val="22"/>
          <w:szCs w:val="22"/>
        </w:rPr>
        <w:lastRenderedPageBreak/>
        <w:t>Ensure that experimental plants flower at a time of year when cross-fertile plants are not flowering within the normal pollen dispersal range of the experimental plant; or ensure that cross-fertile plants are not growing within the known pollen dispersal range of the experimental plant.</w:t>
      </w:r>
    </w:p>
    <w:p w14:paraId="552B4424" w14:textId="77777777" w:rsidR="00575FC6" w:rsidRPr="00720B94" w:rsidRDefault="00575FC6" w:rsidP="00720B94">
      <w:pPr>
        <w:pStyle w:val="Heading3"/>
      </w:pPr>
      <w:bookmarkStart w:id="45" w:name="_Toc192509348"/>
      <w:r w:rsidRPr="00720B94">
        <w:t>Biological Containment of Microorganisms Associated with Plants</w:t>
      </w:r>
      <w:bookmarkEnd w:id="45"/>
      <w:r w:rsidRPr="00720B94">
        <w:t xml:space="preserve"> </w:t>
      </w:r>
    </w:p>
    <w:p w14:paraId="1039A994" w14:textId="77777777" w:rsidR="00575FC6" w:rsidRPr="00720B94" w:rsidRDefault="00575FC6" w:rsidP="00720B94">
      <w:r w:rsidRPr="00720B94">
        <w:t xml:space="preserve">Effective dissemination of microorganisms beyond the confines of the greenhouse can be prevented by one or more of the following procedures: </w:t>
      </w:r>
    </w:p>
    <w:p w14:paraId="1B756DD7" w14:textId="77777777" w:rsidR="00A3664D" w:rsidRPr="00720B94" w:rsidRDefault="00575FC6" w:rsidP="0092380E">
      <w:pPr>
        <w:pStyle w:val="ListParagraph"/>
        <w:numPr>
          <w:ilvl w:val="0"/>
          <w:numId w:val="17"/>
        </w:numPr>
        <w:rPr>
          <w:sz w:val="22"/>
          <w:szCs w:val="22"/>
        </w:rPr>
      </w:pPr>
      <w:r w:rsidRPr="00720B94">
        <w:rPr>
          <w:sz w:val="22"/>
          <w:szCs w:val="22"/>
        </w:rPr>
        <w:t xml:space="preserve">Confine all operations to injections of microorganisms or other biological procedures (including genetic manipulation) that limit replication or reproduction of viruses and microorganisms or sequences derived from microorganisms, and confine these injections to internal plant parts or adherent plant </w:t>
      </w:r>
      <w:proofErr w:type="gramStart"/>
      <w:r w:rsidRPr="00720B94">
        <w:rPr>
          <w:sz w:val="22"/>
          <w:szCs w:val="22"/>
        </w:rPr>
        <w:t>surfaces;</w:t>
      </w:r>
      <w:proofErr w:type="gramEnd"/>
      <w:r w:rsidRPr="00720B94">
        <w:rPr>
          <w:sz w:val="22"/>
          <w:szCs w:val="22"/>
        </w:rPr>
        <w:t xml:space="preserve"> </w:t>
      </w:r>
    </w:p>
    <w:p w14:paraId="75DDAAEC" w14:textId="77777777" w:rsidR="00A3664D" w:rsidRPr="00720B94" w:rsidRDefault="00575FC6" w:rsidP="0092380E">
      <w:pPr>
        <w:pStyle w:val="ListParagraph"/>
        <w:numPr>
          <w:ilvl w:val="0"/>
          <w:numId w:val="17"/>
        </w:numPr>
        <w:rPr>
          <w:sz w:val="22"/>
          <w:szCs w:val="22"/>
        </w:rPr>
      </w:pPr>
      <w:r w:rsidRPr="00720B94">
        <w:rPr>
          <w:sz w:val="22"/>
          <w:szCs w:val="22"/>
        </w:rPr>
        <w:t xml:space="preserve">Ensure that organisms, which can serve as hosts or promote the transmission of the virus or microorganism, are not present within the farthest distance that the airborne virus or microorganism may be expected to be effectively </w:t>
      </w:r>
      <w:proofErr w:type="gramStart"/>
      <w:r w:rsidRPr="00720B94">
        <w:rPr>
          <w:sz w:val="22"/>
          <w:szCs w:val="22"/>
        </w:rPr>
        <w:t>disseminated;</w:t>
      </w:r>
      <w:proofErr w:type="gramEnd"/>
      <w:r w:rsidRPr="00720B94">
        <w:rPr>
          <w:sz w:val="22"/>
          <w:szCs w:val="22"/>
        </w:rPr>
        <w:t xml:space="preserve"> </w:t>
      </w:r>
    </w:p>
    <w:p w14:paraId="00FCAB7F" w14:textId="20E41BF8" w:rsidR="00A3664D" w:rsidRPr="00720B94" w:rsidRDefault="00575FC6" w:rsidP="0092380E">
      <w:pPr>
        <w:pStyle w:val="ListParagraph"/>
        <w:numPr>
          <w:ilvl w:val="0"/>
          <w:numId w:val="17"/>
        </w:numPr>
        <w:rPr>
          <w:sz w:val="22"/>
          <w:szCs w:val="22"/>
        </w:rPr>
      </w:pPr>
      <w:r w:rsidRPr="00720B94">
        <w:rPr>
          <w:sz w:val="22"/>
          <w:szCs w:val="22"/>
        </w:rPr>
        <w:t>Conduct experiments at a time of year when plants that can serve as hosts are either not growing or are not susceptible to productive infection</w:t>
      </w:r>
      <w:r w:rsidR="00AE2827" w:rsidRPr="00720B94">
        <w:rPr>
          <w:sz w:val="22"/>
          <w:szCs w:val="22"/>
        </w:rPr>
        <w:t>;</w:t>
      </w:r>
      <w:r w:rsidRPr="00720B94">
        <w:rPr>
          <w:sz w:val="22"/>
          <w:szCs w:val="22"/>
        </w:rPr>
        <w:t xml:space="preserve"> </w:t>
      </w:r>
      <w:r w:rsidR="00AE2827" w:rsidRPr="00720B94">
        <w:rPr>
          <w:sz w:val="22"/>
          <w:szCs w:val="22"/>
        </w:rPr>
        <w:t>u</w:t>
      </w:r>
      <w:r w:rsidRPr="00720B94">
        <w:rPr>
          <w:sz w:val="22"/>
          <w:szCs w:val="22"/>
        </w:rPr>
        <w:t xml:space="preserve">se viruses and other microorganisms or their genomes that have known arthropod or animal vectors, in the absence of such </w:t>
      </w:r>
      <w:proofErr w:type="gramStart"/>
      <w:r w:rsidRPr="00720B94">
        <w:rPr>
          <w:sz w:val="22"/>
          <w:szCs w:val="22"/>
        </w:rPr>
        <w:t>vectors;</w:t>
      </w:r>
      <w:proofErr w:type="gramEnd"/>
      <w:r w:rsidRPr="00720B94">
        <w:rPr>
          <w:sz w:val="22"/>
          <w:szCs w:val="22"/>
        </w:rPr>
        <w:t xml:space="preserve"> </w:t>
      </w:r>
    </w:p>
    <w:p w14:paraId="5D038E48" w14:textId="77777777" w:rsidR="003D7BBA" w:rsidRPr="00720B94" w:rsidRDefault="00575FC6" w:rsidP="0092380E">
      <w:pPr>
        <w:pStyle w:val="ListParagraph"/>
        <w:numPr>
          <w:ilvl w:val="0"/>
          <w:numId w:val="17"/>
        </w:numPr>
        <w:rPr>
          <w:sz w:val="22"/>
          <w:szCs w:val="22"/>
        </w:rPr>
      </w:pPr>
      <w:r w:rsidRPr="00720B94">
        <w:rPr>
          <w:sz w:val="22"/>
          <w:szCs w:val="22"/>
        </w:rPr>
        <w:t xml:space="preserve">Use microorganisms that have an obligate association with the plant; or </w:t>
      </w:r>
    </w:p>
    <w:p w14:paraId="4F1C58E1" w14:textId="513524F5" w:rsidR="00962890" w:rsidRPr="00720B94" w:rsidRDefault="00575FC6" w:rsidP="0092380E">
      <w:pPr>
        <w:pStyle w:val="ListParagraph"/>
        <w:numPr>
          <w:ilvl w:val="0"/>
          <w:numId w:val="17"/>
        </w:numPr>
        <w:spacing w:after="160"/>
        <w:rPr>
          <w:sz w:val="22"/>
          <w:szCs w:val="22"/>
        </w:rPr>
      </w:pPr>
      <w:r w:rsidRPr="00720B94">
        <w:rPr>
          <w:sz w:val="22"/>
          <w:szCs w:val="22"/>
        </w:rPr>
        <w:t>Use microorganisms that are genetically disabled to minimize survival outside of the research facility and whose natural mode of transmission requires injury of the target organism or assures that inadvertent release is unlikely to initiate productive infection of organisms outside of the experimental facility.</w:t>
      </w:r>
    </w:p>
    <w:p w14:paraId="4D281FD4" w14:textId="77777777" w:rsidR="009936B7" w:rsidRPr="00720B94" w:rsidRDefault="009936B7" w:rsidP="00720B94">
      <w:pPr>
        <w:pStyle w:val="Heading3"/>
      </w:pPr>
      <w:bookmarkStart w:id="46" w:name="_Toc192509349"/>
      <w:r w:rsidRPr="00720B94">
        <w:t>Biological Containment of Macro-organisms Associated with Plants</w:t>
      </w:r>
      <w:bookmarkEnd w:id="46"/>
      <w:r w:rsidRPr="00720B94">
        <w:t xml:space="preserve"> </w:t>
      </w:r>
    </w:p>
    <w:p w14:paraId="08599369" w14:textId="77777777" w:rsidR="009936B7" w:rsidRPr="00720B94" w:rsidRDefault="009936B7" w:rsidP="00720B94">
      <w:r w:rsidRPr="00720B94">
        <w:t xml:space="preserve">Effective dissemination of arthropods and other small animals can be prevented by using one or more of the following procedures: </w:t>
      </w:r>
    </w:p>
    <w:p w14:paraId="2E2D0DA5" w14:textId="77777777" w:rsidR="009936B7" w:rsidRPr="00720B94" w:rsidRDefault="009936B7" w:rsidP="0092380E">
      <w:pPr>
        <w:pStyle w:val="ListParagraph"/>
        <w:numPr>
          <w:ilvl w:val="0"/>
          <w:numId w:val="18"/>
        </w:numPr>
        <w:rPr>
          <w:sz w:val="22"/>
          <w:szCs w:val="22"/>
        </w:rPr>
      </w:pPr>
      <w:r w:rsidRPr="00720B94">
        <w:rPr>
          <w:sz w:val="22"/>
          <w:szCs w:val="22"/>
        </w:rPr>
        <w:t xml:space="preserve">Use non-flying, flight-impaired, or sterile </w:t>
      </w:r>
      <w:proofErr w:type="gramStart"/>
      <w:r w:rsidRPr="00720B94">
        <w:rPr>
          <w:sz w:val="22"/>
          <w:szCs w:val="22"/>
        </w:rPr>
        <w:t>arthropods;</w:t>
      </w:r>
      <w:proofErr w:type="gramEnd"/>
      <w:r w:rsidRPr="00720B94">
        <w:rPr>
          <w:sz w:val="22"/>
          <w:szCs w:val="22"/>
        </w:rPr>
        <w:t xml:space="preserve"> </w:t>
      </w:r>
    </w:p>
    <w:p w14:paraId="61C74525" w14:textId="77777777" w:rsidR="009936B7" w:rsidRPr="00720B94" w:rsidRDefault="009936B7" w:rsidP="0092380E">
      <w:pPr>
        <w:pStyle w:val="ListParagraph"/>
        <w:numPr>
          <w:ilvl w:val="0"/>
          <w:numId w:val="18"/>
        </w:numPr>
        <w:rPr>
          <w:sz w:val="22"/>
          <w:szCs w:val="22"/>
        </w:rPr>
      </w:pPr>
      <w:r w:rsidRPr="00720B94">
        <w:rPr>
          <w:sz w:val="22"/>
          <w:szCs w:val="22"/>
        </w:rPr>
        <w:t xml:space="preserve">Use non-motile or sterile strains of small </w:t>
      </w:r>
      <w:proofErr w:type="gramStart"/>
      <w:r w:rsidRPr="00720B94">
        <w:rPr>
          <w:sz w:val="22"/>
          <w:szCs w:val="22"/>
        </w:rPr>
        <w:t>animals;</w:t>
      </w:r>
      <w:proofErr w:type="gramEnd"/>
      <w:r w:rsidRPr="00720B94">
        <w:rPr>
          <w:sz w:val="22"/>
          <w:szCs w:val="22"/>
        </w:rPr>
        <w:t xml:space="preserve"> </w:t>
      </w:r>
    </w:p>
    <w:p w14:paraId="6CADCD7E" w14:textId="77777777" w:rsidR="009936B7" w:rsidRPr="00720B94" w:rsidRDefault="009936B7" w:rsidP="0092380E">
      <w:pPr>
        <w:pStyle w:val="ListParagraph"/>
        <w:numPr>
          <w:ilvl w:val="0"/>
          <w:numId w:val="18"/>
        </w:numPr>
        <w:rPr>
          <w:sz w:val="22"/>
          <w:szCs w:val="22"/>
        </w:rPr>
      </w:pPr>
      <w:r w:rsidRPr="00720B94">
        <w:rPr>
          <w:sz w:val="22"/>
          <w:szCs w:val="22"/>
        </w:rPr>
        <w:t xml:space="preserve">Conduct experiments at a time of year that precludes the survival of escaping </w:t>
      </w:r>
      <w:proofErr w:type="gramStart"/>
      <w:r w:rsidRPr="00720B94">
        <w:rPr>
          <w:sz w:val="22"/>
          <w:szCs w:val="22"/>
        </w:rPr>
        <w:t>organisms;</w:t>
      </w:r>
      <w:proofErr w:type="gramEnd"/>
      <w:r w:rsidRPr="00720B94">
        <w:rPr>
          <w:sz w:val="22"/>
          <w:szCs w:val="22"/>
        </w:rPr>
        <w:t xml:space="preserve"> </w:t>
      </w:r>
    </w:p>
    <w:p w14:paraId="0B7D4B2B" w14:textId="77777777" w:rsidR="009936B7" w:rsidRPr="00720B94" w:rsidRDefault="009936B7" w:rsidP="0092380E">
      <w:pPr>
        <w:pStyle w:val="ListParagraph"/>
        <w:numPr>
          <w:ilvl w:val="0"/>
          <w:numId w:val="18"/>
        </w:numPr>
        <w:rPr>
          <w:sz w:val="22"/>
          <w:szCs w:val="22"/>
        </w:rPr>
      </w:pPr>
      <w:r w:rsidRPr="00720B94">
        <w:rPr>
          <w:sz w:val="22"/>
          <w:szCs w:val="22"/>
        </w:rPr>
        <w:t xml:space="preserve">Use animals that have an obligate association with a plant that is not present within the dispersal range of the organism; or </w:t>
      </w:r>
    </w:p>
    <w:p w14:paraId="7ED7A297" w14:textId="7C23FBBC" w:rsidR="009936B7" w:rsidRPr="00720B94" w:rsidRDefault="009936B7" w:rsidP="0092380E">
      <w:pPr>
        <w:pStyle w:val="ListParagraph"/>
        <w:numPr>
          <w:ilvl w:val="0"/>
          <w:numId w:val="18"/>
        </w:numPr>
        <w:spacing w:after="160"/>
        <w:rPr>
          <w:sz w:val="22"/>
          <w:szCs w:val="22"/>
        </w:rPr>
      </w:pPr>
      <w:r w:rsidRPr="00720B94">
        <w:rPr>
          <w:sz w:val="22"/>
          <w:szCs w:val="22"/>
        </w:rPr>
        <w:t>Prevent the escape of organisms present in run-off water by chemical treatment or evaporation of run-off water</w:t>
      </w:r>
    </w:p>
    <w:p w14:paraId="301B86A2" w14:textId="3C4F5F69" w:rsidR="007340EF" w:rsidRPr="00720B94" w:rsidRDefault="007340EF" w:rsidP="00720B94">
      <w:pPr>
        <w:pStyle w:val="Heading2"/>
      </w:pPr>
      <w:bookmarkStart w:id="47" w:name="_Toc192509350"/>
      <w:r w:rsidRPr="00720B94">
        <w:t>Clinical and Pathological Specimens</w:t>
      </w:r>
      <w:bookmarkEnd w:id="47"/>
    </w:p>
    <w:p w14:paraId="345D8A51" w14:textId="7E26BBE8" w:rsidR="00F90C33" w:rsidRPr="00720B94" w:rsidRDefault="007340EF" w:rsidP="00720B94">
      <w:r w:rsidRPr="00720B94">
        <w:t xml:space="preserve">Every specimen from humans or animals may contain infectious agents. Personnel in laboratories and clinical areas handling human blood or body fluids should practice Universal Precautions, an approach to infection control wherein all human blood and certain human body fluids are treated as if known to be infectious for human immunodeficiency virus (HIV), hepatitis B virus (HBV), and other bloodborne pathogens. Such personnel are required by OSHA to complete bloodborne pathogen training. Bloodborne pathogen training is available through </w:t>
      </w:r>
      <w:hyperlink r:id="rId83" w:history="1">
        <w:r w:rsidR="007311E7" w:rsidRPr="00717676">
          <w:rPr>
            <w:rStyle w:val="Hyperlink"/>
            <w:color w:val="007D89" w:themeColor="accent3" w:themeShade="BF"/>
          </w:rPr>
          <w:t>UWL Environmental Health &amp; Safety</w:t>
        </w:r>
      </w:hyperlink>
      <w:r w:rsidR="00DB2E85" w:rsidRPr="00720B94">
        <w:t xml:space="preserve"> </w:t>
      </w:r>
      <w:r w:rsidR="00106A6E" w:rsidRPr="00720B94">
        <w:t xml:space="preserve">(EHS) </w:t>
      </w:r>
      <w:r w:rsidR="00DB2E85" w:rsidRPr="00720B94">
        <w:t>and must be renewed annually</w:t>
      </w:r>
      <w:r w:rsidRPr="00720B94">
        <w:t xml:space="preserve">. </w:t>
      </w:r>
      <w:r w:rsidR="00556F20" w:rsidRPr="00720B94">
        <w:t xml:space="preserve">See </w:t>
      </w:r>
      <w:r w:rsidR="00106A6E" w:rsidRPr="00720B94">
        <w:t>the UWL EHS Laboratory</w:t>
      </w:r>
      <w:r w:rsidR="00B16C8E" w:rsidRPr="00720B94">
        <w:t xml:space="preserve"> Safety &amp; Chemical Disposal Guide,</w:t>
      </w:r>
      <w:r w:rsidR="00106A6E" w:rsidRPr="00720B94">
        <w:t xml:space="preserve"> </w:t>
      </w:r>
      <w:hyperlink r:id="rId84" w:history="1">
        <w:r w:rsidR="00106A6E" w:rsidRPr="00717676">
          <w:rPr>
            <w:rStyle w:val="Hyperlink"/>
            <w:color w:val="007D89" w:themeColor="accent3" w:themeShade="BF"/>
          </w:rPr>
          <w:t>Appendix G: Training for Laboratory Personnel</w:t>
        </w:r>
      </w:hyperlink>
      <w:r w:rsidR="00106A6E" w:rsidRPr="00720B94">
        <w:t xml:space="preserve"> </w:t>
      </w:r>
      <w:r w:rsidR="00FE0881" w:rsidRPr="00720B94">
        <w:t xml:space="preserve">and EHS </w:t>
      </w:r>
      <w:hyperlink r:id="rId85" w:history="1">
        <w:r w:rsidR="008D1E84" w:rsidRPr="00717676">
          <w:rPr>
            <w:rStyle w:val="Hyperlink"/>
            <w:color w:val="007D89" w:themeColor="accent3" w:themeShade="BF"/>
          </w:rPr>
          <w:t>Bloodborne Pathogen</w:t>
        </w:r>
        <w:r w:rsidR="00386068" w:rsidRPr="00717676">
          <w:rPr>
            <w:rStyle w:val="Hyperlink"/>
            <w:color w:val="007D89" w:themeColor="accent3" w:themeShade="BF"/>
          </w:rPr>
          <w:t>s Exposure Control</w:t>
        </w:r>
        <w:r w:rsidR="008D1E84" w:rsidRPr="00717676">
          <w:rPr>
            <w:rStyle w:val="Hyperlink"/>
            <w:color w:val="007D89" w:themeColor="accent3" w:themeShade="BF"/>
          </w:rPr>
          <w:t xml:space="preserve"> Program</w:t>
        </w:r>
      </w:hyperlink>
      <w:r w:rsidR="008D1E84" w:rsidRPr="00720B94">
        <w:t xml:space="preserve"> </w:t>
      </w:r>
      <w:r w:rsidR="00106A6E" w:rsidRPr="00720B94">
        <w:t xml:space="preserve">for more information. </w:t>
      </w:r>
      <w:r w:rsidRPr="00720B94">
        <w:t xml:space="preserve">Hepatitis B vaccination is available through </w:t>
      </w:r>
      <w:r w:rsidR="00476B17" w:rsidRPr="00720B94">
        <w:t>your personal physician.</w:t>
      </w:r>
      <w:r w:rsidR="006B286A" w:rsidRPr="00720B94">
        <w:t xml:space="preserve"> Per the CDC BMBL guidelines, work involving human-derived materials (e.g., human cells, cell culture, organs, tissues, biological samples) must at minimum be conducted in accordance with Biosafety Level 2 (BSL2) practices and procedures.</w:t>
      </w:r>
    </w:p>
    <w:p w14:paraId="4C0C079A" w14:textId="4FC2EF52" w:rsidR="007340EF" w:rsidRPr="00720B94" w:rsidRDefault="4BE2D631" w:rsidP="00720B94">
      <w:hyperlink r:id="rId86" w:history="1">
        <w:r w:rsidRPr="00717676">
          <w:rPr>
            <w:rStyle w:val="Hyperlink"/>
            <w:color w:val="007D89" w:themeColor="accent3" w:themeShade="BF"/>
          </w:rPr>
          <w:t>UWL’s Bloodborne Pathogens Exposure Control Program</w:t>
        </w:r>
      </w:hyperlink>
      <w:r w:rsidRPr="00720B94">
        <w:t xml:space="preserve"> provides </w:t>
      </w:r>
      <w:r w:rsidR="10246C6E" w:rsidRPr="00720B94">
        <w:t>methods to control exposure</w:t>
      </w:r>
      <w:r w:rsidR="0F2D44E4" w:rsidRPr="00720B94">
        <w:t xml:space="preserve"> of</w:t>
      </w:r>
      <w:r w:rsidR="5A10AAC7" w:rsidRPr="00720B94">
        <w:t xml:space="preserve"> laboratory and other personnel </w:t>
      </w:r>
      <w:r w:rsidR="5791E60B" w:rsidRPr="00720B94">
        <w:t>to</w:t>
      </w:r>
      <w:r w:rsidR="007340EF" w:rsidRPr="00720B94">
        <w:t xml:space="preserve"> human blood or other potentially infectious materials (OPIM). OPIM is </w:t>
      </w:r>
      <w:r w:rsidR="007340EF" w:rsidRPr="00720B94">
        <w:lastRenderedPageBreak/>
        <w:t xml:space="preserve">defined in the regulations as semen, vaginal secretions, cerebrospinal fluid, synovial fluid, pleural fluid, pericardial fluid, peritoneal fluid, amniotic fluid, saliva in dental procedures, and any body fluids in situations where it is difficult or impossible to differentiate between body fluids. Any unfixed human tissue, organ, blood, primary cells or established cell lines, HIV- or HBV-containing culture media or other solutions, and cells or tissues from experimental animals administered human-derived material, HIV, or HBV are also included are also subject to oversight. Contact </w:t>
      </w:r>
      <w:r w:rsidR="00FD7FF6" w:rsidRPr="00720B94">
        <w:t xml:space="preserve">UWL Environmental Health &amp; Safety </w:t>
      </w:r>
      <w:r w:rsidR="007340EF" w:rsidRPr="00720B94">
        <w:t>for more information on precautions and regulatory requirements.</w:t>
      </w:r>
    </w:p>
    <w:p w14:paraId="10989529" w14:textId="77777777" w:rsidR="00441988" w:rsidRPr="00720B94" w:rsidRDefault="00441988" w:rsidP="00720B94">
      <w:pPr>
        <w:pStyle w:val="Heading3"/>
      </w:pPr>
      <w:bookmarkStart w:id="48" w:name="_Toc192509351"/>
      <w:r w:rsidRPr="00720B94">
        <w:t>Cultures</w:t>
      </w:r>
      <w:bookmarkEnd w:id="48"/>
      <w:r w:rsidRPr="00720B94">
        <w:t xml:space="preserve"> </w:t>
      </w:r>
    </w:p>
    <w:p w14:paraId="32587C06" w14:textId="77777777" w:rsidR="000B7AB0" w:rsidRPr="00720B94" w:rsidRDefault="00441988" w:rsidP="00720B94">
      <w:r w:rsidRPr="00720B94">
        <w:t>When a cell or tissue explant culture is inoculated with or known to contain a pathogen, it should be classified and handled at the same biosafety level as the agent. BSL2 containment and practices are used for human-derived cells (primary cells and established cell lines), all human clinical material (e.g., tissues and fluids obtained from surgery or autopsy), nonhuman primate cells and tissues, and any non-human cells</w:t>
      </w:r>
      <w:r w:rsidR="000B7AB0" w:rsidRPr="00720B94">
        <w:t xml:space="preserve"> exposed to or transformed by an oncogenic virus. A biosafety cabinet should be used for manipulations that have potential to create aerosols. </w:t>
      </w:r>
    </w:p>
    <w:p w14:paraId="59B4006D" w14:textId="77777777" w:rsidR="000B7AB0" w:rsidRPr="00720B94" w:rsidRDefault="000B7AB0" w:rsidP="00720B94">
      <w:pPr>
        <w:pStyle w:val="Heading2"/>
      </w:pPr>
      <w:bookmarkStart w:id="49" w:name="_Toc192509352"/>
      <w:r w:rsidRPr="00720B94">
        <w:t>Biological Toxins</w:t>
      </w:r>
      <w:bookmarkEnd w:id="49"/>
      <w:r w:rsidRPr="00720B94">
        <w:t xml:space="preserve"> </w:t>
      </w:r>
    </w:p>
    <w:p w14:paraId="23FBE608" w14:textId="0D285046" w:rsidR="0036132F" w:rsidRPr="00720B94" w:rsidRDefault="000B7AB0" w:rsidP="00720B94">
      <w:r w:rsidRPr="00720B94">
        <w:t xml:space="preserve">Labs may utilize biological toxins in their research programs, </w:t>
      </w:r>
      <w:r w:rsidR="008D019D" w:rsidRPr="00720B94">
        <w:t>sometimes</w:t>
      </w:r>
      <w:r w:rsidRPr="00720B94">
        <w:t xml:space="preserve"> in conjunction with animals and microbes. Biological toxins are toxic substances that are produced by microorganisms, animals, and plants and </w:t>
      </w:r>
      <w:proofErr w:type="gramStart"/>
      <w:r w:rsidRPr="00720B94">
        <w:t>are capable of causing</w:t>
      </w:r>
      <w:proofErr w:type="gramEnd"/>
      <w:r w:rsidRPr="00720B94">
        <w:t xml:space="preserve"> harm to other living organisms. Chemicals or products not produced by living organisms are not considered biological toxins but can be equally harmful. Biological toxins (e.g., bacterial toxins, mycotoxins, seafood toxins) handled, stored, or intentionally produced in your laboratory must be listed on laboratory biosafety protocols, depending on factors such as toxicity (</w:t>
      </w:r>
      <w:r w:rsidR="69CF75CB" w:rsidRPr="00720B94">
        <w:t xml:space="preserve">e.g., </w:t>
      </w:r>
      <w:r w:rsidRPr="00720B94">
        <w:t>LD</w:t>
      </w:r>
      <w:r w:rsidRPr="00720B94">
        <w:rPr>
          <w:vertAlign w:val="subscript"/>
        </w:rPr>
        <w:t>50</w:t>
      </w:r>
      <w:r w:rsidRPr="00720B94">
        <w:t xml:space="preserve">). Toxins must be appropriately stored in a designated location and clearly labeled. Toxic synthesized chemicals and antibiotics are not considered to be biological toxins and should not be listed in your biosafety protocol. Contact the </w:t>
      </w:r>
      <w:r w:rsidR="0036132F" w:rsidRPr="00720B94">
        <w:t>IBC</w:t>
      </w:r>
      <w:r w:rsidRPr="00720B94">
        <w:t xml:space="preserve"> if you are unsure whether a material </w:t>
      </w:r>
      <w:proofErr w:type="gramStart"/>
      <w:r w:rsidRPr="00720B94">
        <w:t>is considered to be</w:t>
      </w:r>
      <w:proofErr w:type="gramEnd"/>
      <w:r w:rsidRPr="00720B94">
        <w:t xml:space="preserve"> a biological toxin or if a material must be listed on your biosafety protocol. </w:t>
      </w:r>
      <w:r w:rsidR="0036132F" w:rsidRPr="00720B94">
        <w:t>The IBC</w:t>
      </w:r>
      <w:r w:rsidRPr="00720B94">
        <w:t xml:space="preserve"> will work with laboratories to determine the required biosafety level, handling practices, and inactivation methods for studies involving biological toxins. </w:t>
      </w:r>
    </w:p>
    <w:p w14:paraId="6E31227F" w14:textId="77777777" w:rsidR="00CA2063" w:rsidRPr="00720B94" w:rsidRDefault="000B7AB0" w:rsidP="00720B94">
      <w:r w:rsidRPr="00720B94">
        <w:t xml:space="preserve">Potential exposure routes, toxicity, and effects of exposure vary widely between biological toxins, and may include acute as well as chronic effects. Numerous biological toxins </w:t>
      </w:r>
      <w:proofErr w:type="gramStart"/>
      <w:r w:rsidRPr="00720B94">
        <w:t>are considered to be</w:t>
      </w:r>
      <w:proofErr w:type="gramEnd"/>
      <w:r w:rsidRPr="00720B94">
        <w:t xml:space="preserve"> potent carcinogens, especially mycotoxins. Symptoms from exposure to some toxins can have a very rapid onset, while symptoms from exposure to other toxins may not be noticeable until years after the exposure. Some toxins accumulate over time and even exposure to very small amounts can be harmful over time, whereas others are rapidly eliminated. Inactivation procedures also vary for specific toxins. It is thus important to understand the specific properties, intoxication routes, and inactivation procedures of a biological toxin prior to use in laboratories. Extreme caution is needed when handling concentrated lyophilized biological toxins as it can create an inhalation risk, even if the toxin is not known to normally cause intoxication via the inhalation route. BSL2 is generally required for handling purified biological toxins, and a BSC, chemical fume hood, or other engineering control is often required, depending on the toxin’s specific properties and procedure for its use. Rodents treated parenterally (IV, IM, IP, or subcutaneously) with some biological toxins, in the absence of known pathogens, can often be subsequently housed at ABSL1, depending on the toxin’s properties. </w:t>
      </w:r>
    </w:p>
    <w:p w14:paraId="6D7E6051" w14:textId="6C0CB0CD" w:rsidR="00F90C33" w:rsidRPr="00720B94" w:rsidRDefault="000B7AB0" w:rsidP="00720B94">
      <w:r w:rsidRPr="00720B94">
        <w:t xml:space="preserve">Some high-risk biological toxins are considered Select Agents. To learn which biological agents and toxins are considered Select Agents, </w:t>
      </w:r>
      <w:r w:rsidR="004C0A70" w:rsidRPr="00720B94">
        <w:t xml:space="preserve">see the </w:t>
      </w:r>
      <w:hyperlink r:id="rId87" w:history="1">
        <w:r w:rsidR="004C0A70" w:rsidRPr="00717676">
          <w:rPr>
            <w:rStyle w:val="Hyperlink"/>
            <w:color w:val="007D89" w:themeColor="accent3" w:themeShade="BF"/>
          </w:rPr>
          <w:t>HHS and USDA Select Agents and Toxins List</w:t>
        </w:r>
      </w:hyperlink>
      <w:r w:rsidR="004C0A70" w:rsidRPr="00720B94">
        <w:t>.</w:t>
      </w:r>
      <w:r w:rsidRPr="00720B94">
        <w:t xml:space="preserve"> Please contact </w:t>
      </w:r>
      <w:r w:rsidR="00CA2063" w:rsidRPr="00720B94">
        <w:t>the IBC</w:t>
      </w:r>
      <w:r w:rsidRPr="00720B94">
        <w:t xml:space="preserve"> if you are unsure whether a biological toxin in your lab is considered a Select Agent</w:t>
      </w:r>
      <w:r w:rsidR="00156132" w:rsidRPr="00720B94">
        <w:t xml:space="preserve"> t</w:t>
      </w:r>
      <w:r w:rsidRPr="00720B94">
        <w:t>oxin. Select Agent biological toxins are exempt from the Select Agent regulations if the total quantity under the control of a PI falls below a certain threshold</w:t>
      </w:r>
      <w:r w:rsidR="007B1F6A" w:rsidRPr="00720B94">
        <w:t xml:space="preserve"> (see </w:t>
      </w:r>
      <w:hyperlink r:id="rId88" w:history="1">
        <w:r w:rsidR="007B1F6A" w:rsidRPr="00717676">
          <w:rPr>
            <w:rStyle w:val="Hyperlink"/>
            <w:color w:val="007D89" w:themeColor="accent3" w:themeShade="BF"/>
          </w:rPr>
          <w:t xml:space="preserve">permissible toxin amounts on the Select </w:t>
        </w:r>
        <w:r w:rsidR="007B1F6A" w:rsidRPr="00717676">
          <w:rPr>
            <w:rStyle w:val="Hyperlink"/>
            <w:color w:val="007D89" w:themeColor="accent3" w:themeShade="BF"/>
          </w:rPr>
          <w:lastRenderedPageBreak/>
          <w:t>Agents website</w:t>
        </w:r>
      </w:hyperlink>
      <w:r w:rsidR="007B1F6A" w:rsidRPr="00720B94">
        <w:t>)</w:t>
      </w:r>
      <w:r w:rsidR="00CA2063" w:rsidRPr="00720B94">
        <w:t>. IBC</w:t>
      </w:r>
      <w:r w:rsidRPr="00720B94">
        <w:t xml:space="preserve"> will provide information about required inventory and storage regulations to laboratories possessing sub-threshold amounts of Select Agent toxins.</w:t>
      </w:r>
    </w:p>
    <w:p w14:paraId="3787C641" w14:textId="686CDB16" w:rsidR="000273D8" w:rsidRPr="00720B94" w:rsidRDefault="000273D8" w:rsidP="00720B94">
      <w:pPr>
        <w:pStyle w:val="Heading2"/>
      </w:pPr>
      <w:bookmarkStart w:id="50" w:name="_Toc192509353"/>
      <w:r w:rsidRPr="00720B94">
        <w:t>Animals</w:t>
      </w:r>
      <w:bookmarkEnd w:id="50"/>
    </w:p>
    <w:p w14:paraId="10196F3F" w14:textId="2969B842" w:rsidR="004228BA" w:rsidRPr="00720B94" w:rsidRDefault="000273D8" w:rsidP="00720B94">
      <w:r w:rsidRPr="00720B94">
        <w:t>Exercise care and thoughtfulness when using animals in research. Numerous risks may be present when animals are used in studies of microorganisms and an investigator will need containment and PPE that protects against the biological hazards. Precautions commonly include use of a lab coat, gloves</w:t>
      </w:r>
      <w:r w:rsidR="001659EA" w:rsidRPr="00720B94">
        <w:t>,</w:t>
      </w:r>
      <w:r w:rsidRPr="00720B94">
        <w:t xml:space="preserve"> and eye protection when handling animals and their bedding; respiratory protection may be recommended when specific conditions present a concern. </w:t>
      </w:r>
    </w:p>
    <w:p w14:paraId="7826B3EB" w14:textId="77777777" w:rsidR="004228BA" w:rsidRPr="00720B94" w:rsidRDefault="000273D8" w:rsidP="00720B94">
      <w:r w:rsidRPr="00720B94">
        <w:t xml:space="preserve">There are some inherent risks in working with animals (e.g., allergenicity, bites, and scratches). Laboratory and wild-trapped animals may harbor microorganisms that can produce human diseases following bites, scratches, or exposure to excreted microorganisms. Rhesus macaques present a significant potential for hazards, requiring that stringent procedures be followed to guard against Herpes B virus. Even in the absence of known hazards, animal care providers should use precautions to avoid exposure to animal allergens. </w:t>
      </w:r>
    </w:p>
    <w:p w14:paraId="18C4E5E0" w14:textId="77777777" w:rsidR="004228BA" w:rsidRPr="00720B94" w:rsidRDefault="000273D8" w:rsidP="00720B94">
      <w:r w:rsidRPr="00720B94">
        <w:t xml:space="preserve">In the process of inoculating animals, an investigator can be exposed to infectious material by accidental self-inoculation or inhalation of infectious aerosols. During surgical procedures, necropsies, and processing of tissues, aerosols can be produced inadvertently, or the operator can inflict self-injury with contaminated instruments. Since animal excreta can also be a source of infectious microorganisms, investigators should take precautions to minimize aerosols and dust when changing bedding and cleaning cages. Use of a biosafety cabinet is sometimes appropriate for performing cage changes. Bedding from animals infected or potentially infected with pathogens must be decontaminated prior to disposal, typically by autoclaving. </w:t>
      </w:r>
    </w:p>
    <w:p w14:paraId="331DD14E" w14:textId="7E7D962E" w:rsidR="000273D8" w:rsidRPr="00720B94" w:rsidRDefault="000273D8" w:rsidP="00720B94">
      <w:r w:rsidRPr="00720B94">
        <w:t>Transfer of human cells, primate cells or opportunistic microbes, whether newly isolated or well</w:t>
      </w:r>
      <w:r w:rsidR="00917C96" w:rsidRPr="00720B94">
        <w:t>-</w:t>
      </w:r>
      <w:r w:rsidRPr="00720B94">
        <w:t xml:space="preserve">established, into immunocompromised animals could result in propagation of pathogens that would be suppressed in the normal host. ABSL2 containment must be applied to mitigate against such risks and to prevent spread of animal pathogens within a research colony. Mixed waste disposal methods require a thorough risk assessment. Please contact the </w:t>
      </w:r>
      <w:r w:rsidR="003D6665" w:rsidRPr="00720B94">
        <w:t>IBC and IACUC</w:t>
      </w:r>
      <w:r w:rsidRPr="00720B94">
        <w:t xml:space="preserve"> for assistance.</w:t>
      </w:r>
    </w:p>
    <w:p w14:paraId="0362C56E" w14:textId="77777777" w:rsidR="00880C38" w:rsidRPr="00720B94" w:rsidRDefault="00880C38" w:rsidP="00720B94">
      <w:pPr>
        <w:pStyle w:val="Heading2"/>
      </w:pPr>
      <w:bookmarkStart w:id="51" w:name="_Toc192509354"/>
      <w:r w:rsidRPr="00720B94">
        <w:t>Gene Drive Modified Organisms (GDMOs)</w:t>
      </w:r>
      <w:bookmarkEnd w:id="51"/>
    </w:p>
    <w:p w14:paraId="437EC02F" w14:textId="34E8E4DB" w:rsidR="00880C38" w:rsidRPr="00720B94" w:rsidRDefault="00880C38" w:rsidP="00720B94">
      <w:pPr>
        <w:spacing w:line="240" w:lineRule="auto"/>
      </w:pPr>
      <w:r w:rsidRPr="00720B94">
        <w:t xml:space="preserve">Research involving gene drive modified organisms (GDMOs) must meet additional requirements </w:t>
      </w:r>
      <w:r w:rsidR="00A6016E" w:rsidRPr="00720B94">
        <w:t>detailed</w:t>
      </w:r>
      <w:r w:rsidRPr="00720B94">
        <w:t xml:space="preserve"> in the NIH Guidelines. </w:t>
      </w:r>
      <w:r w:rsidR="007D2BBB" w:rsidRPr="00720B94">
        <w:t xml:space="preserve">Per </w:t>
      </w:r>
      <w:hyperlink r:id="rId89" w:anchor="_Toc3457024" w:history="1">
        <w:r w:rsidR="007D2BBB" w:rsidRPr="00717676">
          <w:rPr>
            <w:rStyle w:val="Hyperlink"/>
            <w:color w:val="007D89" w:themeColor="accent3" w:themeShade="BF"/>
          </w:rPr>
          <w:t>Section I-E-7</w:t>
        </w:r>
      </w:hyperlink>
      <w:r w:rsidR="007D2BBB" w:rsidRPr="00720B94">
        <w:t xml:space="preserve">, </w:t>
      </w:r>
      <w:r w:rsidR="0075017C" w:rsidRPr="00720B94">
        <w:t>“</w:t>
      </w:r>
      <w:r w:rsidR="00CD7755" w:rsidRPr="00720B94">
        <w:t>g</w:t>
      </w:r>
      <w:r w:rsidR="00081E56" w:rsidRPr="00720B94">
        <w:t>ene drive is a technology whereby a particular heritable element biases inheritance in its favor, resulting in the heritable element becoming more prevalent than predicted by Mendelian laws of inheritance in a population over successive generations.</w:t>
      </w:r>
      <w:r w:rsidR="0075017C" w:rsidRPr="00720B94">
        <w:t>”</w:t>
      </w:r>
      <w:r w:rsidR="00081E56" w:rsidRPr="00720B94">
        <w:t xml:space="preserve"> </w:t>
      </w:r>
      <w:r w:rsidR="005C3086" w:rsidRPr="00720B94">
        <w:t>E</w:t>
      </w:r>
      <w:r w:rsidR="00A6016E" w:rsidRPr="00720B94">
        <w:t xml:space="preserve">xperiments involving </w:t>
      </w:r>
      <w:r w:rsidR="00F5106B" w:rsidRPr="00720B94">
        <w:t>GDMOs</w:t>
      </w:r>
      <w:r w:rsidR="00A6016E" w:rsidRPr="00720B94">
        <w:t xml:space="preserve"> generated by recombinant or synthetic nucleic acid molecules must be conducted at a minimum of Biosafety Level </w:t>
      </w:r>
      <w:r w:rsidR="0090494E" w:rsidRPr="00720B94">
        <w:t xml:space="preserve">2 </w:t>
      </w:r>
      <w:r w:rsidR="00A6016E" w:rsidRPr="00720B94">
        <w:t>(B</w:t>
      </w:r>
      <w:r w:rsidR="0090494E" w:rsidRPr="00720B94">
        <w:t>S</w:t>
      </w:r>
      <w:r w:rsidR="00A6016E" w:rsidRPr="00720B94">
        <w:t>L</w:t>
      </w:r>
      <w:r w:rsidR="0090494E" w:rsidRPr="00720B94">
        <w:t>2</w:t>
      </w:r>
      <w:r w:rsidR="00A6016E" w:rsidRPr="00720B94">
        <w:t xml:space="preserve">), </w:t>
      </w:r>
      <w:r w:rsidR="00FC7AF2" w:rsidRPr="00720B94">
        <w:t>Animal Biosafety Level 2 (ABSL2),</w:t>
      </w:r>
      <w:r w:rsidR="00A6016E" w:rsidRPr="00720B94">
        <w:t xml:space="preserve"> or</w:t>
      </w:r>
      <w:r w:rsidR="00BF13EE" w:rsidRPr="00720B94">
        <w:t xml:space="preserve"> </w:t>
      </w:r>
      <w:r w:rsidR="000E772E" w:rsidRPr="00720B94">
        <w:t>Plant Biosafety Level 2 (</w:t>
      </w:r>
      <w:r w:rsidR="00BF13EE" w:rsidRPr="00720B94">
        <w:t>BSL2-P</w:t>
      </w:r>
      <w:r w:rsidR="000E772E" w:rsidRPr="00720B94">
        <w:t>)</w:t>
      </w:r>
      <w:r w:rsidR="00A6016E" w:rsidRPr="00720B94">
        <w:rPr>
          <w:rFonts w:cs="Arial"/>
          <w:color w:val="000000" w:themeColor="text1"/>
        </w:rPr>
        <w:t xml:space="preserve"> </w:t>
      </w:r>
      <w:r w:rsidR="00A6016E" w:rsidRPr="00720B94">
        <w:t>containment</w:t>
      </w:r>
      <w:r w:rsidR="005C3086" w:rsidRPr="00720B94">
        <w:t xml:space="preserve"> (</w:t>
      </w:r>
      <w:hyperlink r:id="rId90" w:anchor="SectionIIID8" w:history="1">
        <w:r w:rsidR="005C3086" w:rsidRPr="00717676">
          <w:rPr>
            <w:rStyle w:val="Hyperlink"/>
            <w:color w:val="007D89" w:themeColor="accent3" w:themeShade="BF"/>
          </w:rPr>
          <w:t>Section I</w:t>
        </w:r>
        <w:r w:rsidR="00C50DFC" w:rsidRPr="00717676">
          <w:rPr>
            <w:rStyle w:val="Hyperlink"/>
            <w:color w:val="007D89" w:themeColor="accent3" w:themeShade="BF"/>
          </w:rPr>
          <w:t>I</w:t>
        </w:r>
        <w:r w:rsidR="005C3086" w:rsidRPr="00717676">
          <w:rPr>
            <w:rStyle w:val="Hyperlink"/>
            <w:color w:val="007D89" w:themeColor="accent3" w:themeShade="BF"/>
          </w:rPr>
          <w:t>I-D-8</w:t>
        </w:r>
      </w:hyperlink>
      <w:r w:rsidR="005C3086" w:rsidRPr="00720B94">
        <w:t>)</w:t>
      </w:r>
      <w:r w:rsidR="00A6016E" w:rsidRPr="00720B94">
        <w:t>.</w:t>
      </w:r>
      <w:r w:rsidR="00B3316C" w:rsidRPr="00720B94">
        <w:t xml:space="preserve"> </w:t>
      </w:r>
      <w:r w:rsidR="005319B0" w:rsidRPr="00720B94">
        <w:t>GDMO</w:t>
      </w:r>
      <w:r w:rsidRPr="00720B94">
        <w:t xml:space="preserve"> research “may require risk assessments that incorporate a broader scope of considerations because of greater uncertainty of the technology and potential uncertainty of the impact of the newly modified organism. Specific attention must be paid to risks of an unintended release from the laboratory and the potential impact on humans, other populations of organisms, and the environment</w:t>
      </w:r>
      <w:r w:rsidR="00C80C77" w:rsidRPr="00720B94">
        <w:t>”</w:t>
      </w:r>
      <w:r w:rsidR="005C3086" w:rsidRPr="00720B94">
        <w:t xml:space="preserve"> (</w:t>
      </w:r>
      <w:hyperlink r:id="rId91" w:anchor="_Toc3457029" w:history="1">
        <w:r w:rsidR="005C3086" w:rsidRPr="00717676">
          <w:rPr>
            <w:rStyle w:val="Hyperlink"/>
            <w:color w:val="007D89" w:themeColor="accent3" w:themeShade="BF"/>
          </w:rPr>
          <w:t>Section II-A-3</w:t>
        </w:r>
      </w:hyperlink>
      <w:r w:rsidR="005C3086" w:rsidRPr="00720B94">
        <w:t>).</w:t>
      </w:r>
      <w:r w:rsidR="00C80C77" w:rsidRPr="00720B94">
        <w:t xml:space="preserve"> Additional</w:t>
      </w:r>
      <w:r w:rsidRPr="00720B94">
        <w:t xml:space="preserve"> </w:t>
      </w:r>
      <w:r w:rsidR="00C80C77" w:rsidRPr="00720B94">
        <w:t>c</w:t>
      </w:r>
      <w:r w:rsidRPr="00720B94">
        <w:t xml:space="preserve">onsiderations for conducting risk assessments </w:t>
      </w:r>
      <w:r w:rsidR="005319B0" w:rsidRPr="00720B94">
        <w:t>of</w:t>
      </w:r>
      <w:r w:rsidRPr="00720B94">
        <w:t xml:space="preserve"> </w:t>
      </w:r>
      <w:r w:rsidR="00C80C77" w:rsidRPr="00720B94">
        <w:t xml:space="preserve">GDMO research are </w:t>
      </w:r>
      <w:r w:rsidR="005319B0" w:rsidRPr="00720B94">
        <w:t>outlined</w:t>
      </w:r>
      <w:r w:rsidR="00C80C77" w:rsidRPr="00720B94">
        <w:t xml:space="preserve"> in Section II-A-3.</w:t>
      </w:r>
    </w:p>
    <w:p w14:paraId="38775324" w14:textId="53EF2C08" w:rsidR="00880C38" w:rsidRPr="00720B94" w:rsidRDefault="00D311B6" w:rsidP="00720B94">
      <w:pPr>
        <w:spacing w:line="240" w:lineRule="auto"/>
        <w:rPr>
          <w:rFonts w:cs="Arial"/>
          <w:color w:val="000000" w:themeColor="text1"/>
        </w:rPr>
      </w:pPr>
      <w:r w:rsidRPr="00720B94">
        <w:rPr>
          <w:rFonts w:cs="Arial"/>
          <w:color w:val="000000" w:themeColor="text1"/>
        </w:rPr>
        <w:t xml:space="preserve">The PI and the IBC are required to </w:t>
      </w:r>
      <w:r w:rsidR="002D0A90" w:rsidRPr="00720B94">
        <w:rPr>
          <w:rFonts w:cs="Arial"/>
          <w:color w:val="000000" w:themeColor="text1"/>
        </w:rPr>
        <w:t xml:space="preserve">determine </w:t>
      </w:r>
      <w:r w:rsidR="00947433" w:rsidRPr="00720B94">
        <w:rPr>
          <w:rFonts w:cs="Arial"/>
          <w:color w:val="000000" w:themeColor="text1"/>
        </w:rPr>
        <w:t>“</w:t>
      </w:r>
      <w:r w:rsidR="00880C38" w:rsidRPr="00720B94">
        <w:rPr>
          <w:rFonts w:cs="Arial"/>
          <w:color w:val="000000" w:themeColor="text1"/>
        </w:rPr>
        <w:t>whether a GDMO has a potential for serious detrimental impact on managed (agricultural, forest, grassland) or natural ecosystems in consultation with scientists knowledgeable of gene drive technology, and of the environment, and ecosystems in the geographic area of the research</w:t>
      </w:r>
      <w:r w:rsidR="00947433" w:rsidRPr="00720B94">
        <w:rPr>
          <w:rFonts w:cs="Arial"/>
          <w:color w:val="000000" w:themeColor="text1"/>
        </w:rPr>
        <w:t>” (</w:t>
      </w:r>
      <w:hyperlink r:id="rId92" w:anchor="_Toc3457085" w:history="1">
        <w:r w:rsidR="00947433" w:rsidRPr="00717676">
          <w:rPr>
            <w:rStyle w:val="Hyperlink"/>
            <w:rFonts w:cs="Arial"/>
            <w:color w:val="007D89" w:themeColor="accent3" w:themeShade="BF"/>
          </w:rPr>
          <w:t>Section V-N</w:t>
        </w:r>
      </w:hyperlink>
      <w:r w:rsidR="00947433" w:rsidRPr="00720B94">
        <w:rPr>
          <w:rFonts w:cs="Arial"/>
          <w:color w:val="000000" w:themeColor="text1"/>
        </w:rPr>
        <w:t>).</w:t>
      </w:r>
      <w:r w:rsidR="00880C38" w:rsidRPr="00720B94">
        <w:rPr>
          <w:rFonts w:cs="Arial"/>
          <w:color w:val="000000" w:themeColor="text1"/>
        </w:rPr>
        <w:t xml:space="preserve"> The IBC </w:t>
      </w:r>
      <w:r w:rsidR="00947433" w:rsidRPr="00720B94">
        <w:rPr>
          <w:rFonts w:cs="Arial"/>
          <w:color w:val="000000" w:themeColor="text1"/>
        </w:rPr>
        <w:t>must</w:t>
      </w:r>
      <w:r w:rsidR="00880C38" w:rsidRPr="00720B94">
        <w:rPr>
          <w:rFonts w:cs="Arial"/>
          <w:color w:val="000000" w:themeColor="text1"/>
        </w:rPr>
        <w:t xml:space="preserve"> ensure adequate expertise on the </w:t>
      </w:r>
      <w:r w:rsidR="00947433" w:rsidRPr="00720B94">
        <w:rPr>
          <w:rFonts w:cs="Arial"/>
          <w:color w:val="000000" w:themeColor="text1"/>
        </w:rPr>
        <w:t>committee</w:t>
      </w:r>
      <w:r w:rsidR="00880C38" w:rsidRPr="00720B94">
        <w:rPr>
          <w:rFonts w:cs="Arial"/>
          <w:color w:val="000000" w:themeColor="text1"/>
        </w:rPr>
        <w:t xml:space="preserve"> to </w:t>
      </w:r>
      <w:r w:rsidR="002D0A90" w:rsidRPr="00720B94">
        <w:rPr>
          <w:rFonts w:cs="Arial"/>
          <w:color w:val="000000" w:themeColor="text1"/>
        </w:rPr>
        <w:t>make such determinations</w:t>
      </w:r>
      <w:r w:rsidR="00880C38" w:rsidRPr="00720B94">
        <w:rPr>
          <w:rFonts w:cs="Arial"/>
          <w:color w:val="000000" w:themeColor="text1"/>
        </w:rPr>
        <w:t xml:space="preserve"> (e.g., specific species containment, ecological or environmental risk assessment), using ad hoc consultants if necessary.</w:t>
      </w:r>
      <w:r w:rsidR="00AF38E4" w:rsidRPr="00720B94">
        <w:rPr>
          <w:rFonts w:cs="Arial"/>
          <w:color w:val="000000" w:themeColor="text1"/>
        </w:rPr>
        <w:t xml:space="preserve"> If research involving GDMOs is</w:t>
      </w:r>
      <w:r w:rsidR="00F03A25" w:rsidRPr="00720B94">
        <w:rPr>
          <w:rFonts w:cs="Arial"/>
          <w:color w:val="000000" w:themeColor="text1"/>
        </w:rPr>
        <w:t xml:space="preserve"> proposed to be</w:t>
      </w:r>
      <w:r w:rsidR="00AF38E4" w:rsidRPr="00720B94">
        <w:rPr>
          <w:rFonts w:cs="Arial"/>
          <w:color w:val="000000" w:themeColor="text1"/>
        </w:rPr>
        <w:t xml:space="preserve"> </w:t>
      </w:r>
      <w:r w:rsidR="00AF38E4" w:rsidRPr="00720B94">
        <w:rPr>
          <w:rFonts w:cs="Arial"/>
          <w:color w:val="000000" w:themeColor="text1"/>
        </w:rPr>
        <w:lastRenderedPageBreak/>
        <w:t>conducted at</w:t>
      </w:r>
      <w:r w:rsidR="00B9698E" w:rsidRPr="00720B94">
        <w:rPr>
          <w:rFonts w:cs="Arial"/>
          <w:color w:val="000000" w:themeColor="text1"/>
        </w:rPr>
        <w:t xml:space="preserve"> the university</w:t>
      </w:r>
      <w:r w:rsidR="00AF38E4" w:rsidRPr="00720B94">
        <w:rPr>
          <w:rFonts w:cs="Arial"/>
          <w:color w:val="000000" w:themeColor="text1"/>
        </w:rPr>
        <w:t xml:space="preserve">, </w:t>
      </w:r>
      <w:r w:rsidR="0008209B" w:rsidRPr="00720B94">
        <w:rPr>
          <w:rFonts w:cs="Arial"/>
          <w:color w:val="000000" w:themeColor="text1"/>
        </w:rPr>
        <w:t xml:space="preserve">in advance of </w:t>
      </w:r>
      <w:r w:rsidR="00FE57A8" w:rsidRPr="00720B94">
        <w:rPr>
          <w:rFonts w:cs="Arial"/>
          <w:color w:val="000000" w:themeColor="text1"/>
        </w:rPr>
        <w:t xml:space="preserve">the research being reviewed, </w:t>
      </w:r>
      <w:r w:rsidR="00AF38E4" w:rsidRPr="00720B94">
        <w:rPr>
          <w:rFonts w:cs="Arial"/>
          <w:color w:val="000000" w:themeColor="text1"/>
        </w:rPr>
        <w:t>the IBC membership must also include a Biological Safety Officer (BSO).</w:t>
      </w:r>
    </w:p>
    <w:p w14:paraId="3B4B33DA" w14:textId="667F06F1" w:rsidR="00280985" w:rsidRPr="00720B94" w:rsidRDefault="00280985" w:rsidP="00720B94">
      <w:pPr>
        <w:pStyle w:val="Heading2"/>
      </w:pPr>
      <w:bookmarkStart w:id="52" w:name="_Toc192509355"/>
      <w:r w:rsidRPr="00720B94">
        <w:t>Aerosol Generating Activities</w:t>
      </w:r>
      <w:bookmarkEnd w:id="52"/>
    </w:p>
    <w:p w14:paraId="67B3D669" w14:textId="77777777" w:rsidR="003D631C" w:rsidRPr="00720B94" w:rsidRDefault="009E555F" w:rsidP="00720B94">
      <w:r w:rsidRPr="00720B94">
        <w:t xml:space="preserve">Routine manipulations of biological materials may also release hazardous agents via aerosol formation. Examples include: </w:t>
      </w:r>
    </w:p>
    <w:p w14:paraId="733A7AA6" w14:textId="77777777" w:rsidR="001F423B" w:rsidRPr="00720B94" w:rsidRDefault="001F423B" w:rsidP="0092380E">
      <w:pPr>
        <w:pStyle w:val="ListParagraph"/>
        <w:numPr>
          <w:ilvl w:val="0"/>
          <w:numId w:val="20"/>
        </w:numPr>
        <w:rPr>
          <w:sz w:val="22"/>
          <w:szCs w:val="22"/>
        </w:rPr>
        <w:sectPr w:rsidR="001F423B" w:rsidRPr="00720B94" w:rsidSect="001B45A9">
          <w:headerReference w:type="even" r:id="rId93"/>
          <w:headerReference w:type="default" r:id="rId94"/>
          <w:footerReference w:type="even" r:id="rId95"/>
          <w:footerReference w:type="default" r:id="rId96"/>
          <w:headerReference w:type="first" r:id="rId97"/>
          <w:footerReference w:type="first" r:id="rId98"/>
          <w:pgSz w:w="12240" w:h="15840"/>
          <w:pgMar w:top="1080" w:right="1080" w:bottom="1080" w:left="1080" w:header="720" w:footer="720" w:gutter="0"/>
          <w:cols w:space="720"/>
          <w:titlePg/>
          <w:docGrid w:linePitch="360"/>
        </w:sectPr>
      </w:pPr>
    </w:p>
    <w:p w14:paraId="1CEC1339" w14:textId="77777777" w:rsidR="003D631C" w:rsidRPr="00720B94" w:rsidRDefault="009E555F" w:rsidP="0092380E">
      <w:pPr>
        <w:pStyle w:val="ListParagraph"/>
        <w:numPr>
          <w:ilvl w:val="0"/>
          <w:numId w:val="20"/>
        </w:numPr>
        <w:rPr>
          <w:sz w:val="22"/>
          <w:szCs w:val="22"/>
        </w:rPr>
      </w:pPr>
      <w:r w:rsidRPr="00720B94">
        <w:rPr>
          <w:sz w:val="22"/>
          <w:szCs w:val="22"/>
        </w:rPr>
        <w:t xml:space="preserve">Removing stoppers from culture vessels </w:t>
      </w:r>
    </w:p>
    <w:p w14:paraId="4BDD0AC6" w14:textId="77777777" w:rsidR="003D631C" w:rsidRPr="00720B94" w:rsidRDefault="009E555F" w:rsidP="0092380E">
      <w:pPr>
        <w:pStyle w:val="ListParagraph"/>
        <w:numPr>
          <w:ilvl w:val="0"/>
          <w:numId w:val="20"/>
        </w:numPr>
        <w:rPr>
          <w:sz w:val="22"/>
          <w:szCs w:val="22"/>
        </w:rPr>
      </w:pPr>
      <w:r w:rsidRPr="00720B94">
        <w:rPr>
          <w:sz w:val="22"/>
          <w:szCs w:val="22"/>
        </w:rPr>
        <w:t xml:space="preserve">Opening vessels after vigorous shaking or </w:t>
      </w:r>
      <w:proofErr w:type="spellStart"/>
      <w:r w:rsidRPr="00720B94">
        <w:rPr>
          <w:sz w:val="22"/>
          <w:szCs w:val="22"/>
        </w:rPr>
        <w:t>vortexing</w:t>
      </w:r>
      <w:proofErr w:type="spellEnd"/>
      <w:r w:rsidRPr="00720B94">
        <w:rPr>
          <w:sz w:val="22"/>
          <w:szCs w:val="22"/>
        </w:rPr>
        <w:t xml:space="preserve"> </w:t>
      </w:r>
    </w:p>
    <w:p w14:paraId="7135F6E8" w14:textId="77777777" w:rsidR="003D631C" w:rsidRPr="00720B94" w:rsidRDefault="009E555F" w:rsidP="0092380E">
      <w:pPr>
        <w:pStyle w:val="ListParagraph"/>
        <w:numPr>
          <w:ilvl w:val="0"/>
          <w:numId w:val="20"/>
        </w:numPr>
        <w:rPr>
          <w:sz w:val="22"/>
          <w:szCs w:val="22"/>
        </w:rPr>
      </w:pPr>
      <w:r w:rsidRPr="00720B94">
        <w:rPr>
          <w:sz w:val="22"/>
          <w:szCs w:val="22"/>
        </w:rPr>
        <w:t xml:space="preserve">Flame-sterilizing utensils </w:t>
      </w:r>
    </w:p>
    <w:p w14:paraId="2F84F415" w14:textId="77777777" w:rsidR="003D631C" w:rsidRPr="00720B94" w:rsidRDefault="009E555F" w:rsidP="0092380E">
      <w:pPr>
        <w:pStyle w:val="ListParagraph"/>
        <w:numPr>
          <w:ilvl w:val="0"/>
          <w:numId w:val="20"/>
        </w:numPr>
        <w:rPr>
          <w:sz w:val="22"/>
          <w:szCs w:val="22"/>
        </w:rPr>
      </w:pPr>
      <w:r w:rsidRPr="00720B94">
        <w:rPr>
          <w:sz w:val="22"/>
          <w:szCs w:val="22"/>
        </w:rPr>
        <w:t xml:space="preserve">Electroporation </w:t>
      </w:r>
    </w:p>
    <w:p w14:paraId="54FCBDE2" w14:textId="77777777" w:rsidR="003D631C" w:rsidRPr="00720B94" w:rsidRDefault="009E555F" w:rsidP="0092380E">
      <w:pPr>
        <w:pStyle w:val="ListParagraph"/>
        <w:numPr>
          <w:ilvl w:val="0"/>
          <w:numId w:val="20"/>
        </w:numPr>
        <w:rPr>
          <w:sz w:val="22"/>
          <w:szCs w:val="22"/>
        </w:rPr>
      </w:pPr>
      <w:r w:rsidRPr="00720B94">
        <w:rPr>
          <w:sz w:val="22"/>
          <w:szCs w:val="22"/>
        </w:rPr>
        <w:t xml:space="preserve">Centrifugation </w:t>
      </w:r>
    </w:p>
    <w:p w14:paraId="2A8B6B09" w14:textId="77777777" w:rsidR="003D631C" w:rsidRPr="00720B94" w:rsidRDefault="009E555F" w:rsidP="0092380E">
      <w:pPr>
        <w:pStyle w:val="ListParagraph"/>
        <w:numPr>
          <w:ilvl w:val="0"/>
          <w:numId w:val="20"/>
        </w:numPr>
        <w:rPr>
          <w:sz w:val="22"/>
          <w:szCs w:val="22"/>
        </w:rPr>
      </w:pPr>
      <w:r w:rsidRPr="00720B94">
        <w:rPr>
          <w:sz w:val="22"/>
          <w:szCs w:val="22"/>
        </w:rPr>
        <w:t xml:space="preserve">Sonicating, homogenizing, blending, or grinding tissues </w:t>
      </w:r>
    </w:p>
    <w:p w14:paraId="058B94EF" w14:textId="77777777" w:rsidR="003D631C" w:rsidRPr="00720B94" w:rsidRDefault="009E555F" w:rsidP="0092380E">
      <w:pPr>
        <w:pStyle w:val="ListParagraph"/>
        <w:numPr>
          <w:ilvl w:val="0"/>
          <w:numId w:val="20"/>
        </w:numPr>
        <w:rPr>
          <w:sz w:val="22"/>
          <w:szCs w:val="22"/>
        </w:rPr>
      </w:pPr>
      <w:r w:rsidRPr="00720B94">
        <w:rPr>
          <w:sz w:val="22"/>
          <w:szCs w:val="22"/>
        </w:rPr>
        <w:t xml:space="preserve">Pipetting </w:t>
      </w:r>
    </w:p>
    <w:p w14:paraId="5278402A" w14:textId="77777777" w:rsidR="003D631C" w:rsidRPr="00720B94" w:rsidRDefault="009E555F" w:rsidP="0092380E">
      <w:pPr>
        <w:pStyle w:val="ListParagraph"/>
        <w:numPr>
          <w:ilvl w:val="0"/>
          <w:numId w:val="20"/>
        </w:numPr>
        <w:rPr>
          <w:sz w:val="22"/>
          <w:szCs w:val="22"/>
        </w:rPr>
      </w:pPr>
      <w:r w:rsidRPr="00720B94">
        <w:rPr>
          <w:sz w:val="22"/>
          <w:szCs w:val="22"/>
        </w:rPr>
        <w:t xml:space="preserve">Animal inoculations </w:t>
      </w:r>
    </w:p>
    <w:p w14:paraId="432C8BBE" w14:textId="77777777" w:rsidR="003D631C" w:rsidRPr="00720B94" w:rsidRDefault="009E555F" w:rsidP="0092380E">
      <w:pPr>
        <w:pStyle w:val="ListParagraph"/>
        <w:numPr>
          <w:ilvl w:val="0"/>
          <w:numId w:val="20"/>
        </w:numPr>
        <w:rPr>
          <w:sz w:val="22"/>
          <w:szCs w:val="22"/>
        </w:rPr>
      </w:pPr>
      <w:r w:rsidRPr="00720B94">
        <w:rPr>
          <w:sz w:val="22"/>
          <w:szCs w:val="22"/>
        </w:rPr>
        <w:t xml:space="preserve">Surgery or necropsy </w:t>
      </w:r>
    </w:p>
    <w:p w14:paraId="71BE6C46" w14:textId="4E3E32B8" w:rsidR="003D631C" w:rsidRPr="00720B94" w:rsidRDefault="009E555F" w:rsidP="0092380E">
      <w:pPr>
        <w:pStyle w:val="ListParagraph"/>
        <w:numPr>
          <w:ilvl w:val="0"/>
          <w:numId w:val="20"/>
        </w:numPr>
        <w:rPr>
          <w:sz w:val="22"/>
          <w:szCs w:val="22"/>
        </w:rPr>
      </w:pPr>
      <w:r w:rsidRPr="00720B94">
        <w:rPr>
          <w:sz w:val="22"/>
          <w:szCs w:val="22"/>
        </w:rPr>
        <w:t>Tissue sectioning</w:t>
      </w:r>
      <w:r w:rsidR="003D631C" w:rsidRPr="00720B94">
        <w:rPr>
          <w:sz w:val="22"/>
          <w:szCs w:val="22"/>
        </w:rPr>
        <w:t xml:space="preserve"> </w:t>
      </w:r>
    </w:p>
    <w:p w14:paraId="70355905" w14:textId="73752FFA" w:rsidR="003D631C" w:rsidRPr="00720B94" w:rsidRDefault="003D631C" w:rsidP="0092380E">
      <w:pPr>
        <w:pStyle w:val="ListParagraph"/>
        <w:numPr>
          <w:ilvl w:val="0"/>
          <w:numId w:val="20"/>
        </w:numPr>
        <w:spacing w:after="160"/>
        <w:rPr>
          <w:sz w:val="22"/>
          <w:szCs w:val="22"/>
        </w:rPr>
      </w:pPr>
      <w:r w:rsidRPr="00720B94">
        <w:rPr>
          <w:sz w:val="22"/>
          <w:szCs w:val="22"/>
        </w:rPr>
        <w:t xml:space="preserve">Flow cytometry </w:t>
      </w:r>
    </w:p>
    <w:p w14:paraId="25802998" w14:textId="77777777" w:rsidR="001F423B" w:rsidRPr="00720B94" w:rsidRDefault="001F423B" w:rsidP="00720B94">
      <w:pPr>
        <w:sectPr w:rsidR="001F423B" w:rsidRPr="00720B94" w:rsidSect="001F423B">
          <w:type w:val="continuous"/>
          <w:pgSz w:w="12240" w:h="15840"/>
          <w:pgMar w:top="1080" w:right="1080" w:bottom="1080" w:left="1080" w:header="720" w:footer="720" w:gutter="0"/>
          <w:cols w:num="2" w:space="720"/>
          <w:titlePg/>
          <w:docGrid w:linePitch="360"/>
        </w:sectPr>
      </w:pPr>
    </w:p>
    <w:p w14:paraId="3D70F04A" w14:textId="630371EE" w:rsidR="004F53C5" w:rsidRPr="00720B94" w:rsidRDefault="003D631C" w:rsidP="00720B94">
      <w:r w:rsidRPr="00720B94">
        <w:t>Manipulate cultures of infectious material carefully to avoid aerosols. Centrifugation should involve the use of gasket-sealable tubes and rotors. Seal microplate lids with tape or replace the lids with adhesive-backed Mylar film. Load, remove, and open tubes, plates, and rotors within a biosafety cabinet. Accidental spilling of liquid infectious cultures is an obvious hazard due to the generation of aerosols (airborne droplets containing microorganisms).</w:t>
      </w:r>
    </w:p>
    <w:p w14:paraId="5B226833" w14:textId="0526D2C8" w:rsidR="00280985" w:rsidRPr="00720B94" w:rsidRDefault="003D631C" w:rsidP="00720B94">
      <w:r w:rsidRPr="00720B94">
        <w:t xml:space="preserve">Equipment used for manipulations of infectious materials, such as </w:t>
      </w:r>
      <w:proofErr w:type="spellStart"/>
      <w:r w:rsidRPr="00720B94">
        <w:t>sonicators</w:t>
      </w:r>
      <w:proofErr w:type="spellEnd"/>
      <w:r w:rsidRPr="00720B94">
        <w:t>, flow cytometers, cell sorters, and automated harvesting equipment, must be evaluated to determine the need for secondary containment and to consider decontamination issues. When preparing aliquots of infectious material for long-term storage, consider that viable lyophilized cultures may release high concentrations of dispersed particles if vials are not properly selected and not properly sealed. Breakage or leakage of cryogenic vials in liquid nitrogen may also present hazards because pathogens may survive and disperse in the liquid phase.</w:t>
      </w:r>
    </w:p>
    <w:p w14:paraId="04B9D4D1" w14:textId="136AB4BA" w:rsidR="00280985" w:rsidRPr="00720B94" w:rsidRDefault="009E555F" w:rsidP="00720B94">
      <w:pPr>
        <w:pStyle w:val="Heading2"/>
      </w:pPr>
      <w:bookmarkStart w:id="53" w:name="_Personal_Protective_Equipment"/>
      <w:bookmarkStart w:id="54" w:name="_Toc192509356"/>
      <w:bookmarkEnd w:id="53"/>
      <w:r w:rsidRPr="00720B94">
        <w:t>Personal Protective Equipment (PPE)</w:t>
      </w:r>
      <w:bookmarkEnd w:id="54"/>
    </w:p>
    <w:p w14:paraId="5967ABCC" w14:textId="51196119" w:rsidR="0036656D" w:rsidRPr="00720B94" w:rsidRDefault="00777303" w:rsidP="00720B94">
      <w:r w:rsidRPr="00720B94">
        <w:t xml:space="preserve">The </w:t>
      </w:r>
      <w:r w:rsidR="00726735" w:rsidRPr="00720B94">
        <w:t>UWL</w:t>
      </w:r>
      <w:r w:rsidRPr="00720B94">
        <w:t xml:space="preserve"> Environmental Health &amp; Safety (EHS)</w:t>
      </w:r>
      <w:r w:rsidR="00726735" w:rsidRPr="00720B94">
        <w:t xml:space="preserve"> </w:t>
      </w:r>
      <w:hyperlink r:id="rId99" w:history="1">
        <w:r w:rsidR="00726735" w:rsidRPr="00717676">
          <w:rPr>
            <w:rStyle w:val="Hyperlink"/>
            <w:color w:val="007D89" w:themeColor="accent3" w:themeShade="BF"/>
          </w:rPr>
          <w:t>Personal Protective Equipment (PPE) policy</w:t>
        </w:r>
      </w:hyperlink>
      <w:r w:rsidR="00726735" w:rsidRPr="00720B94">
        <w:t xml:space="preserve"> outlines the roles and responsibilities of</w:t>
      </w:r>
      <w:r w:rsidR="003C4AEC" w:rsidRPr="00720B94">
        <w:t xml:space="preserve"> all personnel relating to </w:t>
      </w:r>
      <w:r w:rsidR="00F22442" w:rsidRPr="00720B94">
        <w:t>hazard assessments</w:t>
      </w:r>
      <w:r w:rsidR="001B3A81" w:rsidRPr="00720B94">
        <w:t xml:space="preserve"> and analysis, training,</w:t>
      </w:r>
      <w:r w:rsidR="003C4AEC" w:rsidRPr="00720B94">
        <w:t xml:space="preserve"> </w:t>
      </w:r>
      <w:r w:rsidR="00C87A61" w:rsidRPr="00720B94">
        <w:t>and care, maintenance</w:t>
      </w:r>
      <w:r w:rsidR="00686577" w:rsidRPr="00720B94">
        <w:t>,</w:t>
      </w:r>
      <w:r w:rsidR="00C87A61" w:rsidRPr="00720B94">
        <w:t xml:space="preserve"> and use of PPE.</w:t>
      </w:r>
    </w:p>
    <w:p w14:paraId="364E1D62" w14:textId="0740BB8C" w:rsidR="00741A7A" w:rsidRPr="00720B94" w:rsidRDefault="00446A70" w:rsidP="00720B94">
      <w:r w:rsidRPr="00720B94">
        <w:t xml:space="preserve">In research laboratories, it is necessary to wear closed-toe shoes and clothing that covers the leg down to the shoe. Individual labs may have additional clothing requirements depending on activities. For example, may require the use of lab-dedicated clothing (scrubs or personal clothing) kept solely to wear in the laboratory that does not “go home” unless decontaminated. </w:t>
      </w:r>
    </w:p>
    <w:p w14:paraId="7A6C1F27" w14:textId="77777777" w:rsidR="00741A7A" w:rsidRPr="00720B94" w:rsidRDefault="00446A70" w:rsidP="00720B94">
      <w:r w:rsidRPr="00720B94">
        <w:t xml:space="preserve">Laboratory coats provide a removable barrier that protects the worker’s skin and clothing from hazardous materials in the laboratory. To avoid bringing hazardous materials out of the laboratory, lab coats are removed before exiting and remain in the laboratory. Lab coats should be laundered onsite or through a laundry service and never taken home for cleaning. </w:t>
      </w:r>
    </w:p>
    <w:p w14:paraId="4F915FD8" w14:textId="4B4C90C3" w:rsidR="00741A7A" w:rsidRPr="00720B94" w:rsidRDefault="00446A70" w:rsidP="00720B94">
      <w:r w:rsidRPr="00720B94">
        <w:t xml:space="preserve">Gloves should be worn whenever there is the potential for contact with hazardous materials. They further serve to maintain the integrity of the material being handled. Many different types of gloves are available, and the choice depends on the nature of the hazard. Gloves must be removed in a manner that prevents contamination of hands. Gloves </w:t>
      </w:r>
      <w:r w:rsidR="00966DAE" w:rsidRPr="00720B94">
        <w:t>must</w:t>
      </w:r>
      <w:r w:rsidRPr="00720B94">
        <w:t xml:space="preserve"> be removed before exiting the laboratory. Disposable gloves should not be reused. </w:t>
      </w:r>
    </w:p>
    <w:p w14:paraId="7C4BD867" w14:textId="0FBD363F" w:rsidR="00280985" w:rsidRPr="00720B94" w:rsidRDefault="00446A70" w:rsidP="00720B94">
      <w:r w:rsidRPr="00720B94">
        <w:t xml:space="preserve">The eyes and mucous membranes are vulnerable routes of exposure. Eye protection should always be worn in the laboratory. Contact lenses may be worn with discretion and in combination with eye </w:t>
      </w:r>
      <w:r w:rsidRPr="00720B94">
        <w:lastRenderedPageBreak/>
        <w:t>protection. Depending on the activities, it may be appropriate to use safety glasses with side shields, goggles, and/or a splash shield.</w:t>
      </w:r>
    </w:p>
    <w:p w14:paraId="7444B5A1" w14:textId="77777777" w:rsidR="00886557" w:rsidRPr="00720B94" w:rsidRDefault="002A0185" w:rsidP="00720B94">
      <w:r w:rsidRPr="00720B94">
        <w:t xml:space="preserve">The background level of microbes in the research laboratory should be negligible when good microbiological techniques are employed. Respiratory protection should be considered carefully and used only when there is risk of aerosol exposure that cannot be mitigated </w:t>
      </w:r>
      <w:proofErr w:type="gramStart"/>
      <w:r w:rsidRPr="00720B94">
        <w:t>through the use of</w:t>
      </w:r>
      <w:proofErr w:type="gramEnd"/>
      <w:r w:rsidRPr="00720B94">
        <w:t xml:space="preserve"> alternative procedures or containment equipment. A concern regarding respiratory protection is that, if used improperly, the user has a false sense of security. A surgical mask or common dust mask has poor fit to the contours of the face, provides minimal protection against large particles, and is inappropriate for work with infectious agents. </w:t>
      </w:r>
    </w:p>
    <w:p w14:paraId="343B2C0E" w14:textId="77889032" w:rsidR="00F51CB4" w:rsidRPr="00720B94" w:rsidRDefault="002A0185" w:rsidP="00720B94">
      <w:r w:rsidRPr="00720B94">
        <w:t>A high efficiency particulate air</w:t>
      </w:r>
      <w:r w:rsidR="00B25773" w:rsidRPr="00720B94">
        <w:t xml:space="preserve"> (HEPA)</w:t>
      </w:r>
      <w:r w:rsidRPr="00720B94">
        <w:t xml:space="preserve"> filtered face piece (e.g., N95 or N100) is appropriate for many situations where protection against animal allergens and microbes is desired, but the protection will only be as good as the respirator’s fit to the face. Furthermore, HEPA filtration is ineffective against volatile chemicals. A full head cover with a Powered Air Purifying Respirator (</w:t>
      </w:r>
      <w:proofErr w:type="spellStart"/>
      <w:r w:rsidR="00997BBC" w:rsidRPr="00720B94">
        <w:t>ative</w:t>
      </w:r>
      <w:proofErr w:type="spellEnd"/>
      <w:r w:rsidR="00997BBC" w:rsidRPr="00720B94">
        <w:t xml:space="preserve"> air pressure differential ensures that air will enter the laboratory and not egress to the hallway or adjacent rooms. To maintain negative room pressure, laboratory doors must be kept closed. Exhaust air from laboratories should not be recirculated into other parts of the building. It should be ducted to the outside and released from a stack remote from the building air intake. In certain special situations, air exhausting from a hazardous facility should be filtered through certified HEPA (high efficiency particulate air) filters that are tested at least annually and verified to retain microorganisms.</w:t>
      </w:r>
    </w:p>
    <w:p w14:paraId="622B1425" w14:textId="5549FDD9" w:rsidR="000A7D8C" w:rsidRPr="00720B94" w:rsidRDefault="000A7D8C" w:rsidP="00720B94">
      <w:pPr>
        <w:pStyle w:val="Heading2"/>
      </w:pPr>
      <w:bookmarkStart w:id="55" w:name="_Toc192509357"/>
      <w:r w:rsidRPr="00720B94">
        <w:t>Summary of Standards for Facilities and Equipment</w:t>
      </w:r>
      <w:r w:rsidR="005A09ED" w:rsidRPr="00720B94">
        <w:t xml:space="preserve"> for Biosafety Levels</w:t>
      </w:r>
      <w:bookmarkEnd w:id="55"/>
    </w:p>
    <w:p w14:paraId="129C5905" w14:textId="692AA22E" w:rsidR="009815A3" w:rsidRPr="00720B94" w:rsidRDefault="00F349FE" w:rsidP="00720B94">
      <w:r w:rsidRPr="00720B94">
        <w:t xml:space="preserve">Appendix H </w:t>
      </w:r>
      <w:r w:rsidR="00BB5CB4" w:rsidRPr="00720B94">
        <w:t>describes the relationship between biosafety levels and engineering controls, which include laboratory design, laboratory ventilation, and biological safety cabinets.</w:t>
      </w:r>
    </w:p>
    <w:p w14:paraId="27610473" w14:textId="047F233D" w:rsidR="00F02864" w:rsidRPr="00720B94" w:rsidRDefault="00F85891" w:rsidP="00720B94">
      <w:pPr>
        <w:spacing w:before="160"/>
      </w:pPr>
      <w:r w:rsidRPr="00720B94">
        <w:t>Existing facilities that do not meet these standards may need to address deficiencies during future maintenance or remodeling.</w:t>
      </w:r>
    </w:p>
    <w:p w14:paraId="18C01B0F" w14:textId="57759387" w:rsidR="005A09ED" w:rsidRPr="00720B94" w:rsidRDefault="005A09ED" w:rsidP="00720B94">
      <w:pPr>
        <w:pStyle w:val="Heading1"/>
      </w:pPr>
      <w:bookmarkStart w:id="56" w:name="_Toc192509358"/>
      <w:r w:rsidRPr="00720B94">
        <w:t>Disposal of Wastes from Biological Laboratories</w:t>
      </w:r>
      <w:bookmarkEnd w:id="56"/>
    </w:p>
    <w:p w14:paraId="492058F5" w14:textId="4C541465" w:rsidR="00C309A1" w:rsidRPr="00720B94" w:rsidRDefault="005844D9" w:rsidP="00720B94">
      <w:r w:rsidRPr="00720B94">
        <w:t>G</w:t>
      </w:r>
      <w:r w:rsidR="000F44DC" w:rsidRPr="00720B94">
        <w:t xml:space="preserve">uidelines on laboratory safety and chemical disposal can be found in UWL Environmental Health &amp; Safety’s </w:t>
      </w:r>
      <w:hyperlink r:id="rId100" w:anchor="tm-181677" w:history="1">
        <w:r w:rsidR="000F44DC" w:rsidRPr="00717676">
          <w:rPr>
            <w:rStyle w:val="Hyperlink"/>
            <w:color w:val="007D89" w:themeColor="accent3" w:themeShade="BF"/>
          </w:rPr>
          <w:t>Laboratory Safety &amp; Chemical Disposal Guide</w:t>
        </w:r>
      </w:hyperlink>
      <w:r w:rsidR="000F44DC" w:rsidRPr="00720B94">
        <w:t>.</w:t>
      </w:r>
      <w:r w:rsidR="00DD34D8" w:rsidRPr="00720B94">
        <w:t xml:space="preserve"> </w:t>
      </w:r>
      <w:r w:rsidR="007D2B18" w:rsidRPr="00720B94">
        <w:t>The waste disposal guidelines are designed to protect not only the public and the environment, but also laboratory and custodial personnel, waste haulers, and landfill/incinerator operators at each stage of the waste-handling process. Workers who generate biohazardous waste in the laboratory must assure that the labeling, packaging, and disposal of waste conform to these guidelines. Decontamination, inactivation, and disposal procedures outlined in laboratory biosafety protocols must be followed. The appropriate packaging of all waste is fundamental for assuring protection of the handler and proper disposal.</w:t>
      </w:r>
    </w:p>
    <w:p w14:paraId="184FEFAD" w14:textId="77777777" w:rsidR="00C309A1" w:rsidRPr="00720B94" w:rsidRDefault="007D2B18" w:rsidP="00720B94">
      <w:r w:rsidRPr="00720B94">
        <w:rPr>
          <w:b/>
          <w:bCs/>
        </w:rPr>
        <w:t xml:space="preserve">Decontamination </w:t>
      </w:r>
      <w:r w:rsidRPr="00720B94">
        <w:t>is defined as the process of reducing the number of disease</w:t>
      </w:r>
      <w:r w:rsidR="00C309A1" w:rsidRPr="00720B94">
        <w:t>-</w:t>
      </w:r>
      <w:r w:rsidRPr="00720B94">
        <w:t xml:space="preserve">producing microorganisms and rendering an object safe for handling. </w:t>
      </w:r>
    </w:p>
    <w:p w14:paraId="475E1FF9" w14:textId="77777777" w:rsidR="00C309A1" w:rsidRPr="00720B94" w:rsidRDefault="007D2B18" w:rsidP="00720B94">
      <w:r w:rsidRPr="00720B94">
        <w:rPr>
          <w:b/>
          <w:bCs/>
        </w:rPr>
        <w:t>Disinfection</w:t>
      </w:r>
      <w:r w:rsidRPr="00720B94">
        <w:t xml:space="preserve"> is defined as a process that kills or destroys most disease-producing microorganisms, except spores.</w:t>
      </w:r>
    </w:p>
    <w:p w14:paraId="54A988C5" w14:textId="04990F37" w:rsidR="00F85891" w:rsidRPr="00720B94" w:rsidRDefault="007D2B18" w:rsidP="00720B94">
      <w:r w:rsidRPr="00720B94">
        <w:rPr>
          <w:b/>
          <w:bCs/>
        </w:rPr>
        <w:t>Sterilization</w:t>
      </w:r>
      <w:r w:rsidRPr="00720B94">
        <w:t xml:space="preserve"> is defined as a process by which all forms of microbial life, including spores, viruses, and fungi, are destroyed.</w:t>
      </w:r>
    </w:p>
    <w:p w14:paraId="4E85485A" w14:textId="00FD7BFC" w:rsidR="005A09ED" w:rsidRPr="00720B94" w:rsidRDefault="00394BBB" w:rsidP="00720B94">
      <w:pPr>
        <w:pStyle w:val="Heading2"/>
      </w:pPr>
      <w:bookmarkStart w:id="57" w:name="_Toc192509359"/>
      <w:r w:rsidRPr="00720B94">
        <w:t>Types of Biohazardous Waste</w:t>
      </w:r>
      <w:bookmarkEnd w:id="57"/>
    </w:p>
    <w:p w14:paraId="052E72B8" w14:textId="77777777" w:rsidR="00A60F5B" w:rsidRPr="00720B94" w:rsidRDefault="00A60F5B" w:rsidP="00720B94">
      <w:r w:rsidRPr="00720B94">
        <w:t xml:space="preserve">The following items require decontamination or inactivation prior to disposal: </w:t>
      </w:r>
    </w:p>
    <w:p w14:paraId="2B9FD57A" w14:textId="07222D0C" w:rsidR="00A60F5B" w:rsidRPr="00720B94" w:rsidRDefault="00A60F5B" w:rsidP="0092380E">
      <w:pPr>
        <w:pStyle w:val="ListParagraph"/>
        <w:numPr>
          <w:ilvl w:val="0"/>
          <w:numId w:val="21"/>
        </w:numPr>
        <w:rPr>
          <w:sz w:val="22"/>
          <w:szCs w:val="22"/>
        </w:rPr>
      </w:pPr>
      <w:r w:rsidRPr="00720B94">
        <w:rPr>
          <w:sz w:val="22"/>
          <w:szCs w:val="22"/>
        </w:rPr>
        <w:lastRenderedPageBreak/>
        <w:t>Microbiological laboratory waste: Cultures derived from clinical specimens and/or pathogenic microorganisms.</w:t>
      </w:r>
    </w:p>
    <w:p w14:paraId="64D9ED03" w14:textId="77777777" w:rsidR="00101AC3" w:rsidRPr="00720B94" w:rsidRDefault="00A60F5B" w:rsidP="0092380E">
      <w:pPr>
        <w:pStyle w:val="ListParagraph"/>
        <w:numPr>
          <w:ilvl w:val="0"/>
          <w:numId w:val="21"/>
        </w:numPr>
        <w:rPr>
          <w:sz w:val="22"/>
          <w:szCs w:val="22"/>
        </w:rPr>
      </w:pPr>
      <w:r w:rsidRPr="00720B94">
        <w:rPr>
          <w:sz w:val="22"/>
          <w:szCs w:val="22"/>
        </w:rPr>
        <w:t xml:space="preserve">Medical waste: Tissues, liquid blood, cells and body fluids from humans. Exceptions are urine, saliva, tears, sweat, or feces from humans that are not anticipated to contain pathogens and not visibly contaminated with blood. </w:t>
      </w:r>
    </w:p>
    <w:p w14:paraId="51B9C698" w14:textId="77777777" w:rsidR="00101AC3" w:rsidRPr="00720B94" w:rsidRDefault="00A60F5B" w:rsidP="0092380E">
      <w:pPr>
        <w:pStyle w:val="ListParagraph"/>
        <w:numPr>
          <w:ilvl w:val="0"/>
          <w:numId w:val="21"/>
        </w:numPr>
        <w:rPr>
          <w:sz w:val="22"/>
          <w:szCs w:val="22"/>
        </w:rPr>
      </w:pPr>
      <w:r w:rsidRPr="00720B94">
        <w:rPr>
          <w:sz w:val="22"/>
          <w:szCs w:val="22"/>
        </w:rPr>
        <w:t xml:space="preserve">Zoonotic waste: Tissues, liquid blood, cells, body fluids, and bedding from an animal that is carrying an infectious agent that can be transmitted to humans. </w:t>
      </w:r>
    </w:p>
    <w:p w14:paraId="36D0FC76" w14:textId="77777777" w:rsidR="00101AC3" w:rsidRPr="00720B94" w:rsidRDefault="00A60F5B" w:rsidP="0092380E">
      <w:pPr>
        <w:pStyle w:val="ListParagraph"/>
        <w:numPr>
          <w:ilvl w:val="0"/>
          <w:numId w:val="21"/>
        </w:numPr>
        <w:rPr>
          <w:sz w:val="22"/>
          <w:szCs w:val="22"/>
        </w:rPr>
      </w:pPr>
      <w:r w:rsidRPr="00720B94">
        <w:rPr>
          <w:sz w:val="22"/>
          <w:szCs w:val="22"/>
        </w:rPr>
        <w:t xml:space="preserve">Recombinant waste: Recombinant organisms, recombinant DNA/RNA. </w:t>
      </w:r>
    </w:p>
    <w:p w14:paraId="77396F8E" w14:textId="77777777" w:rsidR="00101AC3" w:rsidRPr="00720B94" w:rsidRDefault="00A60F5B" w:rsidP="0092380E">
      <w:pPr>
        <w:pStyle w:val="ListParagraph"/>
        <w:numPr>
          <w:ilvl w:val="0"/>
          <w:numId w:val="21"/>
        </w:numPr>
        <w:rPr>
          <w:sz w:val="22"/>
          <w:szCs w:val="22"/>
        </w:rPr>
      </w:pPr>
      <w:r w:rsidRPr="00720B94">
        <w:rPr>
          <w:sz w:val="22"/>
          <w:szCs w:val="22"/>
        </w:rPr>
        <w:t xml:space="preserve">Exotic or virulent plant and animal pathogens. </w:t>
      </w:r>
    </w:p>
    <w:p w14:paraId="4F252779" w14:textId="514789A5" w:rsidR="00101AC3" w:rsidRPr="00720B94" w:rsidRDefault="00A60F5B" w:rsidP="0092380E">
      <w:pPr>
        <w:pStyle w:val="ListParagraph"/>
        <w:numPr>
          <w:ilvl w:val="0"/>
          <w:numId w:val="21"/>
        </w:numPr>
        <w:rPr>
          <w:sz w:val="22"/>
          <w:szCs w:val="22"/>
        </w:rPr>
      </w:pPr>
      <w:r w:rsidRPr="00720B94">
        <w:rPr>
          <w:sz w:val="22"/>
          <w:szCs w:val="22"/>
        </w:rPr>
        <w:t>Sharps waste: Contaminated medical and nonmedical sharps</w:t>
      </w:r>
      <w:r w:rsidR="00660505" w:rsidRPr="00720B94">
        <w:rPr>
          <w:sz w:val="22"/>
          <w:szCs w:val="22"/>
        </w:rPr>
        <w:t>.</w:t>
      </w:r>
    </w:p>
    <w:p w14:paraId="533A858C" w14:textId="77777777" w:rsidR="00660505" w:rsidRPr="00720B94" w:rsidRDefault="00A60F5B" w:rsidP="0092380E">
      <w:pPr>
        <w:pStyle w:val="ListParagraph"/>
        <w:numPr>
          <w:ilvl w:val="0"/>
          <w:numId w:val="21"/>
        </w:numPr>
        <w:rPr>
          <w:sz w:val="22"/>
          <w:szCs w:val="22"/>
        </w:rPr>
      </w:pPr>
      <w:r w:rsidRPr="00720B94">
        <w:rPr>
          <w:sz w:val="22"/>
          <w:szCs w:val="22"/>
        </w:rPr>
        <w:t xml:space="preserve">Biological toxins </w:t>
      </w:r>
    </w:p>
    <w:p w14:paraId="31DE9838" w14:textId="407854F6" w:rsidR="00101AC3" w:rsidRPr="00720B94" w:rsidRDefault="00A60F5B" w:rsidP="0092380E">
      <w:pPr>
        <w:pStyle w:val="ListParagraph"/>
        <w:numPr>
          <w:ilvl w:val="0"/>
          <w:numId w:val="21"/>
        </w:numPr>
        <w:spacing w:after="160"/>
        <w:rPr>
          <w:sz w:val="22"/>
          <w:szCs w:val="22"/>
        </w:rPr>
      </w:pPr>
      <w:r w:rsidRPr="00720B94">
        <w:rPr>
          <w:sz w:val="22"/>
          <w:szCs w:val="22"/>
        </w:rPr>
        <w:t>Plant waste: All portions of exotic and non-endemic plants</w:t>
      </w:r>
      <w:r w:rsidR="00660505" w:rsidRPr="00720B94">
        <w:rPr>
          <w:sz w:val="22"/>
          <w:szCs w:val="22"/>
        </w:rPr>
        <w:t>.</w:t>
      </w:r>
    </w:p>
    <w:p w14:paraId="4F074F60" w14:textId="37EED780" w:rsidR="00394BBB" w:rsidRPr="00720B94" w:rsidRDefault="00394BBB" w:rsidP="00720B94">
      <w:pPr>
        <w:pStyle w:val="Heading2"/>
      </w:pPr>
      <w:bookmarkStart w:id="58" w:name="_Toc192509360"/>
      <w:r w:rsidRPr="00720B94">
        <w:t>Mixed Waste</w:t>
      </w:r>
      <w:bookmarkEnd w:id="58"/>
    </w:p>
    <w:p w14:paraId="60CE0E0F" w14:textId="5249CF40" w:rsidR="004D6F1F" w:rsidRPr="00720B94" w:rsidRDefault="004D6F1F" w:rsidP="00720B94">
      <w:r w:rsidRPr="00720B94">
        <w:t>Please contact Environmental Health &amp; Safety with disposal questions for biological materials mixed with hazardous chemicals and/or radioisotopes.</w:t>
      </w:r>
    </w:p>
    <w:p w14:paraId="0DB039AC" w14:textId="5873AED3" w:rsidR="00394BBB" w:rsidRPr="00720B94" w:rsidRDefault="00394BBB" w:rsidP="00720B94">
      <w:pPr>
        <w:pStyle w:val="Heading2"/>
      </w:pPr>
      <w:bookmarkStart w:id="59" w:name="_Toc192509361"/>
      <w:r w:rsidRPr="00720B94">
        <w:t>Sharps</w:t>
      </w:r>
      <w:r w:rsidR="00010452" w:rsidRPr="00720B94">
        <w:t xml:space="preserve"> &amp; Laboratory Glass</w:t>
      </w:r>
      <w:bookmarkEnd w:id="59"/>
    </w:p>
    <w:p w14:paraId="422288E0" w14:textId="61D94C9D" w:rsidR="00F66BB8" w:rsidRPr="00720B94" w:rsidRDefault="00F66BB8" w:rsidP="00720B94">
      <w:r w:rsidRPr="00720B94">
        <w:t xml:space="preserve">See </w:t>
      </w:r>
      <w:r w:rsidR="008F0B38" w:rsidRPr="00720B94">
        <w:t>the UWL Laboratory Safety &amp; Chemical Disposal Guide</w:t>
      </w:r>
      <w:r w:rsidR="003B6386" w:rsidRPr="00720B94">
        <w:t>,</w:t>
      </w:r>
      <w:r w:rsidR="008F0B38" w:rsidRPr="00720B94">
        <w:t xml:space="preserve"> </w:t>
      </w:r>
      <w:hyperlink r:id="rId101" w:history="1">
        <w:r w:rsidR="00B66231" w:rsidRPr="00717676">
          <w:rPr>
            <w:rStyle w:val="Hyperlink"/>
            <w:color w:val="007D89" w:themeColor="accent3" w:themeShade="BF"/>
          </w:rPr>
          <w:t>Part</w:t>
        </w:r>
        <w:r w:rsidR="008F0B38" w:rsidRPr="00717676">
          <w:rPr>
            <w:rStyle w:val="Hyperlink"/>
            <w:color w:val="007D89" w:themeColor="accent3" w:themeShade="BF"/>
          </w:rPr>
          <w:t xml:space="preserve"> I: Sharps </w:t>
        </w:r>
        <w:r w:rsidR="00B66231" w:rsidRPr="00717676">
          <w:rPr>
            <w:rStyle w:val="Hyperlink"/>
            <w:color w:val="007D89" w:themeColor="accent3" w:themeShade="BF"/>
          </w:rPr>
          <w:t>&amp;</w:t>
        </w:r>
        <w:r w:rsidR="008F0B38" w:rsidRPr="00717676">
          <w:rPr>
            <w:rStyle w:val="Hyperlink"/>
            <w:color w:val="007D89" w:themeColor="accent3" w:themeShade="BF"/>
          </w:rPr>
          <w:t xml:space="preserve"> Laboratory Glass Disposal</w:t>
        </w:r>
      </w:hyperlink>
      <w:r w:rsidR="008F0B38" w:rsidRPr="00720B94">
        <w:t xml:space="preserve"> for comprehensive guidelines. </w:t>
      </w:r>
    </w:p>
    <w:p w14:paraId="5330E79A" w14:textId="30CF293F" w:rsidR="004D6F1F" w:rsidRPr="00720B94" w:rsidRDefault="007B647E" w:rsidP="00720B94">
      <w:r w:rsidRPr="00720B94">
        <w:t>Medical sharps are instruments designed to cut or penetrate skin. Examples include syringes with needles, stand-alone needles, lancets,</w:t>
      </w:r>
      <w:r w:rsidR="00966DAE" w:rsidRPr="00720B94">
        <w:t xml:space="preserve"> scalpels,</w:t>
      </w:r>
      <w:r w:rsidRPr="00720B94">
        <w:t xml:space="preserve"> and razor blades, regardless of their actual use. These items must be disposed of in a puncture-resistant, ASTM-certified medical sharps container. Do not overfill beyond the “fill” line on the container. Note that even if these items are unused and in their original packages/sleeves, they still must be properly disposed of in a medical </w:t>
      </w:r>
      <w:proofErr w:type="gramStart"/>
      <w:r w:rsidRPr="00720B94">
        <w:t>sharps</w:t>
      </w:r>
      <w:proofErr w:type="gramEnd"/>
      <w:r w:rsidRPr="00720B94">
        <w:t xml:space="preserve"> container. When filled and ready for disposal, securely close the lid. Medical sharps require special handling and may not go directly to the landfill.</w:t>
      </w:r>
    </w:p>
    <w:p w14:paraId="13C14A6F" w14:textId="585EDC41" w:rsidR="004C7A57" w:rsidRPr="00720B94" w:rsidRDefault="00BA33AB" w:rsidP="00720B94">
      <w:r w:rsidRPr="00720B94">
        <w:t>Non-medical sharps are lab materials that can cut, or puncture the skin, but are not intended to do so. Examples include fragile glass, glass slides and cover slips, metal wires, pipets, and pipette tips. These items must be disposed of in a manner that prevents harm to others. They must be decontaminated prior to disposal if used with infectious agents or recombinant materials.</w:t>
      </w:r>
    </w:p>
    <w:p w14:paraId="2B7EE289" w14:textId="1F53F730" w:rsidR="00394BBB" w:rsidRPr="00720B94" w:rsidRDefault="00394BBB" w:rsidP="00720B94">
      <w:pPr>
        <w:pStyle w:val="Heading2"/>
      </w:pPr>
      <w:bookmarkStart w:id="60" w:name="_Toc192509362"/>
      <w:r w:rsidRPr="00720B94">
        <w:t>Infectious, Microbial, &amp; Recombinant Waste</w:t>
      </w:r>
      <w:bookmarkEnd w:id="60"/>
    </w:p>
    <w:p w14:paraId="733EACA6" w14:textId="7B8B6791" w:rsidR="00BA33AB" w:rsidRPr="00720B94" w:rsidRDefault="00BA33AB" w:rsidP="00720B94">
      <w:r w:rsidRPr="00720B94">
        <w:t>Materials from laboratories and animal facilities, such as cultures, tissues, media, and plastics contaminated with biohazardous, potentially biohazardous, or recombinant substances must be decontaminated before disposal. Collect contaminated materials in leak-proof containers labeled with the universal biohazard symbol; autoclavable biohazard bags are recommended.</w:t>
      </w:r>
      <w:r w:rsidR="009068C6" w:rsidRPr="00720B94">
        <w:t xml:space="preserve"> </w:t>
      </w:r>
    </w:p>
    <w:p w14:paraId="2E112CB3" w14:textId="31D019A0" w:rsidR="009068C6" w:rsidRPr="00720B94" w:rsidRDefault="009068C6" w:rsidP="00720B94">
      <w:r w:rsidRPr="00720B94">
        <w:t>See the UWL Laboratory Safety &amp; Chemical Disposal Guide</w:t>
      </w:r>
      <w:r w:rsidR="00562F44" w:rsidRPr="00720B94">
        <w:t>,</w:t>
      </w:r>
      <w:r w:rsidRPr="00720B94">
        <w:t xml:space="preserve"> </w:t>
      </w:r>
      <w:hyperlink r:id="rId102" w:history="1">
        <w:r w:rsidR="00B66231" w:rsidRPr="00717676">
          <w:rPr>
            <w:rStyle w:val="Hyperlink"/>
            <w:color w:val="007D89" w:themeColor="accent3" w:themeShade="BF"/>
          </w:rPr>
          <w:t>Appendix</w:t>
        </w:r>
        <w:r w:rsidRPr="00717676">
          <w:rPr>
            <w:rStyle w:val="Hyperlink"/>
            <w:color w:val="007D89" w:themeColor="accent3" w:themeShade="BF"/>
          </w:rPr>
          <w:t xml:space="preserve"> J: Autoclave Operational &amp; Safety Guide</w:t>
        </w:r>
      </w:hyperlink>
      <w:r w:rsidRPr="00720B94">
        <w:t xml:space="preserve"> for comprehensive guidelines on </w:t>
      </w:r>
      <w:r w:rsidR="008676D6" w:rsidRPr="00720B94">
        <w:t>precautions, general sterilization procedures, and autoclaving tips</w:t>
      </w:r>
      <w:r w:rsidRPr="00720B94">
        <w:t>.</w:t>
      </w:r>
      <w:r w:rsidR="00C23E40" w:rsidRPr="00720B94">
        <w:t xml:space="preserve"> Also see </w:t>
      </w:r>
      <w:hyperlink r:id="rId103" w:history="1">
        <w:r w:rsidR="00B66231" w:rsidRPr="00717676">
          <w:rPr>
            <w:rStyle w:val="Hyperlink"/>
            <w:color w:val="007D89" w:themeColor="accent3" w:themeShade="BF"/>
          </w:rPr>
          <w:t>Part</w:t>
        </w:r>
        <w:r w:rsidR="00C23E40" w:rsidRPr="00717676">
          <w:rPr>
            <w:rStyle w:val="Hyperlink"/>
            <w:color w:val="007D89" w:themeColor="accent3" w:themeShade="BF"/>
          </w:rPr>
          <w:t xml:space="preserve"> H</w:t>
        </w:r>
        <w:r w:rsidR="00466F91" w:rsidRPr="00717676">
          <w:rPr>
            <w:rStyle w:val="Hyperlink"/>
            <w:color w:val="007D89" w:themeColor="accent3" w:themeShade="BF"/>
          </w:rPr>
          <w:t xml:space="preserve"> of the guide</w:t>
        </w:r>
      </w:hyperlink>
      <w:r w:rsidR="000E0EA0" w:rsidRPr="00720B94">
        <w:t>, under “Disposal of Other Biohazardous Waste</w:t>
      </w:r>
      <w:r w:rsidR="00466F91" w:rsidRPr="00720B94">
        <w:t>.</w:t>
      </w:r>
      <w:r w:rsidR="000E0EA0" w:rsidRPr="00720B94">
        <w:t xml:space="preserve">” </w:t>
      </w:r>
    </w:p>
    <w:p w14:paraId="16AF8BCF" w14:textId="3D5379C3" w:rsidR="00394BBB" w:rsidRPr="00720B94" w:rsidRDefault="00394BBB" w:rsidP="00720B94">
      <w:pPr>
        <w:pStyle w:val="Heading2"/>
      </w:pPr>
      <w:bookmarkStart w:id="61" w:name="_Toc192509363"/>
      <w:r w:rsidRPr="00720B94">
        <w:t>Liquid Waste</w:t>
      </w:r>
      <w:bookmarkEnd w:id="61"/>
    </w:p>
    <w:p w14:paraId="46730AD3" w14:textId="44667D69" w:rsidR="009A0991" w:rsidRPr="00720B94" w:rsidRDefault="004D05FF" w:rsidP="00720B94">
      <w:r w:rsidRPr="00720B94">
        <w:t>Liquid waste that is contaminated with infectious agents or biological toxins must be rendered safe by chemical or autoclave treatment before sewer disposal. Care must be taken to avoid splashing and generating aerosols. Sewer lines should be decontaminated by flushing with hypochlorite (1:10 dilution of household bleach containing 5.25%-6.15% sodium hypochlorite) prior to servicing.</w:t>
      </w:r>
    </w:p>
    <w:p w14:paraId="50E21FD8" w14:textId="0ECB3E45" w:rsidR="00394BBB" w:rsidRPr="00720B94" w:rsidRDefault="00394BBB" w:rsidP="00720B94">
      <w:pPr>
        <w:pStyle w:val="Heading2"/>
      </w:pPr>
      <w:bookmarkStart w:id="62" w:name="_Toc192509364"/>
      <w:r w:rsidRPr="00720B94">
        <w:lastRenderedPageBreak/>
        <w:t>Waste from Animal Experiments</w:t>
      </w:r>
      <w:bookmarkEnd w:id="62"/>
    </w:p>
    <w:p w14:paraId="29E85052" w14:textId="77777777" w:rsidR="004D05FF" w:rsidRPr="00720B94" w:rsidRDefault="004D05FF" w:rsidP="00720B94">
      <w:r w:rsidRPr="00720B94">
        <w:t xml:space="preserve">Animal waste (e.g., bedding, feces, urine) may require disinfection/inactivation by methods as described in your biosafety protocol followed by disposal via trash or sanitary sewer. Animal carcasses are to be disposed by incineration or via chemical digestion. Disposal outside of these regular routes must be detailed in biosafety and/or animal protocols. </w:t>
      </w:r>
    </w:p>
    <w:p w14:paraId="26208C59" w14:textId="1773E72B" w:rsidR="004D05FF" w:rsidRPr="00720B94" w:rsidRDefault="004D05FF" w:rsidP="00720B94">
      <w:r w:rsidRPr="00720B94">
        <w:t>Animal waste which does not require disinfection/inactivation as described in the biosafety protocol is disposed via trash or sanitary sewer. Disposal outside of these regular routes must be reviewed and approved.</w:t>
      </w:r>
    </w:p>
    <w:p w14:paraId="28CCBBB0" w14:textId="2DB8BBBF" w:rsidR="00BF17EB" w:rsidRPr="00720B94" w:rsidRDefault="00BF17EB" w:rsidP="00720B94">
      <w:r w:rsidRPr="00720B94">
        <w:t xml:space="preserve">All animal carcasses covered under </w:t>
      </w:r>
      <w:hyperlink r:id="rId104" w:anchor="_Toc3457269" w:history="1">
        <w:r w:rsidRPr="00717676">
          <w:rPr>
            <w:rStyle w:val="Hyperlink"/>
            <w:color w:val="007D89" w:themeColor="accent3" w:themeShade="BF"/>
          </w:rPr>
          <w:t>Appendix M</w:t>
        </w:r>
      </w:hyperlink>
      <w:r w:rsidRPr="00720B94">
        <w:t xml:space="preserve"> of the NIH Guidelines (containing recombinant or synthetic nucleic acid molecules or a recombinant or synthetic nucleic acid molecule-derived organism) should be disposed of by incineration or chemical digestion to avoid its use as food for human beings or animals unless specifically authorized by an approved federal agency.</w:t>
      </w:r>
    </w:p>
    <w:p w14:paraId="5F2757AB" w14:textId="554C0E9C" w:rsidR="00BB255B" w:rsidRPr="00720B94" w:rsidRDefault="00BB255B" w:rsidP="00720B94">
      <w:r w:rsidRPr="00720B94">
        <w:t>See the UWL Laboratory Safety &amp; Chemical Disposal Guide</w:t>
      </w:r>
      <w:r w:rsidR="003B6386" w:rsidRPr="00720B94">
        <w:t>,</w:t>
      </w:r>
      <w:r w:rsidRPr="00720B94">
        <w:t xml:space="preserve"> </w:t>
      </w:r>
      <w:hyperlink r:id="rId105" w:history="1">
        <w:r w:rsidR="00B66231" w:rsidRPr="00717676">
          <w:rPr>
            <w:rStyle w:val="Hyperlink"/>
            <w:color w:val="007D89" w:themeColor="accent3" w:themeShade="BF"/>
          </w:rPr>
          <w:t>Part</w:t>
        </w:r>
        <w:r w:rsidRPr="00717676">
          <w:rPr>
            <w:rStyle w:val="Hyperlink"/>
            <w:color w:val="007D89" w:themeColor="accent3" w:themeShade="BF"/>
          </w:rPr>
          <w:t xml:space="preserve"> H: Animal Tissue Disposal</w:t>
        </w:r>
      </w:hyperlink>
      <w:r w:rsidR="00DE7B44" w:rsidRPr="00720B94">
        <w:t xml:space="preserve"> for </w:t>
      </w:r>
      <w:r w:rsidR="008A044B" w:rsidRPr="00720B94">
        <w:t>additional</w:t>
      </w:r>
      <w:r w:rsidR="00DE7B44" w:rsidRPr="00720B94">
        <w:t xml:space="preserve"> guidelines.</w:t>
      </w:r>
    </w:p>
    <w:p w14:paraId="41D13313" w14:textId="7E4F504B" w:rsidR="00394BBB" w:rsidRPr="00720B94" w:rsidRDefault="00394BBB" w:rsidP="00720B94">
      <w:pPr>
        <w:pStyle w:val="Heading2"/>
      </w:pPr>
      <w:bookmarkStart w:id="63" w:name="_Toc192509365"/>
      <w:r w:rsidRPr="00720B94">
        <w:t>Noninfectious Waste</w:t>
      </w:r>
      <w:bookmarkEnd w:id="63"/>
    </w:p>
    <w:p w14:paraId="20E91742" w14:textId="77777777" w:rsidR="00C34B0C" w:rsidRPr="00720B94" w:rsidRDefault="00C34B0C" w:rsidP="00720B94">
      <w:r w:rsidRPr="00720B94">
        <w:t xml:space="preserve">The following are usually not included in the definition of infectious waste but should be placed in containers such as plastic bags prior to disposal to contain the waste. If these items have been mixed with infectious wastes, they </w:t>
      </w:r>
      <w:proofErr w:type="gramStart"/>
      <w:r w:rsidRPr="00720B94">
        <w:t>have to</w:t>
      </w:r>
      <w:proofErr w:type="gramEnd"/>
      <w:r w:rsidRPr="00720B94">
        <w:t xml:space="preserve"> be managed as though they are infectious. Non-infectious waste may include: </w:t>
      </w:r>
    </w:p>
    <w:p w14:paraId="6F9CD100" w14:textId="77777777" w:rsidR="00C34B0C" w:rsidRPr="00720B94" w:rsidRDefault="00C34B0C" w:rsidP="0092380E">
      <w:pPr>
        <w:pStyle w:val="ListParagraph"/>
        <w:numPr>
          <w:ilvl w:val="0"/>
          <w:numId w:val="22"/>
        </w:numPr>
        <w:rPr>
          <w:sz w:val="22"/>
          <w:szCs w:val="22"/>
        </w:rPr>
      </w:pPr>
      <w:r w:rsidRPr="00720B94">
        <w:rPr>
          <w:sz w:val="22"/>
          <w:szCs w:val="22"/>
        </w:rPr>
        <w:t xml:space="preserve">Items soiled or spotted, but not saturated, with human blood or body fluids. Examples: blood-spotted gloves, gowns, dressings, and surgical drapes. </w:t>
      </w:r>
    </w:p>
    <w:p w14:paraId="730B082F" w14:textId="77777777" w:rsidR="00C34B0C" w:rsidRPr="00720B94" w:rsidRDefault="00C34B0C" w:rsidP="0092380E">
      <w:pPr>
        <w:pStyle w:val="ListParagraph"/>
        <w:numPr>
          <w:ilvl w:val="0"/>
          <w:numId w:val="22"/>
        </w:numPr>
        <w:rPr>
          <w:sz w:val="22"/>
          <w:szCs w:val="22"/>
        </w:rPr>
      </w:pPr>
      <w:r w:rsidRPr="00720B94">
        <w:rPr>
          <w:sz w:val="22"/>
          <w:szCs w:val="22"/>
        </w:rPr>
        <w:t xml:space="preserve">Containers, packages, non-fragile waste glass, laboratory equipment, and other materials that have had no contact with blood, body fluids, clinical cultures, or infectious agents. </w:t>
      </w:r>
    </w:p>
    <w:p w14:paraId="43C850AC" w14:textId="0470B637" w:rsidR="00BF17EB" w:rsidRPr="00720B94" w:rsidRDefault="00C34B0C" w:rsidP="0092380E">
      <w:pPr>
        <w:pStyle w:val="ListParagraph"/>
        <w:numPr>
          <w:ilvl w:val="0"/>
          <w:numId w:val="22"/>
        </w:numPr>
        <w:rPr>
          <w:sz w:val="22"/>
          <w:szCs w:val="22"/>
        </w:rPr>
      </w:pPr>
      <w:r w:rsidRPr="00720B94">
        <w:rPr>
          <w:sz w:val="22"/>
          <w:szCs w:val="22"/>
        </w:rPr>
        <w:t>Noninfectious animal waste such as manure and bedding, and tissue, blood, body fluids, or cultures from an animal that is not known or suspected to be carrying an infectious agent transmissible to humans.</w:t>
      </w:r>
    </w:p>
    <w:p w14:paraId="38FCDEC9" w14:textId="4BB4DA00" w:rsidR="00394BBB" w:rsidRPr="00720B94" w:rsidRDefault="00150933" w:rsidP="00720B94">
      <w:pPr>
        <w:pStyle w:val="Heading1"/>
      </w:pPr>
      <w:bookmarkStart w:id="64" w:name="_Toc192509366"/>
      <w:r w:rsidRPr="00720B94">
        <w:t>Methods of Decontamination</w:t>
      </w:r>
      <w:bookmarkEnd w:id="64"/>
    </w:p>
    <w:p w14:paraId="5A8FD1B8" w14:textId="459F8B6B" w:rsidR="0000074C" w:rsidRPr="00720B94" w:rsidRDefault="00882ED8" w:rsidP="00720B94">
      <w:r w:rsidRPr="00720B94">
        <w:t>Choosing the right method to eliminate or inactivate a biohazard is not always simple; it is difficult to prescribe methods that meet every contingency. Decisions are best left to the personnel directly involved, provided they are well informed and prepared to verify the effectiveness of the treatment. The choice depends largely on the treatment equipment available, the target organism, and the presence of interfering substances (e.g., high organic content) that may protect the organism from decontamination. Other common factors that influence the efficacy of disinfection are contact time, temperature, water hardness, and relative humidity.</w:t>
      </w:r>
    </w:p>
    <w:p w14:paraId="7290A72D" w14:textId="14B466BC" w:rsidR="006F4210" w:rsidRPr="00720B94" w:rsidRDefault="00882ED8" w:rsidP="00720B94">
      <w:r w:rsidRPr="00720B94">
        <w:t xml:space="preserve">Various treatment techniques are available, but practicality and effectiveness govern which is most appropriate. For example, there is a practical limit to the time that can be spent autoclaving waste, and alternative methods might be more effective and economical. The efficacy of the selected method against the </w:t>
      </w:r>
      <w:proofErr w:type="gramStart"/>
      <w:r w:rsidRPr="00720B94">
        <w:t>particular biohazard</w:t>
      </w:r>
      <w:proofErr w:type="gramEnd"/>
      <w:r w:rsidRPr="00720B94">
        <w:t xml:space="preserve"> must be documented by reference to accepted procedures or quantitative testing.</w:t>
      </w:r>
    </w:p>
    <w:p w14:paraId="7CE199E1" w14:textId="4E4C6FCB" w:rsidR="00D016B1" w:rsidRPr="00720B94" w:rsidRDefault="00882ED8" w:rsidP="00720B94">
      <w:r w:rsidRPr="00720B94">
        <w:t>Use extreme caution when treating waste that is co-contaminated with volatile, toxic, or carcinogenic chemicals, radioisotopes, or explosive substances. Autoclaving this type of waste may release dangerous gases (e.g., chlorine from bleach) into the air. Such waste should be chemically decontaminated</w:t>
      </w:r>
      <w:r w:rsidR="00B83F29" w:rsidRPr="00720B94">
        <w:t xml:space="preserve">. </w:t>
      </w:r>
      <w:r w:rsidR="006B61D3" w:rsidRPr="00720B94">
        <w:t>C</w:t>
      </w:r>
      <w:r w:rsidR="00D016B1" w:rsidRPr="00720B94">
        <w:t>onsult with Environmental Health &amp; Safety</w:t>
      </w:r>
      <w:r w:rsidR="00D46A54" w:rsidRPr="00720B94">
        <w:t xml:space="preserve"> for guidance</w:t>
      </w:r>
      <w:r w:rsidR="00D016B1" w:rsidRPr="00720B94">
        <w:t>.</w:t>
      </w:r>
      <w:r w:rsidRPr="00720B94">
        <w:t xml:space="preserve"> </w:t>
      </w:r>
    </w:p>
    <w:p w14:paraId="741BFD86" w14:textId="539ACD4B" w:rsidR="005D4484" w:rsidRPr="00720B94" w:rsidRDefault="00882ED8" w:rsidP="00720B94">
      <w:r w:rsidRPr="00720B94">
        <w:lastRenderedPageBreak/>
        <w:t xml:space="preserve">Ideally, biohazardous waste should be decontaminated before the end of each working day unless it is to be picked up for special waste treatment. Biohazardous waste should never be compacted. Ordinary, non-hazardous laboratory waste should be disposed of routinely as much as possible </w:t>
      </w:r>
      <w:proofErr w:type="gramStart"/>
      <w:r w:rsidRPr="00720B94">
        <w:t>so as to</w:t>
      </w:r>
      <w:proofErr w:type="gramEnd"/>
      <w:r w:rsidRPr="00720B94">
        <w:t xml:space="preserve"> reduce the amount of waste requiring special handling.</w:t>
      </w:r>
    </w:p>
    <w:p w14:paraId="6D14B5C4" w14:textId="61C446B4" w:rsidR="00AA22EA" w:rsidRPr="00720B94" w:rsidRDefault="004F4ED9" w:rsidP="00720B94">
      <w:r w:rsidRPr="00720B94">
        <w:t>See the UWL Laboratory Safety &amp; Chemical Disposal Guide</w:t>
      </w:r>
      <w:r w:rsidR="006B61D3" w:rsidRPr="00720B94">
        <w:t>,</w:t>
      </w:r>
      <w:r w:rsidR="00A8741B" w:rsidRPr="00720B94">
        <w:t xml:space="preserve"> </w:t>
      </w:r>
      <w:hyperlink r:id="rId106" w:history="1">
        <w:r w:rsidR="00082308" w:rsidRPr="00717676">
          <w:rPr>
            <w:rStyle w:val="Hyperlink"/>
            <w:color w:val="007D89" w:themeColor="accent3" w:themeShade="BF"/>
          </w:rPr>
          <w:t>Appendix</w:t>
        </w:r>
        <w:r w:rsidRPr="00717676">
          <w:rPr>
            <w:rStyle w:val="Hyperlink"/>
            <w:color w:val="007D89" w:themeColor="accent3" w:themeShade="BF"/>
          </w:rPr>
          <w:t xml:space="preserve"> J: Autoclave Operational &amp; Safety Guide</w:t>
        </w:r>
      </w:hyperlink>
      <w:r w:rsidR="00A8741B" w:rsidRPr="00720B94">
        <w:t>.</w:t>
      </w:r>
    </w:p>
    <w:p w14:paraId="72424E3B" w14:textId="0A2B11BF" w:rsidR="00A61708" w:rsidRPr="00720B94" w:rsidRDefault="00A61708" w:rsidP="00720B94">
      <w:pPr>
        <w:pStyle w:val="Heading2"/>
      </w:pPr>
      <w:bookmarkStart w:id="65" w:name="_Toc192509367"/>
      <w:r w:rsidRPr="00720B94">
        <w:t>Steam Sterilization</w:t>
      </w:r>
      <w:bookmarkEnd w:id="65"/>
    </w:p>
    <w:p w14:paraId="3EDDE785" w14:textId="30FD82F6" w:rsidR="005C33DE" w:rsidRPr="00720B94" w:rsidRDefault="0031696C" w:rsidP="00720B94">
      <w:r w:rsidRPr="00720B94">
        <w:t xml:space="preserve">Decontamination is best accomplished by steam sterilization in a properly functioning autoclave that is efficacy tested </w:t>
      </w:r>
      <w:r w:rsidR="00CD4087" w:rsidRPr="00720B94">
        <w:t>as needed</w:t>
      </w:r>
      <w:r w:rsidR="00F552BA" w:rsidRPr="00720B94">
        <w:t>, but at least twice a year,</w:t>
      </w:r>
      <w:r w:rsidRPr="00720B94">
        <w:t xml:space="preserve"> with biological (i.e., </w:t>
      </w:r>
      <w:r w:rsidRPr="00720B94">
        <w:rPr>
          <w:i/>
          <w:iCs/>
        </w:rPr>
        <w:t>Bacillus stearothermophilus</w:t>
      </w:r>
      <w:r w:rsidRPr="00720B94">
        <w:t xml:space="preserve"> spore testing) or chemical (i.e., 3M</w:t>
      </w:r>
      <w:r w:rsidRPr="00720B94">
        <w:rPr>
          <w:vertAlign w:val="superscript"/>
        </w:rPr>
        <w:t>TM</w:t>
      </w:r>
      <w:r w:rsidRPr="00720B94">
        <w:t xml:space="preserve"> </w:t>
      </w:r>
      <w:proofErr w:type="spellStart"/>
      <w:r w:rsidRPr="00720B94">
        <w:t>Comply</w:t>
      </w:r>
      <w:r w:rsidRPr="00720B94">
        <w:rPr>
          <w:vertAlign w:val="superscript"/>
        </w:rPr>
        <w:t>TM</w:t>
      </w:r>
      <w:proofErr w:type="spellEnd"/>
      <w:r w:rsidRPr="00720B94">
        <w:t xml:space="preserve"> </w:t>
      </w:r>
      <w:proofErr w:type="spellStart"/>
      <w:r w:rsidRPr="00720B94">
        <w:t>SteriGage</w:t>
      </w:r>
      <w:r w:rsidRPr="00720B94">
        <w:rPr>
          <w:vertAlign w:val="superscript"/>
        </w:rPr>
        <w:t>TM</w:t>
      </w:r>
      <w:proofErr w:type="spellEnd"/>
      <w:r w:rsidRPr="00720B94">
        <w:t xml:space="preserve">) indicators that verify adequate temperatures and times have been reached inside the material/load to kill microorganisms. Efficacy test results must be recorded and retained, preferably on or near the autoclave. Indicator tape provides assurance only that a high temperature was reached; it does not indicate if it was heated for the proper time. The tops of autoclavable biohazard bags should be opened to allow steam entry. For dry materials, it may be necessary to add water to the package prior to autoclaving. </w:t>
      </w:r>
    </w:p>
    <w:p w14:paraId="3154888E" w14:textId="6207AA03" w:rsidR="0033115A" w:rsidRPr="00720B94" w:rsidRDefault="0031696C" w:rsidP="00720B94">
      <w:r w:rsidRPr="00720B94">
        <w:t xml:space="preserve">Although autoclaving all biohazardous wastes for at least one hour is recommended, the nature of the waste in a load should determine cycle duration. For example, if the waste contains a dense organic substrate such as animal bedding, manure, or soil, one hour may be insufficient to inactivate certain pathogens buried within. A considerably longer exposure time (e.g., 8 to 12 hours) may be required to effectively decontaminate such waste. </w:t>
      </w:r>
    </w:p>
    <w:p w14:paraId="24DB956F" w14:textId="5B1226FB" w:rsidR="00A61708" w:rsidRPr="00720B94" w:rsidRDefault="00F77999" w:rsidP="00720B94">
      <w:pPr>
        <w:pStyle w:val="Heading2"/>
      </w:pPr>
      <w:bookmarkStart w:id="66" w:name="_Toc192509368"/>
      <w:r w:rsidRPr="00720B94">
        <w:t>Chemical Disinfection</w:t>
      </w:r>
      <w:bookmarkEnd w:id="66"/>
    </w:p>
    <w:p w14:paraId="47DB8B76" w14:textId="0E48AE28" w:rsidR="002904E6" w:rsidRPr="00720B94" w:rsidRDefault="003209CA" w:rsidP="00720B94">
      <w:r w:rsidRPr="00720B94">
        <w:t xml:space="preserve">Where autoclaving is not appropriate or feasible, an accepted alternative is to treat material with a chemical disinfectant, freshly prepared at a concentration known to be effective against the microorganisms in use. The disinfectant of choice should be one that quickly and effectively kills the target pathogen at the lowest concentration and with minimal risk to the user. Allow sufficient exposure time to ensure complete inactivation. Other considerations such as economy and shelf life are also important. The susceptibility to chemical disinfection is generally greater for enveloped viruses than for non-lipid viruses, and greater for vegetative bacteria and fungi than for spores. Mycobacteria are more resistant to inactivation than most bacteria, while prions are notably resistant to most chemicals. </w:t>
      </w:r>
      <w:r w:rsidR="00A112D5" w:rsidRPr="00720B94">
        <w:t xml:space="preserve">Appendix I offers a </w:t>
      </w:r>
      <w:r w:rsidRPr="00720B94">
        <w:t>brief overview</w:t>
      </w:r>
      <w:r w:rsidR="00A112D5" w:rsidRPr="00720B94">
        <w:t xml:space="preserve"> of possible chemical </w:t>
      </w:r>
      <w:proofErr w:type="gramStart"/>
      <w:r w:rsidR="00A112D5" w:rsidRPr="00720B94">
        <w:t>disinfectants, but</w:t>
      </w:r>
      <w:proofErr w:type="gramEnd"/>
      <w:r w:rsidR="00A112D5" w:rsidRPr="00720B94">
        <w:t xml:space="preserve"> </w:t>
      </w:r>
      <w:r w:rsidRPr="00720B94">
        <w:t>cannot do justice to the complexity of this subject. Additional references should be consulted, and testing done to verify the efficacy for a given usage.</w:t>
      </w:r>
    </w:p>
    <w:p w14:paraId="323127D2" w14:textId="7F5CF366" w:rsidR="00B52EBE" w:rsidRPr="00720B94" w:rsidRDefault="00B52EBE" w:rsidP="00720B94">
      <w:r w:rsidRPr="00720B94">
        <w:t>It is important to be aware that common laboratory disinfectants can pose hazards to users</w:t>
      </w:r>
      <w:r w:rsidR="00D13E86" w:rsidRPr="00720B94">
        <w:t xml:space="preserve"> (see Appendix I)</w:t>
      </w:r>
      <w:r w:rsidRPr="00720B94">
        <w:t xml:space="preserve">. </w:t>
      </w:r>
      <w:r w:rsidR="00D13E86" w:rsidRPr="00720B94">
        <w:t>Some examples include that e</w:t>
      </w:r>
      <w:r w:rsidRPr="00720B94">
        <w:t>thanol and quaternary ammonium compounds may cause contact dermatitis. Chlorine in high concentrations irritates the mucous membranes, eyes, and skin. The toxicity of aldehydes limits their usefulness.</w:t>
      </w:r>
    </w:p>
    <w:p w14:paraId="1C6F07DC" w14:textId="410FBD7A" w:rsidR="009527D2" w:rsidRPr="00720B94" w:rsidRDefault="009527D2" w:rsidP="00720B94">
      <w:r w:rsidRPr="00720B94">
        <w:t>Large-volume areas such as fume hoods, biological safety cabinets, or rooms may be decontaminated using gases such as formaldehyde, ethylene oxide, or peracetic acid. These gases, however, must be applied with extreme care. Only experienced personnel who have the specialized equipment and protective devices to do it effectively and safely should perform gas decontamination.</w:t>
      </w:r>
    </w:p>
    <w:p w14:paraId="32B6F292" w14:textId="0946C007" w:rsidR="0033115A" w:rsidRPr="00720B94" w:rsidRDefault="0033115A" w:rsidP="00720B94">
      <w:pPr>
        <w:pStyle w:val="Heading2"/>
      </w:pPr>
      <w:bookmarkStart w:id="67" w:name="_Toc192509369"/>
      <w:r w:rsidRPr="00720B94">
        <w:t>UV Treatment</w:t>
      </w:r>
      <w:bookmarkEnd w:id="67"/>
    </w:p>
    <w:p w14:paraId="7A418B7B" w14:textId="0187DE61" w:rsidR="009527D2" w:rsidRPr="00720B94" w:rsidRDefault="00DE3091" w:rsidP="00720B94">
      <w:r w:rsidRPr="00720B94">
        <w:t xml:space="preserve">The efficacy of UV light for disinfection is limited by </w:t>
      </w:r>
      <w:proofErr w:type="gramStart"/>
      <w:r w:rsidRPr="00720B94">
        <w:t>a number of</w:t>
      </w:r>
      <w:proofErr w:type="gramEnd"/>
      <w:r w:rsidRPr="00720B94">
        <w:t xml:space="preserve"> factors (e.g., age, cleanliness, temperature, humidity), and thus UV lights cannot be used as the only disinfection method. </w:t>
      </w:r>
      <w:r w:rsidR="00E03790" w:rsidRPr="00720B94">
        <w:t xml:space="preserve">UV light is only effective on surfaces it contacts, has little ability to penetrate materials, and the UV output </w:t>
      </w:r>
      <w:r w:rsidR="00E03790" w:rsidRPr="00720B94">
        <w:lastRenderedPageBreak/>
        <w:t>decreases as the lamp ages.</w:t>
      </w:r>
      <w:r w:rsidRPr="00720B94">
        <w:t xml:space="preserve"> Additionally, the use of UV lights in BSCs is not recommended as the sole decontamination technique by the CDC and the NIH.</w:t>
      </w:r>
      <w:r w:rsidR="00E03790" w:rsidRPr="00720B94">
        <w:t xml:space="preserve"> UV lamps </w:t>
      </w:r>
      <w:r w:rsidR="00FB438F" w:rsidRPr="00720B94">
        <w:t>should</w:t>
      </w:r>
      <w:r w:rsidR="00E03790" w:rsidRPr="00720B94">
        <w:t xml:space="preserve"> be cleaned to remove dust and fingerprints that may block the germicidal effectiveness of the ultraviolet light, and the UV intensity </w:t>
      </w:r>
      <w:r w:rsidR="00FB438F" w:rsidRPr="00720B94">
        <w:t>should</w:t>
      </w:r>
      <w:r w:rsidR="00E03790" w:rsidRPr="00720B94">
        <w:t xml:space="preserve"> be checked with a UV meter. Personnel should avoid exposure to light in this wavelength region since brief exposure can cause erythema (sunburn) and eye injury. </w:t>
      </w:r>
    </w:p>
    <w:p w14:paraId="20F5CEF8" w14:textId="69897D4D" w:rsidR="00DA1B41" w:rsidRPr="00720B94" w:rsidRDefault="00F43DE8" w:rsidP="00720B94">
      <w:pPr>
        <w:pStyle w:val="Heading1"/>
      </w:pPr>
      <w:bookmarkStart w:id="68" w:name="_Toc192509370"/>
      <w:r w:rsidRPr="00720B94">
        <w:t>Emergency Plans</w:t>
      </w:r>
      <w:bookmarkEnd w:id="68"/>
    </w:p>
    <w:p w14:paraId="3693994D" w14:textId="6AFADB3A" w:rsidR="00CD4845" w:rsidRPr="00720B94" w:rsidRDefault="00780B04" w:rsidP="00720B94">
      <w:r w:rsidRPr="00720B94">
        <w:t xml:space="preserve">See </w:t>
      </w:r>
      <w:r w:rsidR="00B34A56" w:rsidRPr="00720B94">
        <w:t xml:space="preserve">the UWL </w:t>
      </w:r>
      <w:r w:rsidR="00CD4845" w:rsidRPr="00720B94">
        <w:t>Laboratory Safety &amp; Chemical Disposal Guide</w:t>
      </w:r>
      <w:r w:rsidR="00B25515" w:rsidRPr="00720B94">
        <w:t>,</w:t>
      </w:r>
      <w:r w:rsidR="00CD4845" w:rsidRPr="00720B94">
        <w:t xml:space="preserve"> </w:t>
      </w:r>
      <w:hyperlink r:id="rId107" w:history="1">
        <w:r w:rsidR="00CD4845" w:rsidRPr="00717676">
          <w:rPr>
            <w:rStyle w:val="Hyperlink"/>
            <w:color w:val="007D89" w:themeColor="accent3" w:themeShade="BF"/>
          </w:rPr>
          <w:t>Part E: Emergency Procedures</w:t>
        </w:r>
      </w:hyperlink>
      <w:r w:rsidR="00CD4845" w:rsidRPr="00720B94">
        <w:t xml:space="preserve">. </w:t>
      </w:r>
    </w:p>
    <w:p w14:paraId="676170AD" w14:textId="7ACE104E" w:rsidR="000E4DDA" w:rsidRPr="00720B94" w:rsidRDefault="00B34A56" w:rsidP="00720B94">
      <w:r w:rsidRPr="00720B94">
        <w:t xml:space="preserve">Also see the </w:t>
      </w:r>
      <w:hyperlink r:id="rId108" w:history="1">
        <w:r w:rsidR="00780B04" w:rsidRPr="00717676">
          <w:rPr>
            <w:rStyle w:val="Hyperlink"/>
            <w:color w:val="007D89" w:themeColor="accent3" w:themeShade="BF"/>
          </w:rPr>
          <w:t>UW</w:t>
        </w:r>
        <w:r w:rsidRPr="00717676">
          <w:rPr>
            <w:rStyle w:val="Hyperlink"/>
            <w:color w:val="007D89" w:themeColor="accent3" w:themeShade="BF"/>
          </w:rPr>
          <w:t>L</w:t>
        </w:r>
        <w:r w:rsidR="00780B04" w:rsidRPr="00717676">
          <w:rPr>
            <w:rStyle w:val="Hyperlink"/>
            <w:color w:val="007D89" w:themeColor="accent3" w:themeShade="BF"/>
          </w:rPr>
          <w:t xml:space="preserve"> Emergency Response Plan</w:t>
        </w:r>
      </w:hyperlink>
      <w:r w:rsidR="00780B04" w:rsidRPr="00720B94">
        <w:t xml:space="preserve"> for comprehensive information regarding emergency plans</w:t>
      </w:r>
      <w:r w:rsidR="00504EE9" w:rsidRPr="00720B94">
        <w:t xml:space="preserve"> and</w:t>
      </w:r>
      <w:r w:rsidR="001F6B54" w:rsidRPr="00720B94">
        <w:t xml:space="preserve"> below for specific section</w:t>
      </w:r>
      <w:r w:rsidR="00043991" w:rsidRPr="00720B94">
        <w:t>s</w:t>
      </w:r>
      <w:r w:rsidR="00504EE9" w:rsidRPr="00720B94">
        <w:t xml:space="preserve"> </w:t>
      </w:r>
      <w:r w:rsidR="002C7D83" w:rsidRPr="00720B94">
        <w:t xml:space="preserve">of the plan </w:t>
      </w:r>
      <w:r w:rsidR="00504EE9" w:rsidRPr="00720B94">
        <w:t>most relevant to biosafety</w:t>
      </w:r>
      <w:r w:rsidR="001F6B54" w:rsidRPr="00720B94">
        <w:t>:</w:t>
      </w:r>
    </w:p>
    <w:p w14:paraId="70741A75" w14:textId="1FFE9793" w:rsidR="00C17A0F" w:rsidRPr="00720B94" w:rsidRDefault="00C17A0F" w:rsidP="0092380E">
      <w:pPr>
        <w:pStyle w:val="ListParagraph"/>
        <w:numPr>
          <w:ilvl w:val="0"/>
          <w:numId w:val="35"/>
        </w:numPr>
        <w:rPr>
          <w:sz w:val="22"/>
          <w:szCs w:val="22"/>
        </w:rPr>
      </w:pPr>
      <w:hyperlink r:id="rId109" w:anchor="AIRBORNE" w:history="1">
        <w:r w:rsidRPr="00717676">
          <w:rPr>
            <w:rStyle w:val="Hyperlink"/>
            <w:color w:val="007D89" w:themeColor="accent3" w:themeShade="BF"/>
            <w:sz w:val="22"/>
            <w:szCs w:val="22"/>
          </w:rPr>
          <w:t>Airborne releases</w:t>
        </w:r>
      </w:hyperlink>
      <w:r w:rsidRPr="00720B94">
        <w:rPr>
          <w:sz w:val="22"/>
          <w:szCs w:val="22"/>
        </w:rPr>
        <w:t xml:space="preserve"> </w:t>
      </w:r>
    </w:p>
    <w:p w14:paraId="31C736B8" w14:textId="06453C91" w:rsidR="001F6B54" w:rsidRPr="00720B94" w:rsidRDefault="001F6B54" w:rsidP="0092380E">
      <w:pPr>
        <w:pStyle w:val="ListParagraph"/>
        <w:numPr>
          <w:ilvl w:val="0"/>
          <w:numId w:val="34"/>
        </w:numPr>
        <w:rPr>
          <w:sz w:val="22"/>
          <w:szCs w:val="22"/>
        </w:rPr>
      </w:pPr>
      <w:hyperlink r:id="rId110" w:anchor="CHEMICAL" w:history="1">
        <w:r w:rsidRPr="00717676">
          <w:rPr>
            <w:rStyle w:val="Hyperlink"/>
            <w:color w:val="007D89" w:themeColor="accent3" w:themeShade="BF"/>
            <w:sz w:val="22"/>
            <w:szCs w:val="22"/>
          </w:rPr>
          <w:t xml:space="preserve">Chemical </w:t>
        </w:r>
        <w:r w:rsidR="00C17A0F" w:rsidRPr="00717676">
          <w:rPr>
            <w:rStyle w:val="Hyperlink"/>
            <w:color w:val="007D89" w:themeColor="accent3" w:themeShade="BF"/>
            <w:sz w:val="22"/>
            <w:szCs w:val="22"/>
          </w:rPr>
          <w:t>s</w:t>
        </w:r>
        <w:r w:rsidRPr="00717676">
          <w:rPr>
            <w:rStyle w:val="Hyperlink"/>
            <w:color w:val="007D89" w:themeColor="accent3" w:themeShade="BF"/>
            <w:sz w:val="22"/>
            <w:szCs w:val="22"/>
          </w:rPr>
          <w:t>pill</w:t>
        </w:r>
      </w:hyperlink>
      <w:r w:rsidRPr="00720B94">
        <w:rPr>
          <w:sz w:val="22"/>
          <w:szCs w:val="22"/>
        </w:rPr>
        <w:t xml:space="preserve"> </w:t>
      </w:r>
    </w:p>
    <w:p w14:paraId="2F86096E" w14:textId="0746A5FD" w:rsidR="00220415" w:rsidRPr="00720B94" w:rsidRDefault="00220415" w:rsidP="0092380E">
      <w:pPr>
        <w:pStyle w:val="ListParagraph"/>
        <w:numPr>
          <w:ilvl w:val="0"/>
          <w:numId w:val="34"/>
        </w:numPr>
        <w:rPr>
          <w:sz w:val="22"/>
          <w:szCs w:val="22"/>
        </w:rPr>
      </w:pPr>
      <w:hyperlink r:id="rId111" w:anchor="EXPLOSION" w:history="1">
        <w:r w:rsidRPr="00717676">
          <w:rPr>
            <w:rStyle w:val="Hyperlink"/>
            <w:color w:val="007D89" w:themeColor="accent3" w:themeShade="BF"/>
            <w:sz w:val="22"/>
            <w:szCs w:val="22"/>
          </w:rPr>
          <w:t>Explosion</w:t>
        </w:r>
      </w:hyperlink>
      <w:r w:rsidRPr="00720B94">
        <w:rPr>
          <w:sz w:val="22"/>
          <w:szCs w:val="22"/>
        </w:rPr>
        <w:t xml:space="preserve"> </w:t>
      </w:r>
    </w:p>
    <w:p w14:paraId="4516F726" w14:textId="1C5B4C59" w:rsidR="001F6B54" w:rsidRPr="00720B94" w:rsidRDefault="00043991" w:rsidP="0092380E">
      <w:pPr>
        <w:pStyle w:val="ListParagraph"/>
        <w:numPr>
          <w:ilvl w:val="0"/>
          <w:numId w:val="34"/>
        </w:numPr>
        <w:rPr>
          <w:sz w:val="22"/>
          <w:szCs w:val="22"/>
        </w:rPr>
      </w:pPr>
      <w:hyperlink r:id="rId112" w:anchor="XICOMMPLANMEDIACOMMPLAN" w:history="1">
        <w:r w:rsidRPr="00717676">
          <w:rPr>
            <w:rStyle w:val="Hyperlink"/>
            <w:color w:val="007D89" w:themeColor="accent3" w:themeShade="BF"/>
            <w:sz w:val="22"/>
            <w:szCs w:val="22"/>
          </w:rPr>
          <w:t>Fire</w:t>
        </w:r>
      </w:hyperlink>
      <w:r w:rsidRPr="00720B94">
        <w:rPr>
          <w:sz w:val="22"/>
          <w:szCs w:val="22"/>
        </w:rPr>
        <w:t xml:space="preserve"> </w:t>
      </w:r>
    </w:p>
    <w:p w14:paraId="3B8446E6" w14:textId="72A50BD2" w:rsidR="00CE50B0" w:rsidRPr="00720B94" w:rsidRDefault="00CE50B0" w:rsidP="0092380E">
      <w:pPr>
        <w:pStyle w:val="ListParagraph"/>
        <w:numPr>
          <w:ilvl w:val="0"/>
          <w:numId w:val="34"/>
        </w:numPr>
        <w:rPr>
          <w:sz w:val="22"/>
          <w:szCs w:val="22"/>
        </w:rPr>
      </w:pPr>
      <w:hyperlink r:id="rId113" w:anchor="MEDICALANDFIRSTAID" w:history="1">
        <w:r w:rsidRPr="00717676">
          <w:rPr>
            <w:rStyle w:val="Hyperlink"/>
            <w:color w:val="007D89" w:themeColor="accent3" w:themeShade="BF"/>
            <w:sz w:val="22"/>
            <w:szCs w:val="22"/>
          </w:rPr>
          <w:t>Medical &amp; first aid</w:t>
        </w:r>
      </w:hyperlink>
      <w:r w:rsidRPr="00720B94">
        <w:rPr>
          <w:sz w:val="22"/>
          <w:szCs w:val="22"/>
        </w:rPr>
        <w:t xml:space="preserve"> </w:t>
      </w:r>
    </w:p>
    <w:p w14:paraId="12E6D36F" w14:textId="2CC0D276" w:rsidR="00DC456E" w:rsidRPr="00720B94" w:rsidRDefault="00DC456E" w:rsidP="0092380E">
      <w:pPr>
        <w:pStyle w:val="ListParagraph"/>
        <w:numPr>
          <w:ilvl w:val="0"/>
          <w:numId w:val="34"/>
        </w:numPr>
        <w:spacing w:after="160"/>
        <w:rPr>
          <w:sz w:val="22"/>
          <w:szCs w:val="22"/>
        </w:rPr>
      </w:pPr>
      <w:hyperlink r:id="rId114" w:anchor="RADIATIONEMERGENCY" w:history="1">
        <w:r w:rsidRPr="00717676">
          <w:rPr>
            <w:rStyle w:val="Hyperlink"/>
            <w:color w:val="007D89" w:themeColor="accent3" w:themeShade="BF"/>
            <w:sz w:val="22"/>
            <w:szCs w:val="22"/>
          </w:rPr>
          <w:t>Radiation emergency</w:t>
        </w:r>
      </w:hyperlink>
      <w:r w:rsidRPr="00720B94">
        <w:rPr>
          <w:sz w:val="22"/>
          <w:szCs w:val="22"/>
        </w:rPr>
        <w:t xml:space="preserve"> </w:t>
      </w:r>
    </w:p>
    <w:p w14:paraId="5A66CF37" w14:textId="112F11AE" w:rsidR="00504EE9" w:rsidRPr="00720B94" w:rsidRDefault="00504EE9" w:rsidP="00720B94">
      <w:r w:rsidRPr="00720B94">
        <w:t>Emergency plans should be tailored for the laboratory. The laboratory supervisor should prepare instructions specifying immediate steps to be taken</w:t>
      </w:r>
      <w:r w:rsidR="007829DF" w:rsidRPr="00720B94">
        <w:t>,</w:t>
      </w:r>
      <w:r w:rsidRPr="00720B94">
        <w:t xml:space="preserve"> and all personnel should understand basic emergency measures. It is recommended the instructions are displayed prominently in the laboratory and annually reviewed with personnel. No single plan will apply to all situations, but the following general principles should be considered: </w:t>
      </w:r>
    </w:p>
    <w:p w14:paraId="3528523D" w14:textId="77777777" w:rsidR="00504EE9" w:rsidRPr="00720B94" w:rsidRDefault="00504EE9" w:rsidP="0092380E">
      <w:pPr>
        <w:pStyle w:val="ListParagraph"/>
        <w:numPr>
          <w:ilvl w:val="0"/>
          <w:numId w:val="23"/>
        </w:numPr>
        <w:rPr>
          <w:sz w:val="22"/>
          <w:szCs w:val="22"/>
        </w:rPr>
      </w:pPr>
      <w:r w:rsidRPr="00720B94">
        <w:rPr>
          <w:sz w:val="22"/>
          <w:szCs w:val="22"/>
        </w:rPr>
        <w:t xml:space="preserve">Always know the location of emergency response materials, such as spill kits, fire extinguishers, eyewashes, safety showers, first aid kits, automated exterior defibrillators (AED), contact numbers and first aid kits. </w:t>
      </w:r>
    </w:p>
    <w:p w14:paraId="66E7BF28" w14:textId="77777777" w:rsidR="00504EE9" w:rsidRPr="00720B94" w:rsidRDefault="00504EE9" w:rsidP="0092380E">
      <w:pPr>
        <w:pStyle w:val="ListParagraph"/>
        <w:numPr>
          <w:ilvl w:val="0"/>
          <w:numId w:val="23"/>
        </w:numPr>
        <w:rPr>
          <w:sz w:val="22"/>
          <w:szCs w:val="22"/>
        </w:rPr>
      </w:pPr>
      <w:r w:rsidRPr="00720B94">
        <w:rPr>
          <w:sz w:val="22"/>
          <w:szCs w:val="22"/>
        </w:rPr>
        <w:t xml:space="preserve">Attention to immediate personal danger overrides containment considerations. </w:t>
      </w:r>
    </w:p>
    <w:p w14:paraId="639D48EE" w14:textId="77777777" w:rsidR="00504EE9" w:rsidRPr="00720B94" w:rsidRDefault="00504EE9" w:rsidP="0092380E">
      <w:pPr>
        <w:pStyle w:val="ListParagraph"/>
        <w:numPr>
          <w:ilvl w:val="0"/>
          <w:numId w:val="23"/>
        </w:numPr>
        <w:rPr>
          <w:sz w:val="22"/>
          <w:szCs w:val="22"/>
        </w:rPr>
      </w:pPr>
      <w:r w:rsidRPr="00720B94">
        <w:rPr>
          <w:sz w:val="22"/>
          <w:szCs w:val="22"/>
        </w:rPr>
        <w:t xml:space="preserve">If necessary, call 9-1-1 or University Police (non-emergency: 608.789.9000, emergency: 608.789.9999). </w:t>
      </w:r>
    </w:p>
    <w:p w14:paraId="2403C5C7" w14:textId="4902E79C" w:rsidR="00504EE9" w:rsidRPr="00720B94" w:rsidRDefault="00504EE9" w:rsidP="0092380E">
      <w:pPr>
        <w:pStyle w:val="ListParagraph"/>
        <w:numPr>
          <w:ilvl w:val="0"/>
          <w:numId w:val="23"/>
        </w:numPr>
        <w:rPr>
          <w:sz w:val="22"/>
          <w:szCs w:val="22"/>
        </w:rPr>
      </w:pPr>
      <w:r w:rsidRPr="00720B94">
        <w:rPr>
          <w:sz w:val="22"/>
          <w:szCs w:val="22"/>
        </w:rPr>
        <w:t>Fire, security, and police personnel may enter a BSL1 or BSL2 laboratory</w:t>
      </w:r>
      <w:r w:rsidR="006C5562" w:rsidRPr="00720B94">
        <w:rPr>
          <w:sz w:val="22"/>
          <w:szCs w:val="22"/>
        </w:rPr>
        <w:t>,</w:t>
      </w:r>
      <w:r w:rsidRPr="00720B94">
        <w:rPr>
          <w:sz w:val="22"/>
          <w:szCs w:val="22"/>
        </w:rPr>
        <w:t xml:space="preserve"> as they are adequately prepared to enter BSL1 and BSL2 biological laboratories. For BSL3 biological laboratories, a lab-specific plan needs to be in place for emergency personnel. </w:t>
      </w:r>
    </w:p>
    <w:p w14:paraId="3FC72BAD" w14:textId="77777777" w:rsidR="00504EE9" w:rsidRPr="00720B94" w:rsidRDefault="00504EE9" w:rsidP="0092380E">
      <w:pPr>
        <w:pStyle w:val="ListParagraph"/>
        <w:numPr>
          <w:ilvl w:val="0"/>
          <w:numId w:val="23"/>
        </w:numPr>
        <w:rPr>
          <w:sz w:val="22"/>
          <w:szCs w:val="22"/>
        </w:rPr>
      </w:pPr>
      <w:r w:rsidRPr="00720B94">
        <w:rPr>
          <w:sz w:val="22"/>
          <w:szCs w:val="22"/>
        </w:rPr>
        <w:t>The supervisor should always be notified.</w:t>
      </w:r>
    </w:p>
    <w:p w14:paraId="14AB0E72" w14:textId="046ED084" w:rsidR="00504EE9" w:rsidRPr="00720B94" w:rsidRDefault="00504EE9" w:rsidP="0092380E">
      <w:pPr>
        <w:pStyle w:val="ListParagraph"/>
        <w:numPr>
          <w:ilvl w:val="0"/>
          <w:numId w:val="23"/>
        </w:numPr>
        <w:spacing w:after="160"/>
        <w:rPr>
          <w:sz w:val="22"/>
          <w:szCs w:val="22"/>
        </w:rPr>
      </w:pPr>
      <w:r w:rsidRPr="00720B94">
        <w:rPr>
          <w:sz w:val="22"/>
          <w:szCs w:val="22"/>
        </w:rPr>
        <w:t xml:space="preserve">Notify </w:t>
      </w:r>
      <w:r w:rsidR="00320EEC" w:rsidRPr="00720B94">
        <w:rPr>
          <w:sz w:val="22"/>
          <w:szCs w:val="22"/>
        </w:rPr>
        <w:t>the IBC</w:t>
      </w:r>
      <w:r w:rsidRPr="00720B94">
        <w:rPr>
          <w:sz w:val="22"/>
          <w:szCs w:val="22"/>
        </w:rPr>
        <w:t xml:space="preserve"> of any spills outside containment, potential exposures, violations of the NIH Guidelines, or any research-related accidents and illnesses.</w:t>
      </w:r>
    </w:p>
    <w:p w14:paraId="5520D3D9" w14:textId="56B91515" w:rsidR="003F5742" w:rsidRPr="00720B94" w:rsidRDefault="003F5742" w:rsidP="00720B94">
      <w:pPr>
        <w:pStyle w:val="Heading2"/>
      </w:pPr>
      <w:bookmarkStart w:id="69" w:name="_Toc192509371"/>
      <w:r w:rsidRPr="00720B94">
        <w:t>Exposure Response</w:t>
      </w:r>
      <w:bookmarkEnd w:id="69"/>
    </w:p>
    <w:p w14:paraId="14432119" w14:textId="33AB4B73" w:rsidR="00FA4C8B" w:rsidRPr="00720B94" w:rsidRDefault="003F5742" w:rsidP="00720B94">
      <w:r w:rsidRPr="00720B94">
        <w:t>PIs are asked in the context of the biosafety protocol to consider the consequences of an accidental exposure to agents (e.g., microbes, DNA, toxins) used in their research and prepare an appropriate response procedure. At times</w:t>
      </w:r>
      <w:r w:rsidR="00480108" w:rsidRPr="00720B94">
        <w:t>,</w:t>
      </w:r>
      <w:r w:rsidRPr="00720B94">
        <w:t xml:space="preserve"> it is difficult to ascertain whether an illness is laboratory or community acquired, and you should not discount the possibility that an illness could be related to research activities. For any possible or identifiable exposure (e.g., ingestion, skin puncture, inhalation) to a hazardous substance, individuals must seek immediate medical assessment</w:t>
      </w:r>
      <w:r w:rsidR="00320EEC" w:rsidRPr="00720B94">
        <w:t>.</w:t>
      </w:r>
    </w:p>
    <w:p w14:paraId="564A8495" w14:textId="7B2C09F6" w:rsidR="00FA4C8B" w:rsidRPr="00720B94" w:rsidRDefault="003F5742" w:rsidP="00720B94">
      <w:r w:rsidRPr="00720B94">
        <w:t xml:space="preserve">Be prepared to respond to </w:t>
      </w:r>
      <w:r w:rsidR="107E7B1A" w:rsidRPr="00720B94">
        <w:t>accidental</w:t>
      </w:r>
      <w:r w:rsidRPr="00720B94">
        <w:t xml:space="preserve"> exposure. The best approach is to have a well</w:t>
      </w:r>
      <w:r w:rsidR="00FA4C8B" w:rsidRPr="00720B94">
        <w:t>-</w:t>
      </w:r>
      <w:r w:rsidRPr="00720B94">
        <w:t xml:space="preserve">prepared exposure response plan and to provide training to personnel according to this plan. Following are the basic elements of a plan: </w:t>
      </w:r>
    </w:p>
    <w:p w14:paraId="78DD12A4" w14:textId="77777777" w:rsidR="00FA4C8B" w:rsidRPr="00720B94" w:rsidRDefault="003F5742" w:rsidP="0092380E">
      <w:pPr>
        <w:pStyle w:val="ListParagraph"/>
        <w:numPr>
          <w:ilvl w:val="0"/>
          <w:numId w:val="24"/>
        </w:numPr>
        <w:rPr>
          <w:sz w:val="22"/>
          <w:szCs w:val="22"/>
        </w:rPr>
      </w:pPr>
      <w:r w:rsidRPr="00720B94">
        <w:rPr>
          <w:sz w:val="22"/>
          <w:szCs w:val="22"/>
        </w:rPr>
        <w:t xml:space="preserve">A description of the agent(s) and the signs and symptoms of infection or intoxication </w:t>
      </w:r>
    </w:p>
    <w:p w14:paraId="216448B0" w14:textId="77777777" w:rsidR="009332BB" w:rsidRPr="00720B94" w:rsidRDefault="003F5742" w:rsidP="0092380E">
      <w:pPr>
        <w:pStyle w:val="ListParagraph"/>
        <w:numPr>
          <w:ilvl w:val="0"/>
          <w:numId w:val="24"/>
        </w:numPr>
        <w:rPr>
          <w:sz w:val="22"/>
          <w:szCs w:val="22"/>
        </w:rPr>
      </w:pPr>
      <w:r w:rsidRPr="00720B94">
        <w:rPr>
          <w:sz w:val="22"/>
          <w:szCs w:val="22"/>
        </w:rPr>
        <w:t xml:space="preserve">Distinct characteristics of the laboratory strain(s), such as known antibiotic resistance, transmissibility, atypical tissue tropism, foreign genes that alter pathogenicity, and so forth. </w:t>
      </w:r>
    </w:p>
    <w:p w14:paraId="73F80414" w14:textId="77777777" w:rsidR="009332BB" w:rsidRPr="00720B94" w:rsidRDefault="003F5742" w:rsidP="0092380E">
      <w:pPr>
        <w:pStyle w:val="ListParagraph"/>
        <w:numPr>
          <w:ilvl w:val="0"/>
          <w:numId w:val="24"/>
        </w:numPr>
        <w:rPr>
          <w:sz w:val="22"/>
          <w:szCs w:val="22"/>
        </w:rPr>
      </w:pPr>
      <w:r w:rsidRPr="00720B94">
        <w:rPr>
          <w:sz w:val="22"/>
          <w:szCs w:val="22"/>
        </w:rPr>
        <w:lastRenderedPageBreak/>
        <w:t xml:space="preserve">Recommendations for treatment regarding effective drugs, quarantine, and so forth. </w:t>
      </w:r>
    </w:p>
    <w:p w14:paraId="156A9D8C" w14:textId="4AEB957B" w:rsidR="003F5742" w:rsidRPr="00720B94" w:rsidRDefault="003F5742" w:rsidP="0092380E">
      <w:pPr>
        <w:pStyle w:val="ListParagraph"/>
        <w:numPr>
          <w:ilvl w:val="0"/>
          <w:numId w:val="24"/>
        </w:numPr>
        <w:spacing w:after="160"/>
        <w:rPr>
          <w:sz w:val="22"/>
          <w:szCs w:val="22"/>
        </w:rPr>
      </w:pPr>
      <w:r w:rsidRPr="00720B94">
        <w:rPr>
          <w:sz w:val="22"/>
          <w:szCs w:val="22"/>
        </w:rPr>
        <w:t xml:space="preserve">A test to establish a history of exposure at the start of employment and periodically thereafter may be appropriate for work with a few pathogens such as Mycobacterium tuberculosis. </w:t>
      </w:r>
    </w:p>
    <w:p w14:paraId="4AD26613" w14:textId="3F03C17B" w:rsidR="009332BB" w:rsidRPr="00720B94" w:rsidRDefault="009332BB" w:rsidP="00720B94">
      <w:pPr>
        <w:pStyle w:val="Heading2"/>
      </w:pPr>
      <w:bookmarkStart w:id="70" w:name="_Toc192509372"/>
      <w:r w:rsidRPr="00720B94">
        <w:t>Biohazardous Spills</w:t>
      </w:r>
      <w:bookmarkEnd w:id="70"/>
    </w:p>
    <w:p w14:paraId="00E94DB7" w14:textId="2DC6FDF5" w:rsidR="009330C2" w:rsidRPr="00720B94" w:rsidRDefault="00026555" w:rsidP="00720B94">
      <w:r w:rsidRPr="00720B94">
        <w:t>Laboratories should be prepared to immediately address biohazardous spills by training personnel in advance and having appropriate spill-control materials in place. Note that biohazardous materials being transported outside of laboratories, including to autoclaves, should be in secondary containment capable of completely containing the spills.</w:t>
      </w:r>
    </w:p>
    <w:p w14:paraId="0E4F4F2C" w14:textId="60201CC8" w:rsidR="00624D87" w:rsidRPr="00720B94" w:rsidRDefault="00026555" w:rsidP="00720B94">
      <w:r w:rsidRPr="00720B94">
        <w:t xml:space="preserve">In addition to spill-prevention procedures, information regarding spill-control procedures should be displayed in laboratories and periodically reviewed with personnel. </w:t>
      </w:r>
      <w:r w:rsidRPr="00720B94">
        <w:rPr>
          <w:b/>
          <w:bCs/>
        </w:rPr>
        <w:t>In the event of emergency, call 911</w:t>
      </w:r>
      <w:r w:rsidR="009330C2" w:rsidRPr="00720B94">
        <w:t>.</w:t>
      </w:r>
      <w:r w:rsidRPr="00720B94">
        <w:t xml:space="preserve"> </w:t>
      </w:r>
      <w:r w:rsidR="00372392" w:rsidRPr="00720B94">
        <w:t>Environmental Health &amp; Safety can be contacted</w:t>
      </w:r>
      <w:r w:rsidRPr="00720B94">
        <w:t xml:space="preserve"> for additional assistance and information at </w:t>
      </w:r>
      <w:r w:rsidR="00372392" w:rsidRPr="00720B94">
        <w:t>608.785.6800</w:t>
      </w:r>
      <w:r w:rsidRPr="00720B94">
        <w:t xml:space="preserve">. More emergency contact information is available </w:t>
      </w:r>
      <w:r w:rsidR="00320A30" w:rsidRPr="00720B94">
        <w:t xml:space="preserve">in UWL’s </w:t>
      </w:r>
      <w:hyperlink r:id="rId115" w:history="1">
        <w:r w:rsidR="00320A30" w:rsidRPr="00717676">
          <w:rPr>
            <w:rStyle w:val="Hyperlink"/>
            <w:color w:val="007D89" w:themeColor="accent3" w:themeShade="BF"/>
          </w:rPr>
          <w:t>Emergency Response Plan</w:t>
        </w:r>
      </w:hyperlink>
      <w:r w:rsidR="00320A30" w:rsidRPr="00720B94">
        <w:t>.</w:t>
      </w:r>
      <w:r w:rsidR="004203A7" w:rsidRPr="00720B94">
        <w:t xml:space="preserve"> </w:t>
      </w:r>
    </w:p>
    <w:p w14:paraId="544E0D71" w14:textId="73132418" w:rsidR="00A11D9E" w:rsidRPr="00720B94" w:rsidRDefault="00A11D9E" w:rsidP="00720B94">
      <w:pPr>
        <w:pStyle w:val="Heading2"/>
      </w:pPr>
      <w:bookmarkStart w:id="71" w:name="_Toc192509373"/>
      <w:r w:rsidRPr="00720B94">
        <w:t>Recommended Supplies</w:t>
      </w:r>
      <w:bookmarkEnd w:id="71"/>
    </w:p>
    <w:p w14:paraId="405C9698" w14:textId="03C8EA90" w:rsidR="00B01D8E" w:rsidRPr="00720B94" w:rsidRDefault="00C36CFD" w:rsidP="00720B94">
      <w:r w:rsidRPr="00720B94">
        <w:t>Appropriate materials to handle biohazardous spills should be prepared in advance, placed in strategic locations inside or outside the laboratory, and all laboratory personnel informed of the location(s). The items that are generally recommended include personal protective equipment (PPE), absorbent materials, disinfectant(s), clean-up tools, and signage. Contact Environmental Health &amp; Safety for more information on preparing a spill kit.</w:t>
      </w:r>
    </w:p>
    <w:p w14:paraId="351629E8" w14:textId="7F0CF606" w:rsidR="00B268CF" w:rsidRPr="00720B94" w:rsidRDefault="00B268CF" w:rsidP="00720B94">
      <w:pPr>
        <w:pStyle w:val="Heading1"/>
      </w:pPr>
      <w:bookmarkStart w:id="72" w:name="_Toc192509374"/>
      <w:r w:rsidRPr="00720B94">
        <w:t>Considerations for Teaching Laboratories</w:t>
      </w:r>
      <w:bookmarkEnd w:id="72"/>
    </w:p>
    <w:p w14:paraId="2F47377F" w14:textId="2AA62666" w:rsidR="00B268CF" w:rsidRPr="00720B94" w:rsidRDefault="0043433B" w:rsidP="00720B94">
      <w:r w:rsidRPr="00720B94">
        <w:t>A teaching laboratory/space is a specialized environment where students are exposed to scientific techniques</w:t>
      </w:r>
      <w:r w:rsidR="001D6806" w:rsidRPr="00720B94">
        <w:t xml:space="preserve"> and</w:t>
      </w:r>
      <w:r w:rsidRPr="00720B94">
        <w:t xml:space="preserve"> experimental design</w:t>
      </w:r>
      <w:r w:rsidR="00B15137" w:rsidRPr="00720B94">
        <w:t>,</w:t>
      </w:r>
      <w:r w:rsidRPr="00720B94">
        <w:t xml:space="preserve"> and basic biosafety is integrated into the curriculum. Adding biosafety to the teaching curriculum not only promotes a safe </w:t>
      </w:r>
      <w:r w:rsidR="6D8BDFE8" w:rsidRPr="00720B94">
        <w:t>environment but</w:t>
      </w:r>
      <w:r w:rsidRPr="00720B94">
        <w:t xml:space="preserve"> also enhances the comprehensive experience and education of the students. In preparation for the course, instructors </w:t>
      </w:r>
      <w:r w:rsidR="0028701F" w:rsidRPr="00720B94">
        <w:t>should</w:t>
      </w:r>
      <w:r w:rsidRPr="00720B94">
        <w:t xml:space="preserve"> consider the following when designing the curriculum and choosing the experiment:</w:t>
      </w:r>
    </w:p>
    <w:p w14:paraId="6442AC9E" w14:textId="77777777" w:rsidR="00A605B4" w:rsidRPr="00720B94" w:rsidRDefault="005619B9" w:rsidP="0092380E">
      <w:pPr>
        <w:pStyle w:val="ListParagraph"/>
        <w:numPr>
          <w:ilvl w:val="0"/>
          <w:numId w:val="25"/>
        </w:numPr>
        <w:rPr>
          <w:sz w:val="22"/>
          <w:szCs w:val="22"/>
        </w:rPr>
      </w:pPr>
      <w:r w:rsidRPr="00720B94">
        <w:rPr>
          <w:sz w:val="22"/>
          <w:szCs w:val="22"/>
        </w:rPr>
        <w:t xml:space="preserve">Hazard communication plan and emergency plan </w:t>
      </w:r>
    </w:p>
    <w:p w14:paraId="4C8CEA3D" w14:textId="2BC1CE33" w:rsidR="005619B9" w:rsidRPr="00720B94" w:rsidRDefault="00A605B4" w:rsidP="0092380E">
      <w:pPr>
        <w:pStyle w:val="ListParagraph"/>
        <w:numPr>
          <w:ilvl w:val="1"/>
          <w:numId w:val="25"/>
        </w:numPr>
        <w:rPr>
          <w:sz w:val="22"/>
          <w:szCs w:val="22"/>
        </w:rPr>
      </w:pPr>
      <w:r w:rsidRPr="00720B94">
        <w:rPr>
          <w:sz w:val="22"/>
          <w:szCs w:val="22"/>
        </w:rPr>
        <w:t xml:space="preserve">See </w:t>
      </w:r>
      <w:r w:rsidR="006917CC" w:rsidRPr="00720B94">
        <w:rPr>
          <w:sz w:val="22"/>
          <w:szCs w:val="22"/>
        </w:rPr>
        <w:t>the EHS</w:t>
      </w:r>
      <w:r w:rsidRPr="00720B94">
        <w:rPr>
          <w:sz w:val="22"/>
          <w:szCs w:val="22"/>
        </w:rPr>
        <w:t xml:space="preserve"> </w:t>
      </w:r>
      <w:hyperlink r:id="rId116" w:history="1">
        <w:r w:rsidRPr="00717676">
          <w:rPr>
            <w:rStyle w:val="Hyperlink"/>
            <w:color w:val="007D89" w:themeColor="accent3" w:themeShade="BF"/>
            <w:sz w:val="22"/>
            <w:szCs w:val="22"/>
          </w:rPr>
          <w:t>Hazard Communication Program policy</w:t>
        </w:r>
      </w:hyperlink>
      <w:r w:rsidR="006917CC" w:rsidRPr="00720B94">
        <w:rPr>
          <w:sz w:val="22"/>
          <w:szCs w:val="22"/>
        </w:rPr>
        <w:t>.</w:t>
      </w:r>
      <w:r w:rsidRPr="00720B94">
        <w:rPr>
          <w:sz w:val="22"/>
          <w:szCs w:val="22"/>
        </w:rPr>
        <w:t xml:space="preserve"> </w:t>
      </w:r>
    </w:p>
    <w:p w14:paraId="728500A7" w14:textId="7F26F0A4" w:rsidR="00863CC8" w:rsidRPr="00720B94" w:rsidRDefault="006F5241" w:rsidP="0092380E">
      <w:pPr>
        <w:pStyle w:val="ListParagraph"/>
        <w:numPr>
          <w:ilvl w:val="0"/>
          <w:numId w:val="25"/>
        </w:numPr>
        <w:rPr>
          <w:sz w:val="22"/>
          <w:szCs w:val="22"/>
        </w:rPr>
      </w:pPr>
      <w:r w:rsidRPr="00720B94">
        <w:rPr>
          <w:sz w:val="22"/>
          <w:szCs w:val="22"/>
        </w:rPr>
        <w:t>T</w:t>
      </w:r>
      <w:r w:rsidR="005619B9" w:rsidRPr="00720B94">
        <w:rPr>
          <w:sz w:val="22"/>
          <w:szCs w:val="22"/>
        </w:rPr>
        <w:t xml:space="preserve">raining </w:t>
      </w:r>
      <w:r w:rsidR="00BC6C4E" w:rsidRPr="00720B94">
        <w:rPr>
          <w:sz w:val="22"/>
          <w:szCs w:val="22"/>
        </w:rPr>
        <w:t xml:space="preserve">resources </w:t>
      </w:r>
      <w:r w:rsidR="005619B9" w:rsidRPr="00720B94">
        <w:rPr>
          <w:sz w:val="22"/>
          <w:szCs w:val="22"/>
        </w:rPr>
        <w:t>for students, instructors</w:t>
      </w:r>
      <w:r w:rsidR="0028701F" w:rsidRPr="00720B94">
        <w:rPr>
          <w:sz w:val="22"/>
          <w:szCs w:val="22"/>
        </w:rPr>
        <w:t>,</w:t>
      </w:r>
      <w:r w:rsidR="005619B9" w:rsidRPr="00720B94">
        <w:rPr>
          <w:sz w:val="22"/>
          <w:szCs w:val="22"/>
        </w:rPr>
        <w:t xml:space="preserve"> and/or </w:t>
      </w:r>
      <w:r w:rsidR="00863CC8" w:rsidRPr="00720B94">
        <w:rPr>
          <w:sz w:val="22"/>
          <w:szCs w:val="22"/>
        </w:rPr>
        <w:t>staff</w:t>
      </w:r>
    </w:p>
    <w:p w14:paraId="4EDE6B1E" w14:textId="2809A14C" w:rsidR="002C6A50" w:rsidRPr="00720B94" w:rsidRDefault="00E33ABE" w:rsidP="0092380E">
      <w:pPr>
        <w:pStyle w:val="ListParagraph"/>
        <w:numPr>
          <w:ilvl w:val="1"/>
          <w:numId w:val="25"/>
        </w:numPr>
        <w:spacing w:after="160"/>
        <w:rPr>
          <w:sz w:val="22"/>
          <w:szCs w:val="22"/>
        </w:rPr>
      </w:pPr>
      <w:r w:rsidRPr="00720B94">
        <w:rPr>
          <w:sz w:val="22"/>
          <w:szCs w:val="22"/>
        </w:rPr>
        <w:t>IBC and biosafety-specific t</w:t>
      </w:r>
      <w:r w:rsidR="00DE7A0B" w:rsidRPr="00720B94">
        <w:rPr>
          <w:sz w:val="22"/>
          <w:szCs w:val="22"/>
        </w:rPr>
        <w:t>raining modules are available for all UWL faculty, staff, and students via CITI</w:t>
      </w:r>
      <w:r w:rsidR="001E5E6E" w:rsidRPr="00720B94">
        <w:rPr>
          <w:sz w:val="22"/>
          <w:szCs w:val="22"/>
        </w:rPr>
        <w:t>. For information</w:t>
      </w:r>
      <w:r w:rsidR="00260AD7" w:rsidRPr="00720B94">
        <w:rPr>
          <w:sz w:val="22"/>
          <w:szCs w:val="22"/>
        </w:rPr>
        <w:t xml:space="preserve"> on how to access </w:t>
      </w:r>
      <w:r w:rsidR="00531855" w:rsidRPr="00720B94">
        <w:rPr>
          <w:sz w:val="22"/>
          <w:szCs w:val="22"/>
        </w:rPr>
        <w:t>training</w:t>
      </w:r>
      <w:r w:rsidR="001E5E6E" w:rsidRPr="00720B94">
        <w:rPr>
          <w:sz w:val="22"/>
          <w:szCs w:val="22"/>
        </w:rPr>
        <w:t xml:space="preserve">, see the </w:t>
      </w:r>
      <w:hyperlink r:id="rId117" w:anchor="tm-84280" w:history="1">
        <w:r w:rsidR="00260AD7" w:rsidRPr="00717676">
          <w:rPr>
            <w:rStyle w:val="Hyperlink"/>
            <w:color w:val="007D89" w:themeColor="accent3" w:themeShade="BF"/>
            <w:sz w:val="22"/>
            <w:szCs w:val="22"/>
          </w:rPr>
          <w:t>ORSP website</w:t>
        </w:r>
      </w:hyperlink>
      <w:r w:rsidR="00260AD7" w:rsidRPr="00720B94">
        <w:rPr>
          <w:sz w:val="22"/>
          <w:szCs w:val="22"/>
        </w:rPr>
        <w:t xml:space="preserve">. </w:t>
      </w:r>
    </w:p>
    <w:p w14:paraId="188CDE7F" w14:textId="4E601BA6" w:rsidR="002E1E05" w:rsidRPr="00720B94" w:rsidRDefault="005619B9" w:rsidP="00720B94">
      <w:r w:rsidRPr="00720B94">
        <w:t>Some general biosafety guidelines for the teaching laboratory include</w:t>
      </w:r>
      <w:r w:rsidR="002E1E05" w:rsidRPr="00720B94">
        <w:t xml:space="preserve"> the following</w:t>
      </w:r>
      <w:r w:rsidRPr="00720B94">
        <w:t>:</w:t>
      </w:r>
    </w:p>
    <w:p w14:paraId="7B1D8994" w14:textId="77777777" w:rsidR="00D13E86" w:rsidRPr="00720B94" w:rsidRDefault="00D13E86" w:rsidP="0092380E">
      <w:pPr>
        <w:pStyle w:val="ListParagraph"/>
        <w:numPr>
          <w:ilvl w:val="0"/>
          <w:numId w:val="26"/>
        </w:numPr>
        <w:rPr>
          <w:sz w:val="22"/>
          <w:szCs w:val="22"/>
        </w:rPr>
        <w:sectPr w:rsidR="00D13E86" w:rsidRPr="00720B94" w:rsidSect="001F423B">
          <w:type w:val="continuous"/>
          <w:pgSz w:w="12240" w:h="15840"/>
          <w:pgMar w:top="1080" w:right="1080" w:bottom="1080" w:left="1080" w:header="720" w:footer="720" w:gutter="0"/>
          <w:cols w:space="720"/>
          <w:titlePg/>
          <w:docGrid w:linePitch="360"/>
        </w:sectPr>
      </w:pPr>
    </w:p>
    <w:p w14:paraId="6CE4D934" w14:textId="77777777" w:rsidR="002E1E05" w:rsidRPr="00720B94" w:rsidRDefault="005619B9" w:rsidP="0092380E">
      <w:pPr>
        <w:pStyle w:val="ListParagraph"/>
        <w:numPr>
          <w:ilvl w:val="0"/>
          <w:numId w:val="26"/>
        </w:numPr>
        <w:rPr>
          <w:sz w:val="22"/>
          <w:szCs w:val="22"/>
        </w:rPr>
      </w:pPr>
      <w:r w:rsidRPr="00720B94">
        <w:rPr>
          <w:sz w:val="22"/>
          <w:szCs w:val="22"/>
        </w:rPr>
        <w:t xml:space="preserve">Wear closed toed shoes </w:t>
      </w:r>
    </w:p>
    <w:p w14:paraId="342751DC" w14:textId="77777777" w:rsidR="002E1E05" w:rsidRPr="00720B94" w:rsidRDefault="005619B9" w:rsidP="0092380E">
      <w:pPr>
        <w:pStyle w:val="ListParagraph"/>
        <w:numPr>
          <w:ilvl w:val="0"/>
          <w:numId w:val="26"/>
        </w:numPr>
        <w:rPr>
          <w:sz w:val="22"/>
          <w:szCs w:val="22"/>
        </w:rPr>
      </w:pPr>
      <w:r w:rsidRPr="00720B94">
        <w:rPr>
          <w:sz w:val="22"/>
          <w:szCs w:val="22"/>
        </w:rPr>
        <w:t xml:space="preserve">Wear clothing covering legs </w:t>
      </w:r>
    </w:p>
    <w:p w14:paraId="2391EC32" w14:textId="77777777" w:rsidR="002E1E05" w:rsidRPr="00720B94" w:rsidRDefault="005619B9" w:rsidP="0092380E">
      <w:pPr>
        <w:pStyle w:val="ListParagraph"/>
        <w:numPr>
          <w:ilvl w:val="0"/>
          <w:numId w:val="26"/>
        </w:numPr>
        <w:rPr>
          <w:sz w:val="22"/>
          <w:szCs w:val="22"/>
        </w:rPr>
      </w:pPr>
      <w:r w:rsidRPr="00720B94">
        <w:rPr>
          <w:sz w:val="22"/>
          <w:szCs w:val="22"/>
        </w:rPr>
        <w:t xml:space="preserve">Wear eye protection </w:t>
      </w:r>
    </w:p>
    <w:p w14:paraId="34A172DD" w14:textId="77777777" w:rsidR="002E1E05" w:rsidRPr="00720B94" w:rsidRDefault="005619B9" w:rsidP="0092380E">
      <w:pPr>
        <w:pStyle w:val="ListParagraph"/>
        <w:numPr>
          <w:ilvl w:val="0"/>
          <w:numId w:val="26"/>
        </w:numPr>
        <w:rPr>
          <w:sz w:val="22"/>
          <w:szCs w:val="22"/>
        </w:rPr>
      </w:pPr>
      <w:r w:rsidRPr="00720B94">
        <w:rPr>
          <w:sz w:val="22"/>
          <w:szCs w:val="22"/>
        </w:rPr>
        <w:t xml:space="preserve">Wear lab coat </w:t>
      </w:r>
    </w:p>
    <w:p w14:paraId="0429670A" w14:textId="77777777" w:rsidR="002E1E05" w:rsidRPr="00720B94" w:rsidRDefault="005619B9" w:rsidP="0092380E">
      <w:pPr>
        <w:pStyle w:val="ListParagraph"/>
        <w:numPr>
          <w:ilvl w:val="0"/>
          <w:numId w:val="26"/>
        </w:numPr>
        <w:rPr>
          <w:sz w:val="22"/>
          <w:szCs w:val="22"/>
        </w:rPr>
      </w:pPr>
      <w:r w:rsidRPr="00720B94">
        <w:rPr>
          <w:sz w:val="22"/>
          <w:szCs w:val="22"/>
        </w:rPr>
        <w:t xml:space="preserve">Signage </w:t>
      </w:r>
    </w:p>
    <w:p w14:paraId="143ECDBA" w14:textId="77777777" w:rsidR="002E1E05" w:rsidRPr="00720B94" w:rsidRDefault="005619B9" w:rsidP="0092380E">
      <w:pPr>
        <w:pStyle w:val="ListParagraph"/>
        <w:numPr>
          <w:ilvl w:val="0"/>
          <w:numId w:val="26"/>
        </w:numPr>
        <w:rPr>
          <w:sz w:val="22"/>
          <w:szCs w:val="22"/>
        </w:rPr>
      </w:pPr>
      <w:r w:rsidRPr="00720B94">
        <w:rPr>
          <w:sz w:val="22"/>
          <w:szCs w:val="22"/>
        </w:rPr>
        <w:t xml:space="preserve">Handwashing after experiment and before leaving the laboratory </w:t>
      </w:r>
    </w:p>
    <w:p w14:paraId="3A25A73F" w14:textId="77777777" w:rsidR="002E1E05" w:rsidRPr="00720B94" w:rsidRDefault="005619B9" w:rsidP="0092380E">
      <w:pPr>
        <w:pStyle w:val="ListParagraph"/>
        <w:numPr>
          <w:ilvl w:val="0"/>
          <w:numId w:val="26"/>
        </w:numPr>
        <w:rPr>
          <w:sz w:val="22"/>
          <w:szCs w:val="22"/>
        </w:rPr>
      </w:pPr>
      <w:r w:rsidRPr="00720B94">
        <w:rPr>
          <w:sz w:val="22"/>
          <w:szCs w:val="22"/>
        </w:rPr>
        <w:t xml:space="preserve">Decontamination of surfaces, equipment, and microbes </w:t>
      </w:r>
    </w:p>
    <w:p w14:paraId="51C3348C" w14:textId="77777777" w:rsidR="002E1E05" w:rsidRPr="00720B94" w:rsidRDefault="005619B9" w:rsidP="0092380E">
      <w:pPr>
        <w:pStyle w:val="ListParagraph"/>
        <w:numPr>
          <w:ilvl w:val="0"/>
          <w:numId w:val="26"/>
        </w:numPr>
        <w:rPr>
          <w:sz w:val="22"/>
          <w:szCs w:val="22"/>
        </w:rPr>
      </w:pPr>
      <w:r w:rsidRPr="00720B94">
        <w:rPr>
          <w:sz w:val="22"/>
          <w:szCs w:val="22"/>
        </w:rPr>
        <w:t xml:space="preserve">Keep exits and emergency equipment clear </w:t>
      </w:r>
    </w:p>
    <w:p w14:paraId="65A2D932" w14:textId="77777777" w:rsidR="002E1E05" w:rsidRPr="00720B94" w:rsidRDefault="005619B9" w:rsidP="0092380E">
      <w:pPr>
        <w:pStyle w:val="ListParagraph"/>
        <w:numPr>
          <w:ilvl w:val="0"/>
          <w:numId w:val="26"/>
        </w:numPr>
        <w:rPr>
          <w:sz w:val="22"/>
          <w:szCs w:val="22"/>
        </w:rPr>
      </w:pPr>
      <w:r w:rsidRPr="00720B94">
        <w:rPr>
          <w:sz w:val="22"/>
          <w:szCs w:val="22"/>
        </w:rPr>
        <w:t xml:space="preserve">Post emergency response procedures (potential exposures, spills) </w:t>
      </w:r>
    </w:p>
    <w:p w14:paraId="11E09D66" w14:textId="77777777" w:rsidR="002E1E05" w:rsidRPr="00720B94" w:rsidRDefault="005619B9" w:rsidP="0092380E">
      <w:pPr>
        <w:pStyle w:val="ListParagraph"/>
        <w:numPr>
          <w:ilvl w:val="0"/>
          <w:numId w:val="26"/>
        </w:numPr>
        <w:rPr>
          <w:sz w:val="22"/>
          <w:szCs w:val="22"/>
        </w:rPr>
      </w:pPr>
      <w:r w:rsidRPr="00720B94">
        <w:rPr>
          <w:sz w:val="22"/>
          <w:szCs w:val="22"/>
        </w:rPr>
        <w:t xml:space="preserve">Personal items should be stored outside of the laboratory </w:t>
      </w:r>
    </w:p>
    <w:p w14:paraId="54F15F4F" w14:textId="333C73E2" w:rsidR="00235748" w:rsidRPr="00720B94" w:rsidRDefault="005619B9" w:rsidP="0092380E">
      <w:pPr>
        <w:pStyle w:val="ListParagraph"/>
        <w:numPr>
          <w:ilvl w:val="0"/>
          <w:numId w:val="26"/>
        </w:numPr>
        <w:spacing w:after="160"/>
        <w:rPr>
          <w:sz w:val="22"/>
          <w:szCs w:val="22"/>
        </w:rPr>
      </w:pPr>
      <w:r w:rsidRPr="00720B94">
        <w:rPr>
          <w:sz w:val="22"/>
          <w:szCs w:val="22"/>
        </w:rPr>
        <w:t xml:space="preserve">No food or drink in laboratory </w:t>
      </w:r>
    </w:p>
    <w:p w14:paraId="3733EE06" w14:textId="77777777" w:rsidR="00D13E86" w:rsidRPr="00720B94" w:rsidRDefault="00D13E86" w:rsidP="00720B94">
      <w:pPr>
        <w:sectPr w:rsidR="00D13E86" w:rsidRPr="00720B94" w:rsidSect="00D13E86">
          <w:type w:val="continuous"/>
          <w:pgSz w:w="12240" w:h="15840"/>
          <w:pgMar w:top="1080" w:right="1080" w:bottom="1080" w:left="1080" w:header="720" w:footer="720" w:gutter="0"/>
          <w:cols w:num="2" w:space="720"/>
          <w:titlePg/>
          <w:docGrid w:linePitch="360"/>
        </w:sectPr>
      </w:pPr>
    </w:p>
    <w:p w14:paraId="38E2FCAE" w14:textId="77777777" w:rsidR="00D13E86" w:rsidRPr="00720B94" w:rsidRDefault="00D13E86" w:rsidP="00720B94"/>
    <w:p w14:paraId="39838CE8" w14:textId="5E3F2E60" w:rsidR="00235748" w:rsidRPr="00720B94" w:rsidRDefault="005619B9" w:rsidP="00720B94">
      <w:r w:rsidRPr="00720B94">
        <w:t xml:space="preserve">If experiments performed in teaching labs are subject to the NIH </w:t>
      </w:r>
      <w:r w:rsidR="00235748" w:rsidRPr="00720B94">
        <w:t>G</w:t>
      </w:r>
      <w:r w:rsidRPr="00720B94">
        <w:t xml:space="preserve">uidelines, a biosafety protocol </w:t>
      </w:r>
      <w:r w:rsidR="006F65A5" w:rsidRPr="00720B94">
        <w:t>is</w:t>
      </w:r>
      <w:r w:rsidRPr="00720B94">
        <w:t xml:space="preserve"> required. In the absence of recombinant work, a biosafety protocol is recommended for lab courses and can be reviewed by the IBC to ensure proper biosafety precautions are taken.</w:t>
      </w:r>
    </w:p>
    <w:p w14:paraId="01543D05" w14:textId="77777777" w:rsidR="00D13E86" w:rsidRPr="00720B94" w:rsidRDefault="00D13E86" w:rsidP="00720B94"/>
    <w:p w14:paraId="174C16FD" w14:textId="770476F3" w:rsidR="00235748" w:rsidRPr="00720B94" w:rsidRDefault="00235748" w:rsidP="00720B94">
      <w:r w:rsidRPr="00720B94">
        <w:lastRenderedPageBreak/>
        <w:t>Additional resources</w:t>
      </w:r>
      <w:r w:rsidR="005619B9" w:rsidRPr="00720B94">
        <w:t xml:space="preserve">: </w:t>
      </w:r>
    </w:p>
    <w:p w14:paraId="27F5FCFE" w14:textId="77777777" w:rsidR="00A41405" w:rsidRPr="00720B94" w:rsidRDefault="00813E9B" w:rsidP="0092380E">
      <w:pPr>
        <w:pStyle w:val="ListParagraph"/>
        <w:numPr>
          <w:ilvl w:val="0"/>
          <w:numId w:val="27"/>
        </w:numPr>
        <w:rPr>
          <w:sz w:val="22"/>
          <w:szCs w:val="22"/>
        </w:rPr>
      </w:pPr>
      <w:r w:rsidRPr="00720B94">
        <w:rPr>
          <w:sz w:val="22"/>
          <w:szCs w:val="22"/>
        </w:rPr>
        <w:t>UWL Laboratory Safety &amp; Chemical Disposal Guide</w:t>
      </w:r>
      <w:r w:rsidR="00A41405" w:rsidRPr="00720B94">
        <w:rPr>
          <w:sz w:val="22"/>
          <w:szCs w:val="22"/>
        </w:rPr>
        <w:t>:</w:t>
      </w:r>
    </w:p>
    <w:p w14:paraId="6BC5A837" w14:textId="22F7646E" w:rsidR="00813E9B" w:rsidRPr="00720B94" w:rsidRDefault="00254FBC" w:rsidP="0092380E">
      <w:pPr>
        <w:pStyle w:val="ListParagraph"/>
        <w:numPr>
          <w:ilvl w:val="1"/>
          <w:numId w:val="27"/>
        </w:numPr>
        <w:rPr>
          <w:sz w:val="22"/>
          <w:szCs w:val="22"/>
        </w:rPr>
      </w:pPr>
      <w:hyperlink r:id="rId118" w:history="1">
        <w:r w:rsidRPr="00717676">
          <w:rPr>
            <w:rStyle w:val="Hyperlink"/>
            <w:color w:val="007D89" w:themeColor="accent3" w:themeShade="BF"/>
            <w:sz w:val="22"/>
            <w:szCs w:val="22"/>
          </w:rPr>
          <w:t>Appendix E: Laboratory Safety Survey</w:t>
        </w:r>
      </w:hyperlink>
      <w:r w:rsidRPr="00720B94">
        <w:rPr>
          <w:sz w:val="22"/>
          <w:szCs w:val="22"/>
        </w:rPr>
        <w:t xml:space="preserve"> </w:t>
      </w:r>
    </w:p>
    <w:p w14:paraId="112DB9C2" w14:textId="2ABADC4B" w:rsidR="002C6A50" w:rsidRPr="00720B94" w:rsidRDefault="002C6A50" w:rsidP="0092380E">
      <w:pPr>
        <w:pStyle w:val="ListParagraph"/>
        <w:numPr>
          <w:ilvl w:val="1"/>
          <w:numId w:val="27"/>
        </w:numPr>
        <w:rPr>
          <w:sz w:val="22"/>
          <w:szCs w:val="22"/>
        </w:rPr>
      </w:pPr>
      <w:hyperlink r:id="rId119" w:history="1">
        <w:r w:rsidRPr="00717676">
          <w:rPr>
            <w:rStyle w:val="Hyperlink"/>
            <w:color w:val="007D89" w:themeColor="accent3" w:themeShade="BF"/>
            <w:sz w:val="22"/>
            <w:szCs w:val="22"/>
          </w:rPr>
          <w:t>Appendix G: Training for Laboratory Personnel</w:t>
        </w:r>
      </w:hyperlink>
    </w:p>
    <w:p w14:paraId="09158D8C" w14:textId="75EFEB77" w:rsidR="00235748" w:rsidRPr="00720B94" w:rsidRDefault="005619B9" w:rsidP="0092380E">
      <w:pPr>
        <w:pStyle w:val="ListParagraph"/>
        <w:numPr>
          <w:ilvl w:val="0"/>
          <w:numId w:val="27"/>
        </w:numPr>
        <w:rPr>
          <w:sz w:val="22"/>
          <w:szCs w:val="22"/>
        </w:rPr>
      </w:pPr>
      <w:hyperlink r:id="rId120" w:history="1">
        <w:r w:rsidRPr="00717676">
          <w:rPr>
            <w:rStyle w:val="Hyperlink"/>
            <w:color w:val="007D89" w:themeColor="accent3" w:themeShade="BF"/>
            <w:sz w:val="22"/>
            <w:szCs w:val="22"/>
          </w:rPr>
          <w:t>CDC Biological Risk Assessment</w:t>
        </w:r>
      </w:hyperlink>
      <w:r w:rsidR="005F5F82" w:rsidRPr="00720B94">
        <w:rPr>
          <w:sz w:val="22"/>
          <w:szCs w:val="22"/>
        </w:rPr>
        <w:t xml:space="preserve"> </w:t>
      </w:r>
    </w:p>
    <w:p w14:paraId="33730C43" w14:textId="4D4FC505" w:rsidR="00770C67" w:rsidRPr="00720B94" w:rsidRDefault="005619B9" w:rsidP="0092380E">
      <w:pPr>
        <w:pStyle w:val="ListParagraph"/>
        <w:numPr>
          <w:ilvl w:val="0"/>
          <w:numId w:val="27"/>
        </w:numPr>
        <w:rPr>
          <w:sz w:val="22"/>
          <w:szCs w:val="22"/>
        </w:rPr>
      </w:pPr>
      <w:hyperlink r:id="rId121" w:history="1">
        <w:r w:rsidRPr="00717676">
          <w:rPr>
            <w:rStyle w:val="Hyperlink"/>
            <w:color w:val="007D89" w:themeColor="accent3" w:themeShade="BF"/>
            <w:sz w:val="22"/>
            <w:szCs w:val="22"/>
          </w:rPr>
          <w:t>CDC poster</w:t>
        </w:r>
      </w:hyperlink>
      <w:r w:rsidR="00235748" w:rsidRPr="00720B94">
        <w:rPr>
          <w:sz w:val="22"/>
          <w:szCs w:val="22"/>
        </w:rPr>
        <w:t xml:space="preserve"> </w:t>
      </w:r>
    </w:p>
    <w:p w14:paraId="072679C1" w14:textId="68FE042A" w:rsidR="00907F89" w:rsidRPr="00720B94" w:rsidRDefault="00907F89" w:rsidP="00720B94">
      <w:pPr>
        <w:pStyle w:val="Heading1"/>
      </w:pPr>
      <w:bookmarkStart w:id="73" w:name="_Dual_Use_Research"/>
      <w:bookmarkStart w:id="74" w:name="_Toc192509375"/>
      <w:bookmarkEnd w:id="73"/>
      <w:r w:rsidRPr="00720B94">
        <w:t>Dual Use Research of Concern (DURC)</w:t>
      </w:r>
      <w:r w:rsidR="0016418C" w:rsidRPr="00720B94">
        <w:t xml:space="preserve"> &amp; Pathogens with Enhanced Pandemic Potential (PEPP)</w:t>
      </w:r>
      <w:bookmarkEnd w:id="74"/>
    </w:p>
    <w:p w14:paraId="6F40ABC7" w14:textId="5C915DFE" w:rsidR="001F6A35" w:rsidRPr="00720B94" w:rsidRDefault="001F6A35" w:rsidP="00720B94">
      <w:pPr>
        <w:pStyle w:val="Heading2"/>
      </w:pPr>
      <w:bookmarkStart w:id="75" w:name="_Toc192509376"/>
      <w:r w:rsidRPr="00720B94">
        <w:t>Research within Scope</w:t>
      </w:r>
      <w:bookmarkEnd w:id="75"/>
    </w:p>
    <w:p w14:paraId="5322770F" w14:textId="7BF769F4" w:rsidR="000A61EF" w:rsidRPr="00720B94" w:rsidDel="00C04142" w:rsidRDefault="009D002E" w:rsidP="00720B94">
      <w:pPr>
        <w:rPr>
          <w:rFonts w:eastAsia="Arial" w:cs="Arial"/>
        </w:rPr>
      </w:pPr>
      <w:r w:rsidRPr="00720B94">
        <w:t>T</w:t>
      </w:r>
      <w:r w:rsidR="00643F86" w:rsidRPr="00720B94">
        <w:t>he </w:t>
      </w:r>
      <w:hyperlink r:id="rId122" w:history="1">
        <w:r w:rsidR="00643F86" w:rsidRPr="00717676">
          <w:rPr>
            <w:rStyle w:val="Hyperlink"/>
            <w:color w:val="007D89" w:themeColor="accent3" w:themeShade="BF"/>
          </w:rPr>
          <w:t>US Government Policy for Oversight of Dual Use Research of Concern (DURC</w:t>
        </w:r>
        <w:r w:rsidR="007C2115" w:rsidRPr="00717676">
          <w:rPr>
            <w:rStyle w:val="Hyperlink"/>
            <w:color w:val="007D89" w:themeColor="accent3" w:themeShade="BF"/>
          </w:rPr>
          <w:t>) and Pathogens with Enhanced Pandemic Potential (PEPP</w:t>
        </w:r>
        <w:r w:rsidR="00643F86" w:rsidRPr="00717676">
          <w:rPr>
            <w:rStyle w:val="Hyperlink"/>
            <w:color w:val="007D89" w:themeColor="accent3" w:themeShade="BF"/>
          </w:rPr>
          <w:t>)</w:t>
        </w:r>
      </w:hyperlink>
      <w:r w:rsidR="00D471C1" w:rsidRPr="00720B94">
        <w:rPr>
          <w:color w:val="282A2E"/>
          <w:shd w:val="clear" w:color="auto" w:fill="FFFFFF"/>
        </w:rPr>
        <w:t xml:space="preserve"> a</w:t>
      </w:r>
      <w:r w:rsidR="00A56127" w:rsidRPr="00720B94">
        <w:rPr>
          <w:color w:val="282A2E"/>
          <w:shd w:val="clear" w:color="auto" w:fill="FFFFFF"/>
        </w:rPr>
        <w:t xml:space="preserve">nd </w:t>
      </w:r>
      <w:r w:rsidR="000C4BD2" w:rsidRPr="00720B94">
        <w:rPr>
          <w:color w:val="282A2E"/>
          <w:shd w:val="clear" w:color="auto" w:fill="FFFFFF"/>
        </w:rPr>
        <w:t>accompanying</w:t>
      </w:r>
      <w:r w:rsidR="00D471C1" w:rsidRPr="00720B94">
        <w:rPr>
          <w:color w:val="282A2E"/>
          <w:shd w:val="clear" w:color="auto" w:fill="FFFFFF"/>
        </w:rPr>
        <w:t xml:space="preserve"> </w:t>
      </w:r>
      <w:hyperlink r:id="rId123" w:history="1">
        <w:r w:rsidR="000C4BD2" w:rsidRPr="00717676">
          <w:rPr>
            <w:rStyle w:val="Hyperlink"/>
            <w:color w:val="007D89" w:themeColor="accent3" w:themeShade="BF"/>
          </w:rPr>
          <w:t>Implementation Guidance</w:t>
        </w:r>
      </w:hyperlink>
      <w:r w:rsidR="00D63D83" w:rsidRPr="00720B94">
        <w:rPr>
          <w:color w:val="282A2E"/>
          <w:shd w:val="clear" w:color="auto" w:fill="FFFFFF"/>
        </w:rPr>
        <w:t xml:space="preserve"> </w:t>
      </w:r>
      <w:r w:rsidRPr="00720B94">
        <w:rPr>
          <w:color w:val="282A2E"/>
          <w:shd w:val="clear" w:color="auto" w:fill="FFFFFF"/>
        </w:rPr>
        <w:t xml:space="preserve">outline </w:t>
      </w:r>
      <w:r w:rsidR="000104BB" w:rsidRPr="00720B94">
        <w:rPr>
          <w:color w:val="282A2E"/>
          <w:shd w:val="clear" w:color="auto" w:fill="FFFFFF"/>
        </w:rPr>
        <w:t>requirements for</w:t>
      </w:r>
      <w:r w:rsidR="00F61F84" w:rsidRPr="00720B94">
        <w:rPr>
          <w:color w:val="282A2E"/>
          <w:shd w:val="clear" w:color="auto" w:fill="FFFFFF"/>
        </w:rPr>
        <w:t xml:space="preserve"> conducting and managing certain types of </w:t>
      </w:r>
      <w:r w:rsidR="00916D5D" w:rsidRPr="00720B94">
        <w:rPr>
          <w:color w:val="282A2E"/>
          <w:shd w:val="clear" w:color="auto" w:fill="FFFFFF"/>
        </w:rPr>
        <w:t>federally funded life sciences research on biological agents and toxins.</w:t>
      </w:r>
      <w:r w:rsidR="000104BB" w:rsidRPr="00720B94">
        <w:rPr>
          <w:color w:val="282A2E"/>
          <w:shd w:val="clear" w:color="auto" w:fill="FFFFFF"/>
        </w:rPr>
        <w:t xml:space="preserve"> </w:t>
      </w:r>
      <w:r w:rsidR="005F664E" w:rsidRPr="00720B94">
        <w:rPr>
          <w:color w:val="282A2E"/>
          <w:shd w:val="clear" w:color="auto" w:fill="FFFFFF"/>
        </w:rPr>
        <w:t>Per the policy, d</w:t>
      </w:r>
      <w:r w:rsidR="000104BB" w:rsidRPr="00720B94">
        <w:rPr>
          <w:color w:val="282A2E"/>
          <w:shd w:val="clear" w:color="auto" w:fill="FFFFFF"/>
        </w:rPr>
        <w:t xml:space="preserve">ual use research of concern (DURC) is </w:t>
      </w:r>
      <w:r w:rsidR="005F664E" w:rsidRPr="00720B94">
        <w:rPr>
          <w:color w:val="282A2E"/>
          <w:shd w:val="clear" w:color="auto" w:fill="FFFFFF"/>
        </w:rPr>
        <w:t>“</w:t>
      </w:r>
      <w:r w:rsidR="000D42FE" w:rsidRPr="00720B94">
        <w:t>life sciences research that, based on current understanding, can be reasonably anticipated to provide knowledge, information, products, or technologies that could be misapplied to do harm with no, or only minor, modification to pose a significant threat with potential consequences to public health and safety, agricultural crops and other plants, animals, the environment, material, or national security</w:t>
      </w:r>
      <w:r w:rsidR="000A61EF" w:rsidRPr="00720B94">
        <w:rPr>
          <w:color w:val="282A2E"/>
          <w:shd w:val="clear" w:color="auto" w:fill="FFFFFF"/>
        </w:rPr>
        <w:t>.</w:t>
      </w:r>
      <w:r w:rsidR="005F664E" w:rsidRPr="00720B94">
        <w:rPr>
          <w:color w:val="282A2E"/>
          <w:shd w:val="clear" w:color="auto" w:fill="FFFFFF"/>
        </w:rPr>
        <w:t>”</w:t>
      </w:r>
      <w:r w:rsidR="000A61EF" w:rsidRPr="00720B94">
        <w:rPr>
          <w:color w:val="282A2E"/>
          <w:shd w:val="clear" w:color="auto" w:fill="FFFFFF"/>
        </w:rPr>
        <w:t xml:space="preserve"> </w:t>
      </w:r>
      <w:r w:rsidR="00EC56AD" w:rsidRPr="00720B94">
        <w:rPr>
          <w:color w:val="282A2E"/>
          <w:shd w:val="clear" w:color="auto" w:fill="FFFFFF"/>
        </w:rPr>
        <w:t xml:space="preserve">A </w:t>
      </w:r>
      <w:r w:rsidR="005F664E" w:rsidRPr="00720B94">
        <w:rPr>
          <w:color w:val="282A2E"/>
          <w:shd w:val="clear" w:color="auto" w:fill="FFFFFF"/>
        </w:rPr>
        <w:t>p</w:t>
      </w:r>
      <w:r w:rsidR="00BB02F5" w:rsidRPr="00720B94">
        <w:rPr>
          <w:color w:val="282A2E"/>
          <w:shd w:val="clear" w:color="auto" w:fill="FFFFFF"/>
        </w:rPr>
        <w:t xml:space="preserve">athogen </w:t>
      </w:r>
      <w:r w:rsidR="00EC56AD" w:rsidRPr="00720B94">
        <w:rPr>
          <w:color w:val="282A2E"/>
          <w:shd w:val="clear" w:color="auto" w:fill="FFFFFF"/>
        </w:rPr>
        <w:t xml:space="preserve">with </w:t>
      </w:r>
      <w:r w:rsidR="005F664E" w:rsidRPr="00720B94">
        <w:rPr>
          <w:color w:val="282A2E"/>
          <w:shd w:val="clear" w:color="auto" w:fill="FFFFFF"/>
        </w:rPr>
        <w:t>e</w:t>
      </w:r>
      <w:r w:rsidR="00EC56AD" w:rsidRPr="00720B94">
        <w:rPr>
          <w:color w:val="282A2E"/>
          <w:shd w:val="clear" w:color="auto" w:fill="FFFFFF"/>
        </w:rPr>
        <w:t xml:space="preserve">nhanced </w:t>
      </w:r>
      <w:r w:rsidR="005F664E" w:rsidRPr="00720B94">
        <w:rPr>
          <w:color w:val="282A2E"/>
          <w:shd w:val="clear" w:color="auto" w:fill="FFFFFF"/>
        </w:rPr>
        <w:t>p</w:t>
      </w:r>
      <w:r w:rsidR="00EC56AD" w:rsidRPr="00720B94">
        <w:rPr>
          <w:color w:val="282A2E"/>
          <w:shd w:val="clear" w:color="auto" w:fill="FFFFFF"/>
        </w:rPr>
        <w:t xml:space="preserve">andemic </w:t>
      </w:r>
      <w:r w:rsidR="005F664E" w:rsidRPr="00720B94">
        <w:rPr>
          <w:color w:val="282A2E"/>
          <w:shd w:val="clear" w:color="auto" w:fill="FFFFFF"/>
        </w:rPr>
        <w:t>p</w:t>
      </w:r>
      <w:r w:rsidR="00EC56AD" w:rsidRPr="00720B94">
        <w:rPr>
          <w:color w:val="282A2E"/>
          <w:shd w:val="clear" w:color="auto" w:fill="FFFFFF"/>
        </w:rPr>
        <w:t>otential (PEPP)</w:t>
      </w:r>
      <w:r w:rsidR="005F664E" w:rsidRPr="00720B94">
        <w:rPr>
          <w:color w:val="282A2E"/>
          <w:shd w:val="clear" w:color="auto" w:fill="FFFFFF"/>
        </w:rPr>
        <w:t xml:space="preserve"> “is a type </w:t>
      </w:r>
      <w:r w:rsidR="00157A49" w:rsidRPr="00720B94">
        <w:rPr>
          <w:color w:val="282A2E"/>
          <w:shd w:val="clear" w:color="auto" w:fill="FFFFFF"/>
        </w:rPr>
        <w:t>of pathogen with pandemic potential (PPP) resulting from experiments that enhance a pathogen</w:t>
      </w:r>
      <w:r w:rsidR="00645504" w:rsidRPr="00720B94">
        <w:rPr>
          <w:color w:val="282A2E"/>
          <w:shd w:val="clear" w:color="auto" w:fill="FFFFFF"/>
        </w:rPr>
        <w:t>’</w:t>
      </w:r>
      <w:r w:rsidR="00157A49" w:rsidRPr="00720B94">
        <w:rPr>
          <w:color w:val="282A2E"/>
          <w:shd w:val="clear" w:color="auto" w:fill="FFFFFF"/>
        </w:rPr>
        <w:t>s transmissibility or virulence, or disrupt the effectiveness of pre-existing immunity, regardless of its progenitor agent, such that it may pose a significant threat to public health, the capacity of health systems to function, or national security</w:t>
      </w:r>
      <w:r w:rsidR="00C04142" w:rsidRPr="00720B94">
        <w:rPr>
          <w:color w:val="282A2E"/>
          <w:shd w:val="clear" w:color="auto" w:fill="FFFFFF"/>
        </w:rPr>
        <w:t>. Wild-type pathogens that are circulating in or have been recovered from nature are not PEPPs but may be considered PPPs because of their pandemic potential.”</w:t>
      </w:r>
      <w:r w:rsidR="00D57D0A" w:rsidRPr="00720B94">
        <w:rPr>
          <w:rFonts w:eastAsia="Arial" w:cs="Arial"/>
        </w:rPr>
        <w:t xml:space="preserve"> While the federal policy applies to federally funded research, </w:t>
      </w:r>
      <w:r w:rsidR="00F559F3" w:rsidRPr="00720B94">
        <w:rPr>
          <w:rFonts w:eastAsia="Arial" w:cs="Arial"/>
        </w:rPr>
        <w:t xml:space="preserve">given the significant potential risks of working with such agents, </w:t>
      </w:r>
      <w:r w:rsidR="00D57D0A" w:rsidRPr="00720B94">
        <w:rPr>
          <w:rFonts w:eastAsia="Arial" w:cs="Arial"/>
        </w:rPr>
        <w:t xml:space="preserve">UWL </w:t>
      </w:r>
      <w:r w:rsidR="00B65999" w:rsidRPr="00720B94">
        <w:rPr>
          <w:rFonts w:eastAsia="Arial" w:cs="Arial"/>
        </w:rPr>
        <w:t xml:space="preserve">follows the </w:t>
      </w:r>
      <w:r w:rsidR="00F559F3" w:rsidRPr="00720B94">
        <w:rPr>
          <w:rFonts w:eastAsia="Arial" w:cs="Arial"/>
        </w:rPr>
        <w:t>federal policy</w:t>
      </w:r>
      <w:r w:rsidR="00B65999" w:rsidRPr="00720B94">
        <w:rPr>
          <w:rFonts w:eastAsia="Arial" w:cs="Arial"/>
        </w:rPr>
        <w:t xml:space="preserve"> for all research</w:t>
      </w:r>
      <w:r w:rsidR="00F559F3" w:rsidRPr="00720B94">
        <w:rPr>
          <w:rFonts w:eastAsia="Arial" w:cs="Arial"/>
        </w:rPr>
        <w:t>, regardless of funding source,</w:t>
      </w:r>
      <w:r w:rsidR="00B65999" w:rsidRPr="00720B94">
        <w:rPr>
          <w:rFonts w:eastAsia="Arial" w:cs="Arial"/>
        </w:rPr>
        <w:t xml:space="preserve"> that falls within the scope of the policy to ensure </w:t>
      </w:r>
      <w:r w:rsidR="00F559F3" w:rsidRPr="00720B94">
        <w:rPr>
          <w:rFonts w:eastAsia="Arial" w:cs="Arial"/>
        </w:rPr>
        <w:t>the safety of researchers, the community, and the environment.</w:t>
      </w:r>
      <w:r w:rsidR="00F62982" w:rsidRPr="00720B94">
        <w:rPr>
          <w:rFonts w:eastAsia="Arial" w:cs="Arial"/>
        </w:rPr>
        <w:t xml:space="preserve"> </w:t>
      </w:r>
      <w:r w:rsidR="003C248D" w:rsidRPr="00720B94">
        <w:rPr>
          <w:rFonts w:eastAsia="Arial" w:cs="Arial"/>
        </w:rPr>
        <w:t>Researchers</w:t>
      </w:r>
      <w:r w:rsidR="003C248D" w:rsidRPr="00720B94">
        <w:t xml:space="preserve"> who believe their work may fall within the scope of Category 1 or </w:t>
      </w:r>
      <w:r w:rsidR="645D5657" w:rsidRPr="00720B94">
        <w:t xml:space="preserve">Category </w:t>
      </w:r>
      <w:r w:rsidR="003C248D" w:rsidRPr="00720B94">
        <w:t>2 Research</w:t>
      </w:r>
      <w:r w:rsidR="004F3EF2" w:rsidRPr="00720B94">
        <w:t xml:space="preserve">, as defined by the </w:t>
      </w:r>
      <w:hyperlink r:id="rId124" w:history="1">
        <w:r w:rsidR="004F3EF2" w:rsidRPr="00717676">
          <w:rPr>
            <w:rStyle w:val="Hyperlink"/>
            <w:color w:val="007D89" w:themeColor="accent3" w:themeShade="BF"/>
          </w:rPr>
          <w:t>federal policy</w:t>
        </w:r>
      </w:hyperlink>
      <w:r w:rsidR="004F3EF2" w:rsidRPr="00720B94">
        <w:t xml:space="preserve"> and </w:t>
      </w:r>
      <w:hyperlink r:id="rId125" w:history="1">
        <w:r w:rsidR="004F3EF2" w:rsidRPr="00717676">
          <w:rPr>
            <w:rStyle w:val="Hyperlink"/>
            <w:color w:val="007D89" w:themeColor="accent3" w:themeShade="BF"/>
          </w:rPr>
          <w:t>Implementation Guidance</w:t>
        </w:r>
      </w:hyperlink>
      <w:r w:rsidR="004F3EF2" w:rsidRPr="00720B94">
        <w:t>,</w:t>
      </w:r>
      <w:r w:rsidR="003C248D" w:rsidRPr="00720B94">
        <w:t xml:space="preserve"> must contact the Office of Research &amp; Sponsored Programs (ORSP) to receive guidance on fulfilling related risk assessment, protocol review, training, and other compliance requirements.</w:t>
      </w:r>
    </w:p>
    <w:p w14:paraId="6493FD7F" w14:textId="4F2CDAED" w:rsidR="00930105" w:rsidRPr="00720B94" w:rsidRDefault="00930105" w:rsidP="00720B94">
      <w:pPr>
        <w:rPr>
          <w:rFonts w:eastAsia="Arial" w:cs="Arial"/>
        </w:rPr>
      </w:pPr>
      <w:r w:rsidRPr="00720B94">
        <w:rPr>
          <w:rFonts w:eastAsia="Arial" w:cs="Arial"/>
        </w:rPr>
        <w:t>At UWL, the institutional review entity (IRE) for DURC and PEPP research is the IBC.</w:t>
      </w:r>
      <w:r w:rsidR="00F06A2A" w:rsidRPr="00720B94">
        <w:rPr>
          <w:rFonts w:eastAsia="Arial" w:cs="Arial"/>
        </w:rPr>
        <w:t xml:space="preserve"> The </w:t>
      </w:r>
      <w:r w:rsidR="00E65F94" w:rsidRPr="00720B94">
        <w:rPr>
          <w:rFonts w:eastAsia="Arial" w:cs="Arial"/>
        </w:rPr>
        <w:t xml:space="preserve">IBC Coordinator serves as </w:t>
      </w:r>
      <w:r w:rsidR="00F06A2A" w:rsidRPr="00720B94">
        <w:rPr>
          <w:rFonts w:eastAsia="Arial" w:cs="Arial"/>
        </w:rPr>
        <w:t>UWL</w:t>
      </w:r>
      <w:r w:rsidR="00E65F94" w:rsidRPr="00720B94">
        <w:rPr>
          <w:rFonts w:eastAsia="Arial" w:cs="Arial"/>
        </w:rPr>
        <w:t>’s</w:t>
      </w:r>
      <w:r w:rsidR="00F06A2A" w:rsidRPr="00720B94">
        <w:rPr>
          <w:rFonts w:eastAsia="Arial" w:cs="Arial"/>
        </w:rPr>
        <w:t xml:space="preserve"> Institutional Contact for Dual Use Research (ICDUR). The ICDUR serves as an internal resource regarding the oversight of Category 1 and </w:t>
      </w:r>
      <w:r w:rsidR="509B0989" w:rsidRPr="00720B94">
        <w:rPr>
          <w:rFonts w:eastAsia="Arial" w:cs="Arial"/>
        </w:rPr>
        <w:t xml:space="preserve">Category </w:t>
      </w:r>
      <w:r w:rsidR="00F06A2A" w:rsidRPr="00720B94">
        <w:rPr>
          <w:rFonts w:eastAsia="Arial" w:cs="Arial"/>
        </w:rPr>
        <w:t>2 research and</w:t>
      </w:r>
      <w:r w:rsidR="00362246" w:rsidRPr="00720B94">
        <w:rPr>
          <w:rFonts w:eastAsia="Arial" w:cs="Arial"/>
        </w:rPr>
        <w:t xml:space="preserve">, for federally funded projects, </w:t>
      </w:r>
      <w:r w:rsidR="00F06A2A" w:rsidRPr="00720B94">
        <w:rPr>
          <w:rFonts w:eastAsia="Arial" w:cs="Arial"/>
        </w:rPr>
        <w:t>serves as the liaison between the university and federal funding agencies as needed.</w:t>
      </w:r>
    </w:p>
    <w:p w14:paraId="5C3DB2F5" w14:textId="1A306A80" w:rsidR="00F95CE0" w:rsidRPr="00720B94" w:rsidRDefault="00D075B4" w:rsidP="00720B94">
      <w:pPr>
        <w:rPr>
          <w:rFonts w:eastAsia="Arial" w:cs="Arial"/>
        </w:rPr>
      </w:pPr>
      <w:r w:rsidRPr="00720B94">
        <w:rPr>
          <w:rFonts w:eastAsia="Arial" w:cs="Arial"/>
        </w:rPr>
        <w:t>The scope of r</w:t>
      </w:r>
      <w:r w:rsidR="000D724A" w:rsidRPr="00720B94">
        <w:rPr>
          <w:rFonts w:eastAsia="Arial" w:cs="Arial"/>
        </w:rPr>
        <w:t xml:space="preserve">esearch </w:t>
      </w:r>
      <w:r w:rsidR="00643F86" w:rsidRPr="00720B94">
        <w:rPr>
          <w:rFonts w:eastAsia="Arial" w:cs="Arial"/>
        </w:rPr>
        <w:t xml:space="preserve">subject to DURC </w:t>
      </w:r>
      <w:r w:rsidR="006C5272" w:rsidRPr="00720B94">
        <w:rPr>
          <w:rFonts w:eastAsia="Arial" w:cs="Arial"/>
        </w:rPr>
        <w:t xml:space="preserve">&amp; PEPP </w:t>
      </w:r>
      <w:r w:rsidR="004C7213" w:rsidRPr="00720B94">
        <w:rPr>
          <w:rFonts w:eastAsia="Arial" w:cs="Arial"/>
        </w:rPr>
        <w:t xml:space="preserve">policy </w:t>
      </w:r>
      <w:r w:rsidR="00643F86" w:rsidRPr="00720B94">
        <w:rPr>
          <w:rFonts w:eastAsia="Arial" w:cs="Arial"/>
        </w:rPr>
        <w:t xml:space="preserve">requirements </w:t>
      </w:r>
      <w:r w:rsidR="00342BA2" w:rsidRPr="00720B94">
        <w:rPr>
          <w:rFonts w:eastAsia="Arial" w:cs="Arial"/>
        </w:rPr>
        <w:t xml:space="preserve">is </w:t>
      </w:r>
      <w:r w:rsidR="00203593" w:rsidRPr="00720B94">
        <w:rPr>
          <w:rFonts w:eastAsia="Arial" w:cs="Arial"/>
        </w:rPr>
        <w:t xml:space="preserve">defined within </w:t>
      </w:r>
      <w:r w:rsidR="00F95CE0" w:rsidRPr="00720B94">
        <w:rPr>
          <w:rFonts w:eastAsia="Arial" w:cs="Arial"/>
        </w:rPr>
        <w:t xml:space="preserve">two categories summarized in </w:t>
      </w:r>
      <w:r w:rsidR="00D13E86" w:rsidRPr="00720B94">
        <w:rPr>
          <w:rFonts w:eastAsia="Arial" w:cs="Arial"/>
        </w:rPr>
        <w:t>Appendix J</w:t>
      </w:r>
      <w:r w:rsidR="00643F86" w:rsidRPr="00720B94">
        <w:rPr>
          <w:rFonts w:eastAsia="Arial" w:cs="Arial"/>
        </w:rPr>
        <w:t>.</w:t>
      </w:r>
      <w:r w:rsidR="00393575" w:rsidRPr="00720B94">
        <w:rPr>
          <w:rFonts w:eastAsia="Arial" w:cs="Arial"/>
        </w:rPr>
        <w:t xml:space="preserve"> Research that meets the definition of both Category 1 and 2</w:t>
      </w:r>
      <w:r w:rsidR="00D13E86" w:rsidRPr="00720B94">
        <w:rPr>
          <w:rFonts w:eastAsia="Arial" w:cs="Arial"/>
        </w:rPr>
        <w:t>,</w:t>
      </w:r>
      <w:r w:rsidR="00393575" w:rsidRPr="00720B94">
        <w:rPr>
          <w:rFonts w:eastAsia="Arial" w:cs="Arial"/>
        </w:rPr>
        <w:t xml:space="preserve"> is defined as Category 2.</w:t>
      </w:r>
    </w:p>
    <w:p w14:paraId="226EB75B" w14:textId="79B5CCEB" w:rsidR="00D63871" w:rsidRPr="00720B94" w:rsidRDefault="00D63871" w:rsidP="00720B94">
      <w:pPr>
        <w:pStyle w:val="Heading2"/>
      </w:pPr>
      <w:bookmarkStart w:id="76" w:name="_Toc192509377"/>
      <w:r w:rsidRPr="00720B94">
        <w:t>Principal Investigator (PI) Responsibilities</w:t>
      </w:r>
      <w:bookmarkEnd w:id="76"/>
    </w:p>
    <w:p w14:paraId="53204B89" w14:textId="390F65E3" w:rsidR="00AC3FA3" w:rsidRPr="00720B94" w:rsidRDefault="00D70D06" w:rsidP="00720B94">
      <w:pPr>
        <w:spacing w:after="0"/>
        <w:rPr>
          <w:rFonts w:eastAsia="Arial" w:cs="Arial"/>
        </w:rPr>
      </w:pPr>
      <w:r w:rsidRPr="00720B94">
        <w:rPr>
          <w:rFonts w:eastAsia="Arial" w:cs="Arial"/>
        </w:rPr>
        <w:t>PIs are responsible for</w:t>
      </w:r>
      <w:r w:rsidR="007B54F3" w:rsidRPr="00720B94">
        <w:rPr>
          <w:rFonts w:eastAsia="Arial" w:cs="Arial"/>
        </w:rPr>
        <w:t xml:space="preserve"> the following in relation to research that falls within the scope of Category 1 or </w:t>
      </w:r>
      <w:r w:rsidR="0DC273DB" w:rsidRPr="00720B94">
        <w:rPr>
          <w:rFonts w:eastAsia="Arial" w:cs="Arial"/>
        </w:rPr>
        <w:t xml:space="preserve">Category </w:t>
      </w:r>
      <w:r w:rsidR="007B54F3" w:rsidRPr="00720B94">
        <w:rPr>
          <w:rFonts w:eastAsia="Arial" w:cs="Arial"/>
        </w:rPr>
        <w:t>2 research</w:t>
      </w:r>
      <w:r w:rsidR="00AC3FA3" w:rsidRPr="00720B94">
        <w:rPr>
          <w:rFonts w:eastAsia="Arial" w:cs="Arial"/>
        </w:rPr>
        <w:t>:</w:t>
      </w:r>
    </w:p>
    <w:p w14:paraId="672E0A8F" w14:textId="09033EC3" w:rsidR="00913D60" w:rsidRPr="00720B94" w:rsidRDefault="00913D60" w:rsidP="0092380E">
      <w:pPr>
        <w:pStyle w:val="ListParagraph"/>
        <w:numPr>
          <w:ilvl w:val="0"/>
          <w:numId w:val="46"/>
        </w:numPr>
        <w:rPr>
          <w:rFonts w:eastAsia="Arial" w:cs="Arial"/>
          <w:sz w:val="22"/>
          <w:szCs w:val="22"/>
        </w:rPr>
      </w:pPr>
      <w:r w:rsidRPr="00720B94">
        <w:rPr>
          <w:rFonts w:eastAsia="Arial" w:cs="Arial"/>
          <w:sz w:val="22"/>
          <w:szCs w:val="22"/>
        </w:rPr>
        <w:t>Maintaining current t</w:t>
      </w:r>
      <w:r w:rsidR="00312FEF" w:rsidRPr="00720B94">
        <w:rPr>
          <w:rFonts w:eastAsia="Arial" w:cs="Arial"/>
          <w:sz w:val="22"/>
          <w:szCs w:val="22"/>
        </w:rPr>
        <w:t xml:space="preserve">raining and </w:t>
      </w:r>
      <w:r w:rsidRPr="00720B94">
        <w:rPr>
          <w:rFonts w:eastAsia="Arial" w:cs="Arial"/>
          <w:sz w:val="22"/>
          <w:szCs w:val="22"/>
        </w:rPr>
        <w:t xml:space="preserve">knowledge about university and federal </w:t>
      </w:r>
      <w:r w:rsidR="00312FEF" w:rsidRPr="00720B94">
        <w:rPr>
          <w:rFonts w:eastAsia="Arial" w:cs="Arial"/>
          <w:sz w:val="22"/>
          <w:szCs w:val="22"/>
        </w:rPr>
        <w:t>requirements related to DURC and PEPP research</w:t>
      </w:r>
    </w:p>
    <w:p w14:paraId="497E691C" w14:textId="3DE055D1" w:rsidR="00AC3FA3" w:rsidRPr="00720B94" w:rsidRDefault="00AC3FA3" w:rsidP="0092380E">
      <w:pPr>
        <w:pStyle w:val="ListParagraph"/>
        <w:numPr>
          <w:ilvl w:val="0"/>
          <w:numId w:val="46"/>
        </w:numPr>
        <w:rPr>
          <w:rFonts w:eastAsia="Arial" w:cs="Arial"/>
          <w:sz w:val="22"/>
          <w:szCs w:val="22"/>
        </w:rPr>
      </w:pPr>
      <w:r w:rsidRPr="00720B94">
        <w:rPr>
          <w:rFonts w:eastAsia="Arial" w:cs="Arial"/>
          <w:sz w:val="22"/>
          <w:szCs w:val="22"/>
        </w:rPr>
        <w:lastRenderedPageBreak/>
        <w:t>A</w:t>
      </w:r>
      <w:r w:rsidR="00D70D06" w:rsidRPr="00720B94">
        <w:rPr>
          <w:rFonts w:eastAsia="Arial" w:cs="Arial"/>
          <w:sz w:val="22"/>
          <w:szCs w:val="22"/>
        </w:rPr>
        <w:t xml:space="preserve">ssessing research at the planning stage and continuously throughout the research lifecycle to identify whether research may be within scope of Category 1 or </w:t>
      </w:r>
      <w:r w:rsidR="390DE818" w:rsidRPr="00720B94">
        <w:rPr>
          <w:rFonts w:eastAsia="Arial" w:cs="Arial"/>
          <w:sz w:val="22"/>
          <w:szCs w:val="22"/>
        </w:rPr>
        <w:t xml:space="preserve">Category </w:t>
      </w:r>
      <w:r w:rsidR="00D70D06" w:rsidRPr="00720B94">
        <w:rPr>
          <w:rFonts w:eastAsia="Arial" w:cs="Arial"/>
          <w:sz w:val="22"/>
          <w:szCs w:val="22"/>
        </w:rPr>
        <w:t>2 research</w:t>
      </w:r>
      <w:r w:rsidR="00A77EC6" w:rsidRPr="00720B94">
        <w:rPr>
          <w:rFonts w:eastAsia="Arial" w:cs="Arial"/>
          <w:sz w:val="22"/>
          <w:szCs w:val="22"/>
        </w:rPr>
        <w:t xml:space="preserve"> (</w:t>
      </w:r>
      <w:r w:rsidR="00A77EC6" w:rsidRPr="00720B94">
        <w:rPr>
          <w:sz w:val="22"/>
          <w:szCs w:val="22"/>
        </w:rPr>
        <w:t xml:space="preserve">refer to the </w:t>
      </w:r>
      <w:hyperlink r:id="rId126" w:history="1">
        <w:r w:rsidR="00A77EC6" w:rsidRPr="00717676">
          <w:rPr>
            <w:rStyle w:val="Hyperlink"/>
            <w:color w:val="007D89" w:themeColor="accent3" w:themeShade="BF"/>
            <w:sz w:val="22"/>
            <w:szCs w:val="22"/>
          </w:rPr>
          <w:t>Implementation Guidance: Steps for PIs to Conduct Assessment</w:t>
        </w:r>
      </w:hyperlink>
      <w:r w:rsidR="003C245B" w:rsidRPr="00720B94">
        <w:rPr>
          <w:sz w:val="22"/>
          <w:szCs w:val="22"/>
        </w:rPr>
        <w:t>, p.</w:t>
      </w:r>
      <w:r w:rsidR="00A77EC6" w:rsidRPr="00720B94">
        <w:rPr>
          <w:sz w:val="22"/>
          <w:szCs w:val="22"/>
        </w:rPr>
        <w:t xml:space="preserve"> 26-30)</w:t>
      </w:r>
    </w:p>
    <w:p w14:paraId="14B11D02" w14:textId="02BEC86E" w:rsidR="0072413D" w:rsidRPr="00720B94" w:rsidRDefault="00AC3FA3" w:rsidP="0092380E">
      <w:pPr>
        <w:pStyle w:val="ListParagraph"/>
        <w:numPr>
          <w:ilvl w:val="0"/>
          <w:numId w:val="46"/>
        </w:numPr>
        <w:rPr>
          <w:rFonts w:eastAsia="Arial" w:cs="Arial"/>
          <w:sz w:val="22"/>
          <w:szCs w:val="22"/>
        </w:rPr>
      </w:pPr>
      <w:r w:rsidRPr="00720B94">
        <w:rPr>
          <w:rFonts w:eastAsia="Arial" w:cs="Arial"/>
          <w:sz w:val="22"/>
          <w:szCs w:val="22"/>
        </w:rPr>
        <w:t>R</w:t>
      </w:r>
      <w:r w:rsidR="00422C13" w:rsidRPr="00720B94">
        <w:rPr>
          <w:rFonts w:eastAsia="Arial" w:cs="Arial"/>
          <w:sz w:val="22"/>
          <w:szCs w:val="22"/>
        </w:rPr>
        <w:t>eferring research that may be Category 1 or 2 to the IBC</w:t>
      </w:r>
      <w:r w:rsidR="008D2D5C" w:rsidRPr="00720B94">
        <w:rPr>
          <w:rFonts w:eastAsia="Arial" w:cs="Arial"/>
          <w:sz w:val="22"/>
          <w:szCs w:val="22"/>
        </w:rPr>
        <w:t xml:space="preserve"> for review</w:t>
      </w:r>
    </w:p>
    <w:p w14:paraId="1D59BF93" w14:textId="1418F85C" w:rsidR="00913D60" w:rsidRPr="00720B94" w:rsidRDefault="00913D60" w:rsidP="0092380E">
      <w:pPr>
        <w:pStyle w:val="ListParagraph"/>
        <w:numPr>
          <w:ilvl w:val="0"/>
          <w:numId w:val="46"/>
        </w:numPr>
        <w:rPr>
          <w:rFonts w:eastAsia="Arial" w:cs="Arial"/>
          <w:sz w:val="22"/>
          <w:szCs w:val="22"/>
        </w:rPr>
      </w:pPr>
      <w:r w:rsidRPr="00720B94">
        <w:rPr>
          <w:rFonts w:eastAsia="Arial" w:cs="Arial"/>
          <w:sz w:val="22"/>
          <w:szCs w:val="22"/>
        </w:rPr>
        <w:t>As appropriate, developing risk-benefit assessment and risk mitigation plan</w:t>
      </w:r>
    </w:p>
    <w:p w14:paraId="7FF67E29" w14:textId="3C496140" w:rsidR="002E139A" w:rsidRPr="00720B94" w:rsidRDefault="002E139A" w:rsidP="0092380E">
      <w:pPr>
        <w:pStyle w:val="ListParagraph"/>
        <w:numPr>
          <w:ilvl w:val="0"/>
          <w:numId w:val="46"/>
        </w:numPr>
        <w:rPr>
          <w:rFonts w:eastAsia="Arial" w:cs="Arial"/>
          <w:sz w:val="22"/>
          <w:szCs w:val="22"/>
        </w:rPr>
      </w:pPr>
      <w:r w:rsidRPr="00720B94">
        <w:rPr>
          <w:rFonts w:eastAsia="Arial" w:cs="Arial"/>
          <w:sz w:val="22"/>
          <w:szCs w:val="22"/>
        </w:rPr>
        <w:t xml:space="preserve">Conducting research in accordance with the approved </w:t>
      </w:r>
      <w:r w:rsidR="007B54F3" w:rsidRPr="00720B94">
        <w:rPr>
          <w:rFonts w:eastAsia="Arial" w:cs="Arial"/>
          <w:sz w:val="22"/>
          <w:szCs w:val="22"/>
        </w:rPr>
        <w:t>risk mitigation plan</w:t>
      </w:r>
    </w:p>
    <w:p w14:paraId="5360DDB8" w14:textId="7F42D5F4" w:rsidR="007B54F3" w:rsidRPr="00720B94" w:rsidRDefault="007B54F3" w:rsidP="0092380E">
      <w:pPr>
        <w:pStyle w:val="ListParagraph"/>
        <w:numPr>
          <w:ilvl w:val="0"/>
          <w:numId w:val="46"/>
        </w:numPr>
        <w:rPr>
          <w:rFonts w:eastAsia="Arial" w:cs="Arial"/>
          <w:sz w:val="22"/>
          <w:szCs w:val="22"/>
        </w:rPr>
      </w:pPr>
      <w:r w:rsidRPr="00720B94">
        <w:rPr>
          <w:rFonts w:eastAsia="Arial" w:cs="Arial"/>
          <w:sz w:val="22"/>
          <w:szCs w:val="22"/>
        </w:rPr>
        <w:t>Provide any required progress reports to the university and/or federal funding agency</w:t>
      </w:r>
      <w:r w:rsidR="00907D46" w:rsidRPr="00720B94">
        <w:rPr>
          <w:rFonts w:eastAsia="Arial" w:cs="Arial"/>
          <w:sz w:val="22"/>
          <w:szCs w:val="22"/>
        </w:rPr>
        <w:t xml:space="preserve"> (e.g., semi-annual review)</w:t>
      </w:r>
    </w:p>
    <w:p w14:paraId="12F6E478" w14:textId="133B729B" w:rsidR="007B54F3" w:rsidRPr="00720B94" w:rsidRDefault="007B54F3" w:rsidP="0092380E">
      <w:pPr>
        <w:pStyle w:val="ListParagraph"/>
        <w:numPr>
          <w:ilvl w:val="0"/>
          <w:numId w:val="46"/>
        </w:numPr>
        <w:rPr>
          <w:rFonts w:eastAsia="Arial" w:cs="Arial"/>
          <w:sz w:val="22"/>
          <w:szCs w:val="22"/>
        </w:rPr>
      </w:pPr>
      <w:r w:rsidRPr="00720B94">
        <w:rPr>
          <w:rFonts w:eastAsia="Arial" w:cs="Arial"/>
          <w:sz w:val="22"/>
          <w:szCs w:val="22"/>
        </w:rPr>
        <w:t>Ensure personnel conducting research have received and maintain appropriate education and training and demonstrate competency</w:t>
      </w:r>
    </w:p>
    <w:p w14:paraId="4F06A84B" w14:textId="40EBFA27" w:rsidR="00A51123" w:rsidRPr="00720B94" w:rsidRDefault="00A51123" w:rsidP="0092380E">
      <w:pPr>
        <w:pStyle w:val="ListParagraph"/>
        <w:numPr>
          <w:ilvl w:val="0"/>
          <w:numId w:val="46"/>
        </w:numPr>
        <w:rPr>
          <w:rFonts w:eastAsia="Arial" w:cs="Arial"/>
        </w:rPr>
      </w:pPr>
      <w:r w:rsidRPr="00720B94">
        <w:rPr>
          <w:rFonts w:eastAsia="Arial" w:cs="Arial"/>
          <w:sz w:val="22"/>
          <w:szCs w:val="22"/>
        </w:rPr>
        <w:t>Communicate research in a responsible manner, following measures in the approved mitigation plan</w:t>
      </w:r>
    </w:p>
    <w:p w14:paraId="3C38C0C9" w14:textId="77777777" w:rsidR="00D63871" w:rsidRPr="00720B94" w:rsidRDefault="00D63871" w:rsidP="00720B94">
      <w:pPr>
        <w:pStyle w:val="Heading2"/>
      </w:pPr>
      <w:bookmarkStart w:id="77" w:name="_Toc192509378"/>
      <w:r w:rsidRPr="00720B94">
        <w:t>Oversight Framework &amp; Procedures</w:t>
      </w:r>
      <w:bookmarkEnd w:id="77"/>
    </w:p>
    <w:p w14:paraId="3E3B52F9" w14:textId="1106CDAF" w:rsidR="009171E6" w:rsidRPr="00720B94" w:rsidRDefault="007F7642" w:rsidP="00720B94">
      <w:pPr>
        <w:rPr>
          <w:rFonts w:eastAsia="Arial" w:cs="Arial"/>
        </w:rPr>
      </w:pPr>
      <w:r w:rsidRPr="00720B94">
        <w:rPr>
          <w:rFonts w:eastAsia="Arial" w:cs="Arial"/>
        </w:rPr>
        <w:t>The procedures for u</w:t>
      </w:r>
      <w:r w:rsidR="009171E6" w:rsidRPr="00720B94">
        <w:rPr>
          <w:rFonts w:eastAsia="Arial" w:cs="Arial"/>
        </w:rPr>
        <w:t>niversity oversight</w:t>
      </w:r>
      <w:r w:rsidR="00886EEE" w:rsidRPr="00720B94">
        <w:rPr>
          <w:rFonts w:eastAsia="Arial" w:cs="Arial"/>
        </w:rPr>
        <w:t xml:space="preserve"> of research </w:t>
      </w:r>
      <w:r w:rsidR="00731AF6" w:rsidRPr="00720B94">
        <w:rPr>
          <w:rFonts w:eastAsia="Arial" w:cs="Arial"/>
        </w:rPr>
        <w:t xml:space="preserve">that falls within the scope of the federal DURC and PEPP policy </w:t>
      </w:r>
      <w:r w:rsidRPr="00720B94">
        <w:rPr>
          <w:rFonts w:eastAsia="Arial" w:cs="Arial"/>
        </w:rPr>
        <w:t>is as follows:</w:t>
      </w:r>
    </w:p>
    <w:p w14:paraId="75E83B77" w14:textId="103DB119" w:rsidR="00D63871" w:rsidRPr="00720B94" w:rsidRDefault="00E02CE2" w:rsidP="0092380E">
      <w:pPr>
        <w:pStyle w:val="ListParagraph"/>
        <w:numPr>
          <w:ilvl w:val="0"/>
          <w:numId w:val="47"/>
        </w:numPr>
        <w:rPr>
          <w:rFonts w:eastAsia="Arial" w:cs="Arial"/>
          <w:sz w:val="22"/>
          <w:szCs w:val="22"/>
        </w:rPr>
      </w:pPr>
      <w:r w:rsidRPr="00720B94">
        <w:rPr>
          <w:rFonts w:eastAsia="Arial" w:cs="Arial"/>
          <w:sz w:val="22"/>
          <w:szCs w:val="22"/>
        </w:rPr>
        <w:t>The PI conducts an assessmen</w:t>
      </w:r>
      <w:r w:rsidR="00E875B6" w:rsidRPr="00720B94">
        <w:rPr>
          <w:rFonts w:eastAsia="Arial" w:cs="Arial"/>
          <w:sz w:val="22"/>
          <w:szCs w:val="22"/>
        </w:rPr>
        <w:t xml:space="preserve">t to determine whether </w:t>
      </w:r>
      <w:r w:rsidR="00E56A98" w:rsidRPr="00720B94">
        <w:rPr>
          <w:rFonts w:eastAsia="Arial" w:cs="Arial"/>
          <w:sz w:val="22"/>
          <w:szCs w:val="22"/>
        </w:rPr>
        <w:t>their work</w:t>
      </w:r>
      <w:r w:rsidR="00E875B6" w:rsidRPr="00720B94">
        <w:rPr>
          <w:rFonts w:eastAsia="Arial" w:cs="Arial"/>
          <w:sz w:val="22"/>
          <w:szCs w:val="22"/>
        </w:rPr>
        <w:t xml:space="preserve"> </w:t>
      </w:r>
      <w:r w:rsidR="00E875B6" w:rsidRPr="00720B94">
        <w:rPr>
          <w:rFonts w:eastAsia="Arial" w:cs="Arial"/>
          <w:i/>
          <w:iCs/>
          <w:sz w:val="22"/>
          <w:szCs w:val="22"/>
        </w:rPr>
        <w:t xml:space="preserve">may </w:t>
      </w:r>
      <w:r w:rsidR="00E875B6" w:rsidRPr="00720B94">
        <w:rPr>
          <w:rFonts w:eastAsia="Arial" w:cs="Arial"/>
          <w:sz w:val="22"/>
          <w:szCs w:val="22"/>
        </w:rPr>
        <w:t xml:space="preserve">constitute Category 1 or </w:t>
      </w:r>
      <w:r w:rsidR="01E2DA61" w:rsidRPr="00720B94">
        <w:rPr>
          <w:rFonts w:eastAsia="Arial" w:cs="Arial"/>
          <w:sz w:val="22"/>
          <w:szCs w:val="22"/>
        </w:rPr>
        <w:t xml:space="preserve">Category </w:t>
      </w:r>
      <w:r w:rsidR="00E875B6" w:rsidRPr="00720B94">
        <w:rPr>
          <w:rFonts w:eastAsia="Arial" w:cs="Arial"/>
          <w:sz w:val="22"/>
          <w:szCs w:val="22"/>
        </w:rPr>
        <w:t xml:space="preserve">2 research. </w:t>
      </w:r>
      <w:r w:rsidR="000D7746" w:rsidRPr="00720B94">
        <w:rPr>
          <w:rFonts w:eastAsia="Arial" w:cs="Arial"/>
          <w:sz w:val="22"/>
          <w:szCs w:val="22"/>
        </w:rPr>
        <w:t xml:space="preserve">The assessment should be conducted in accordance </w:t>
      </w:r>
      <w:r w:rsidR="000D7746" w:rsidRPr="00720B94">
        <w:rPr>
          <w:sz w:val="22"/>
          <w:szCs w:val="22"/>
        </w:rPr>
        <w:t xml:space="preserve">with the </w:t>
      </w:r>
      <w:hyperlink r:id="rId127" w:history="1">
        <w:r w:rsidR="000D7746" w:rsidRPr="00717676">
          <w:rPr>
            <w:rStyle w:val="Hyperlink"/>
            <w:color w:val="007D89" w:themeColor="accent3" w:themeShade="BF"/>
            <w:sz w:val="22"/>
            <w:szCs w:val="22"/>
          </w:rPr>
          <w:t xml:space="preserve">Implementation Guidance: </w:t>
        </w:r>
        <w:r w:rsidR="00A463BA" w:rsidRPr="00717676">
          <w:rPr>
            <w:rStyle w:val="Hyperlink"/>
            <w:color w:val="007D89" w:themeColor="accent3" w:themeShade="BF"/>
            <w:sz w:val="22"/>
            <w:szCs w:val="22"/>
          </w:rPr>
          <w:t>Guidance for</w:t>
        </w:r>
        <w:r w:rsidR="000D7746" w:rsidRPr="00717676">
          <w:rPr>
            <w:rStyle w:val="Hyperlink"/>
            <w:color w:val="007D89" w:themeColor="accent3" w:themeShade="BF"/>
            <w:sz w:val="22"/>
            <w:szCs w:val="22"/>
          </w:rPr>
          <w:t xml:space="preserve"> PIs</w:t>
        </w:r>
        <w:r w:rsidR="00A463BA" w:rsidRPr="00717676">
          <w:rPr>
            <w:rStyle w:val="Hyperlink"/>
            <w:color w:val="007D89" w:themeColor="accent3" w:themeShade="BF"/>
            <w:sz w:val="22"/>
            <w:szCs w:val="22"/>
          </w:rPr>
          <w:t>:</w:t>
        </w:r>
        <w:r w:rsidR="000D7746" w:rsidRPr="00717676">
          <w:rPr>
            <w:rStyle w:val="Hyperlink"/>
            <w:color w:val="007D89" w:themeColor="accent3" w:themeShade="BF"/>
            <w:sz w:val="22"/>
            <w:szCs w:val="22"/>
          </w:rPr>
          <w:t xml:space="preserve"> Assessment</w:t>
        </w:r>
      </w:hyperlink>
      <w:r w:rsidR="00A463BA" w:rsidRPr="00717676">
        <w:rPr>
          <w:rStyle w:val="Hyperlink"/>
          <w:color w:val="007D89" w:themeColor="accent3" w:themeShade="BF"/>
          <w:sz w:val="22"/>
          <w:szCs w:val="22"/>
        </w:rPr>
        <w:t xml:space="preserve"> for Potential Category 1 and Category 2 Research and Other Responsibilities</w:t>
      </w:r>
      <w:r w:rsidR="000D7746" w:rsidRPr="00720B94">
        <w:rPr>
          <w:sz w:val="22"/>
          <w:szCs w:val="22"/>
        </w:rPr>
        <w:t xml:space="preserve"> (p. 26-30).</w:t>
      </w:r>
      <w:r w:rsidR="00316B3F" w:rsidRPr="00720B94">
        <w:rPr>
          <w:sz w:val="22"/>
          <w:szCs w:val="22"/>
        </w:rPr>
        <w:t xml:space="preserve"> PIs are responsible for assessing their work at the planning stage and continuously through the research lifecycle.</w:t>
      </w:r>
    </w:p>
    <w:p w14:paraId="31A0B6DA" w14:textId="1896F855" w:rsidR="00C536B3" w:rsidRPr="00720B94" w:rsidRDefault="00C536B3" w:rsidP="0092380E">
      <w:pPr>
        <w:pStyle w:val="ListParagraph"/>
        <w:numPr>
          <w:ilvl w:val="1"/>
          <w:numId w:val="47"/>
        </w:numPr>
        <w:rPr>
          <w:rFonts w:eastAsia="Arial" w:cs="Arial"/>
          <w:sz w:val="22"/>
          <w:szCs w:val="22"/>
        </w:rPr>
      </w:pPr>
      <w:r w:rsidRPr="00720B94">
        <w:rPr>
          <w:sz w:val="22"/>
          <w:szCs w:val="22"/>
        </w:rPr>
        <w:t xml:space="preserve">A PI should refer an existing project to the IBC if the research uses a Category 1 or 2 biological agent or toxin, and the activities can be reasonably anticipated to produce one or more of the Category 1 or 2 experimental outcomes. PIs can also refer an existing project to the IBC for review if they are not certain whether the agent/toxin and/or experimental outcomes may be within the scope of Category 1 or </w:t>
      </w:r>
      <w:proofErr w:type="gramStart"/>
      <w:r w:rsidRPr="00720B94">
        <w:rPr>
          <w:sz w:val="22"/>
          <w:szCs w:val="22"/>
        </w:rPr>
        <w:t>2</w:t>
      </w:r>
      <w:proofErr w:type="gramEnd"/>
      <w:r w:rsidRPr="00720B94">
        <w:rPr>
          <w:sz w:val="22"/>
          <w:szCs w:val="22"/>
        </w:rPr>
        <w:t xml:space="preserve"> but the PI believes the project should undergo IBC review.</w:t>
      </w:r>
      <w:r w:rsidR="001A65F3" w:rsidRPr="00720B94">
        <w:rPr>
          <w:sz w:val="22"/>
          <w:szCs w:val="22"/>
        </w:rPr>
        <w:t xml:space="preserve"> </w:t>
      </w:r>
      <w:r w:rsidR="00592AFA" w:rsidRPr="00720B94">
        <w:rPr>
          <w:sz w:val="22"/>
          <w:szCs w:val="22"/>
        </w:rPr>
        <w:t xml:space="preserve">If research is identified as potentially Category 1 or 2 </w:t>
      </w:r>
      <w:proofErr w:type="gramStart"/>
      <w:r w:rsidR="00592AFA" w:rsidRPr="00720B94">
        <w:rPr>
          <w:sz w:val="22"/>
          <w:szCs w:val="22"/>
        </w:rPr>
        <w:t>during the course of</w:t>
      </w:r>
      <w:proofErr w:type="gramEnd"/>
      <w:r w:rsidR="00592AFA" w:rsidRPr="00720B94">
        <w:rPr>
          <w:sz w:val="22"/>
          <w:szCs w:val="22"/>
        </w:rPr>
        <w:t xml:space="preserve"> experimentation, the PI must halt further work and contact the IBC to conduct the required assessments.</w:t>
      </w:r>
      <w:r w:rsidR="00D86FE5" w:rsidRPr="00720B94">
        <w:rPr>
          <w:sz w:val="22"/>
          <w:szCs w:val="22"/>
        </w:rPr>
        <w:t xml:space="preserve"> If federally funded, the PI must also notify the federal agency.</w:t>
      </w:r>
    </w:p>
    <w:p w14:paraId="686E122E" w14:textId="528ACC95" w:rsidR="00316B3F" w:rsidRPr="00720B94" w:rsidRDefault="00316B3F" w:rsidP="0092380E">
      <w:pPr>
        <w:pStyle w:val="ListParagraph"/>
        <w:numPr>
          <w:ilvl w:val="0"/>
          <w:numId w:val="47"/>
        </w:numPr>
        <w:rPr>
          <w:rFonts w:eastAsia="Arial" w:cs="Arial"/>
          <w:sz w:val="22"/>
          <w:szCs w:val="22"/>
        </w:rPr>
      </w:pPr>
      <w:r w:rsidRPr="00720B94">
        <w:rPr>
          <w:sz w:val="22"/>
          <w:szCs w:val="22"/>
        </w:rPr>
        <w:t xml:space="preserve">If a PI assesses that their research </w:t>
      </w:r>
      <w:r w:rsidRPr="00720B94">
        <w:rPr>
          <w:i/>
          <w:iCs/>
          <w:sz w:val="22"/>
          <w:szCs w:val="22"/>
        </w:rPr>
        <w:t xml:space="preserve">may </w:t>
      </w:r>
      <w:r w:rsidRPr="00720B94">
        <w:rPr>
          <w:sz w:val="22"/>
          <w:szCs w:val="22"/>
        </w:rPr>
        <w:t xml:space="preserve">constitute Category 1 or </w:t>
      </w:r>
      <w:r w:rsidR="368C02A6" w:rsidRPr="00720B94">
        <w:rPr>
          <w:sz w:val="22"/>
          <w:szCs w:val="22"/>
        </w:rPr>
        <w:t xml:space="preserve">Category </w:t>
      </w:r>
      <w:r w:rsidRPr="00720B94">
        <w:rPr>
          <w:sz w:val="22"/>
          <w:szCs w:val="22"/>
        </w:rPr>
        <w:t xml:space="preserve">2 research, the PI </w:t>
      </w:r>
      <w:r w:rsidR="00730ED1" w:rsidRPr="00720B94">
        <w:rPr>
          <w:sz w:val="22"/>
          <w:szCs w:val="22"/>
        </w:rPr>
        <w:t>submits their assessment information to</w:t>
      </w:r>
      <w:r w:rsidR="00677F90" w:rsidRPr="00720B94">
        <w:rPr>
          <w:sz w:val="22"/>
          <w:szCs w:val="22"/>
        </w:rPr>
        <w:t xml:space="preserve"> the IBC for </w:t>
      </w:r>
      <w:r w:rsidR="00730ED1" w:rsidRPr="00720B94">
        <w:rPr>
          <w:sz w:val="22"/>
          <w:szCs w:val="22"/>
        </w:rPr>
        <w:t>review</w:t>
      </w:r>
      <w:r w:rsidR="00677F90" w:rsidRPr="00720B94">
        <w:rPr>
          <w:sz w:val="22"/>
          <w:szCs w:val="22"/>
        </w:rPr>
        <w:t>.</w:t>
      </w:r>
    </w:p>
    <w:p w14:paraId="5507C32F" w14:textId="498A8DA6" w:rsidR="00F13E83" w:rsidRPr="00720B94" w:rsidRDefault="00F13E83" w:rsidP="0092380E">
      <w:pPr>
        <w:pStyle w:val="ListParagraph"/>
        <w:numPr>
          <w:ilvl w:val="1"/>
          <w:numId w:val="47"/>
        </w:numPr>
        <w:rPr>
          <w:rFonts w:eastAsia="Arial" w:cs="Arial"/>
          <w:sz w:val="22"/>
          <w:szCs w:val="22"/>
        </w:rPr>
      </w:pPr>
      <w:r w:rsidRPr="00720B94">
        <w:rPr>
          <w:sz w:val="22"/>
          <w:szCs w:val="22"/>
        </w:rPr>
        <w:t>If the PI is developing a federal funding proposal for research that may be within the scope of Category 1 or 2, the PI must include a notification to the federal agency in the proposal. Follow funding agency guidelines.</w:t>
      </w:r>
    </w:p>
    <w:p w14:paraId="2D749724" w14:textId="7C9855DA" w:rsidR="009C3C3C" w:rsidRPr="00720B94" w:rsidRDefault="00730ED1" w:rsidP="0092380E">
      <w:pPr>
        <w:pStyle w:val="ListParagraph"/>
        <w:numPr>
          <w:ilvl w:val="0"/>
          <w:numId w:val="47"/>
        </w:numPr>
        <w:rPr>
          <w:rFonts w:eastAsia="Arial" w:cs="Arial"/>
          <w:sz w:val="22"/>
          <w:szCs w:val="22"/>
        </w:rPr>
      </w:pPr>
      <w:r w:rsidRPr="00720B94">
        <w:rPr>
          <w:sz w:val="22"/>
          <w:szCs w:val="22"/>
        </w:rPr>
        <w:t>The IBC reviews the PI</w:t>
      </w:r>
      <w:r w:rsidR="002746F0" w:rsidRPr="00720B94">
        <w:rPr>
          <w:sz w:val="22"/>
          <w:szCs w:val="22"/>
        </w:rPr>
        <w:t xml:space="preserve">’s assessment, consults with ad hoc experts as needed, determines whether research </w:t>
      </w:r>
      <w:r w:rsidR="00C252AE" w:rsidRPr="00720B94">
        <w:rPr>
          <w:sz w:val="22"/>
          <w:szCs w:val="22"/>
        </w:rPr>
        <w:t>f</w:t>
      </w:r>
      <w:r w:rsidR="002746F0" w:rsidRPr="00720B94">
        <w:rPr>
          <w:sz w:val="22"/>
          <w:szCs w:val="22"/>
        </w:rPr>
        <w:t>all</w:t>
      </w:r>
      <w:r w:rsidR="00C252AE" w:rsidRPr="00720B94">
        <w:rPr>
          <w:sz w:val="22"/>
          <w:szCs w:val="22"/>
        </w:rPr>
        <w:t>s</w:t>
      </w:r>
      <w:r w:rsidR="002746F0" w:rsidRPr="00720B94">
        <w:rPr>
          <w:sz w:val="22"/>
          <w:szCs w:val="22"/>
        </w:rPr>
        <w:t xml:space="preserve"> within the scope of Category 1 or </w:t>
      </w:r>
      <w:r w:rsidR="3FF75491" w:rsidRPr="00720B94">
        <w:rPr>
          <w:sz w:val="22"/>
          <w:szCs w:val="22"/>
        </w:rPr>
        <w:t xml:space="preserve">Category </w:t>
      </w:r>
      <w:r w:rsidR="002746F0" w:rsidRPr="00720B94">
        <w:rPr>
          <w:sz w:val="22"/>
          <w:szCs w:val="22"/>
        </w:rPr>
        <w:t>2</w:t>
      </w:r>
      <w:r w:rsidR="00E3693A" w:rsidRPr="00720B94">
        <w:rPr>
          <w:sz w:val="22"/>
          <w:szCs w:val="22"/>
        </w:rPr>
        <w:t>, and communicates the determination to the PI</w:t>
      </w:r>
      <w:r w:rsidR="00682DA4" w:rsidRPr="00720B94">
        <w:rPr>
          <w:sz w:val="22"/>
          <w:szCs w:val="22"/>
        </w:rPr>
        <w:t xml:space="preserve">. </w:t>
      </w:r>
      <w:r w:rsidR="00320751" w:rsidRPr="00720B94">
        <w:rPr>
          <w:sz w:val="22"/>
          <w:szCs w:val="22"/>
        </w:rPr>
        <w:t xml:space="preserve">The </w:t>
      </w:r>
      <w:r w:rsidR="003365BF" w:rsidRPr="00720B94">
        <w:rPr>
          <w:sz w:val="22"/>
          <w:szCs w:val="22"/>
        </w:rPr>
        <w:t>assessment</w:t>
      </w:r>
      <w:r w:rsidR="00320751" w:rsidRPr="00720B94">
        <w:rPr>
          <w:sz w:val="22"/>
          <w:szCs w:val="22"/>
        </w:rPr>
        <w:t xml:space="preserve"> </w:t>
      </w:r>
      <w:r w:rsidR="00B96D01" w:rsidRPr="00720B94">
        <w:rPr>
          <w:sz w:val="22"/>
          <w:szCs w:val="22"/>
        </w:rPr>
        <w:t xml:space="preserve">should be conducted in accordance with the </w:t>
      </w:r>
      <w:hyperlink r:id="rId128" w:history="1">
        <w:r w:rsidR="00B96D01" w:rsidRPr="00717676">
          <w:rPr>
            <w:rStyle w:val="Hyperlink"/>
            <w:color w:val="007D89" w:themeColor="accent3" w:themeShade="BF"/>
            <w:sz w:val="22"/>
            <w:szCs w:val="22"/>
          </w:rPr>
          <w:t>Implementation Guidance</w:t>
        </w:r>
        <w:r w:rsidR="00615032" w:rsidRPr="00717676">
          <w:rPr>
            <w:rStyle w:val="Hyperlink"/>
            <w:color w:val="007D89" w:themeColor="accent3" w:themeShade="BF"/>
            <w:sz w:val="22"/>
            <w:szCs w:val="22"/>
          </w:rPr>
          <w:t xml:space="preserve"> for IREs</w:t>
        </w:r>
        <w:r w:rsidR="00B96D01" w:rsidRPr="00717676">
          <w:rPr>
            <w:rStyle w:val="Hyperlink"/>
            <w:color w:val="007D89" w:themeColor="accent3" w:themeShade="BF"/>
            <w:sz w:val="22"/>
            <w:szCs w:val="22"/>
          </w:rPr>
          <w:t xml:space="preserve">: Review Process for Category 1 </w:t>
        </w:r>
        <w:r w:rsidR="00615032" w:rsidRPr="00717676">
          <w:rPr>
            <w:rStyle w:val="Hyperlink"/>
            <w:color w:val="007D89" w:themeColor="accent3" w:themeShade="BF"/>
            <w:sz w:val="22"/>
            <w:szCs w:val="22"/>
          </w:rPr>
          <w:t>and Category</w:t>
        </w:r>
        <w:r w:rsidR="00B96D01" w:rsidRPr="00717676">
          <w:rPr>
            <w:rStyle w:val="Hyperlink"/>
            <w:color w:val="007D89" w:themeColor="accent3" w:themeShade="BF"/>
            <w:sz w:val="22"/>
            <w:szCs w:val="22"/>
          </w:rPr>
          <w:t xml:space="preserve"> 2 Research </w:t>
        </w:r>
      </w:hyperlink>
      <w:r w:rsidR="00B96D01" w:rsidRPr="00720B94">
        <w:rPr>
          <w:sz w:val="22"/>
          <w:szCs w:val="22"/>
        </w:rPr>
        <w:t xml:space="preserve">(p. 31-42). </w:t>
      </w:r>
      <w:r w:rsidR="00462677" w:rsidRPr="00720B94">
        <w:rPr>
          <w:sz w:val="22"/>
          <w:szCs w:val="22"/>
        </w:rPr>
        <w:t xml:space="preserve">Assessment methods are outlined in Part E of the Implementation Guidance. </w:t>
      </w:r>
    </w:p>
    <w:p w14:paraId="43B326D2" w14:textId="7BEBD94B" w:rsidR="00A430DF" w:rsidRPr="00720B94" w:rsidRDefault="00682DA4" w:rsidP="0092380E">
      <w:pPr>
        <w:pStyle w:val="ListParagraph"/>
        <w:numPr>
          <w:ilvl w:val="1"/>
          <w:numId w:val="47"/>
        </w:numPr>
        <w:rPr>
          <w:rFonts w:eastAsia="Arial" w:cs="Arial"/>
          <w:sz w:val="22"/>
          <w:szCs w:val="22"/>
        </w:rPr>
      </w:pPr>
      <w:r w:rsidRPr="00720B94">
        <w:rPr>
          <w:sz w:val="22"/>
          <w:szCs w:val="22"/>
        </w:rPr>
        <w:t>If the project is federally funded, the IBC also notifies</w:t>
      </w:r>
      <w:r w:rsidR="00C252AE" w:rsidRPr="00720B94">
        <w:rPr>
          <w:sz w:val="22"/>
          <w:szCs w:val="22"/>
        </w:rPr>
        <w:t xml:space="preserve"> the federal agency </w:t>
      </w:r>
      <w:r w:rsidR="00644B93" w:rsidRPr="00720B94">
        <w:rPr>
          <w:sz w:val="22"/>
          <w:szCs w:val="22"/>
        </w:rPr>
        <w:t xml:space="preserve">within 30 days of institutional review whether the research </w:t>
      </w:r>
      <w:r w:rsidRPr="00720B94">
        <w:rPr>
          <w:sz w:val="22"/>
          <w:szCs w:val="22"/>
        </w:rPr>
        <w:t>falls within the scope of</w:t>
      </w:r>
      <w:r w:rsidR="00644B93" w:rsidRPr="00720B94">
        <w:rPr>
          <w:sz w:val="22"/>
          <w:szCs w:val="22"/>
        </w:rPr>
        <w:t xml:space="preserve"> Category 1 or 2</w:t>
      </w:r>
      <w:r w:rsidRPr="00720B94">
        <w:rPr>
          <w:sz w:val="22"/>
          <w:szCs w:val="22"/>
        </w:rPr>
        <w:t>.</w:t>
      </w:r>
      <w:r w:rsidR="009C3C3C" w:rsidRPr="00720B94">
        <w:rPr>
          <w:sz w:val="22"/>
          <w:szCs w:val="22"/>
        </w:rPr>
        <w:t xml:space="preserve"> The federal agency evaluates and verifies the university’s assessment.</w:t>
      </w:r>
    </w:p>
    <w:p w14:paraId="55E7A699" w14:textId="386EAB00" w:rsidR="008A7594" w:rsidRPr="00720B94" w:rsidRDefault="008A7594" w:rsidP="0092380E">
      <w:pPr>
        <w:pStyle w:val="ListParagraph"/>
        <w:numPr>
          <w:ilvl w:val="1"/>
          <w:numId w:val="47"/>
        </w:numPr>
        <w:rPr>
          <w:rFonts w:eastAsia="Arial" w:cs="Arial"/>
          <w:sz w:val="22"/>
          <w:szCs w:val="22"/>
        </w:rPr>
      </w:pPr>
      <w:r w:rsidRPr="00720B94">
        <w:rPr>
          <w:sz w:val="22"/>
          <w:szCs w:val="22"/>
        </w:rPr>
        <w:t xml:space="preserve">The IBC </w:t>
      </w:r>
      <w:r w:rsidR="009C262F" w:rsidRPr="00720B94">
        <w:rPr>
          <w:sz w:val="22"/>
          <w:szCs w:val="22"/>
        </w:rPr>
        <w:t xml:space="preserve">will ensure its membership has sufficient expertise, including biosafety and biocontainment expertise, to assess the applicability of DURC and PEPP requirements </w:t>
      </w:r>
      <w:r w:rsidR="00D665FB" w:rsidRPr="00720B94">
        <w:rPr>
          <w:sz w:val="22"/>
          <w:szCs w:val="22"/>
        </w:rPr>
        <w:t xml:space="preserve">to the research being conducted and understand biosafety and biosecurity implications of such research. </w:t>
      </w:r>
      <w:r w:rsidR="00377F0A" w:rsidRPr="00720B94">
        <w:rPr>
          <w:sz w:val="22"/>
          <w:szCs w:val="22"/>
        </w:rPr>
        <w:t>T</w:t>
      </w:r>
      <w:r w:rsidR="002D2CF6" w:rsidRPr="00720B94">
        <w:rPr>
          <w:sz w:val="22"/>
          <w:szCs w:val="22"/>
        </w:rPr>
        <w:t xml:space="preserve">he IBC can invite ad hoc members </w:t>
      </w:r>
      <w:r w:rsidR="001A65F3" w:rsidRPr="00720B94">
        <w:rPr>
          <w:sz w:val="22"/>
          <w:szCs w:val="22"/>
        </w:rPr>
        <w:t xml:space="preserve">from the university or community </w:t>
      </w:r>
      <w:r w:rsidR="002D2CF6" w:rsidRPr="00720B94">
        <w:rPr>
          <w:sz w:val="22"/>
          <w:szCs w:val="22"/>
        </w:rPr>
        <w:t xml:space="preserve">to provide </w:t>
      </w:r>
      <w:r w:rsidR="00377F0A" w:rsidRPr="00720B94">
        <w:rPr>
          <w:sz w:val="22"/>
          <w:szCs w:val="22"/>
        </w:rPr>
        <w:t xml:space="preserve">expertise and </w:t>
      </w:r>
      <w:r w:rsidR="002D2CF6" w:rsidRPr="00720B94">
        <w:rPr>
          <w:sz w:val="22"/>
          <w:szCs w:val="22"/>
        </w:rPr>
        <w:t>consultation</w:t>
      </w:r>
      <w:r w:rsidR="00377F0A" w:rsidRPr="00720B94">
        <w:rPr>
          <w:sz w:val="22"/>
          <w:szCs w:val="22"/>
        </w:rPr>
        <w:t xml:space="preserve"> as needed.</w:t>
      </w:r>
    </w:p>
    <w:p w14:paraId="3710AECB" w14:textId="4C8862E6" w:rsidR="00520065" w:rsidRPr="00720B94" w:rsidRDefault="30226F2B" w:rsidP="0092380E">
      <w:pPr>
        <w:pStyle w:val="ListParagraph"/>
        <w:numPr>
          <w:ilvl w:val="1"/>
          <w:numId w:val="47"/>
        </w:numPr>
        <w:rPr>
          <w:rFonts w:eastAsia="Arial" w:cs="Arial"/>
          <w:sz w:val="22"/>
          <w:szCs w:val="22"/>
        </w:rPr>
      </w:pPr>
      <w:r w:rsidRPr="00720B94">
        <w:rPr>
          <w:sz w:val="22"/>
          <w:szCs w:val="22"/>
        </w:rPr>
        <w:t>If the PI disagrees with the determination of the IBC</w:t>
      </w:r>
      <w:r w:rsidR="3FBBF76B" w:rsidRPr="00720B94">
        <w:rPr>
          <w:sz w:val="22"/>
          <w:szCs w:val="22"/>
        </w:rPr>
        <w:t xml:space="preserve"> regarding whether their research falls within the scope of Category 1 or 2, the PI may submit a written appeal </w:t>
      </w:r>
      <w:r w:rsidR="00582AC1" w:rsidRPr="00720B94">
        <w:rPr>
          <w:sz w:val="22"/>
          <w:szCs w:val="22"/>
        </w:rPr>
        <w:t xml:space="preserve">initially </w:t>
      </w:r>
      <w:r w:rsidR="0496CFE6" w:rsidRPr="00720B94">
        <w:rPr>
          <w:sz w:val="22"/>
          <w:szCs w:val="22"/>
        </w:rPr>
        <w:t xml:space="preserve">to the </w:t>
      </w:r>
      <w:r w:rsidR="00B1370F" w:rsidRPr="00720B94">
        <w:rPr>
          <w:sz w:val="22"/>
          <w:szCs w:val="22"/>
        </w:rPr>
        <w:t xml:space="preserve">IBC (grants@uwlax.edu) </w:t>
      </w:r>
      <w:r w:rsidR="0496CFE6" w:rsidRPr="00720B94">
        <w:rPr>
          <w:sz w:val="22"/>
          <w:szCs w:val="22"/>
        </w:rPr>
        <w:t>outlining the rationale for the</w:t>
      </w:r>
      <w:r w:rsidR="6E37BF12" w:rsidRPr="00720B94">
        <w:rPr>
          <w:sz w:val="22"/>
          <w:szCs w:val="22"/>
        </w:rPr>
        <w:t xml:space="preserve">ir dispute of the </w:t>
      </w:r>
      <w:r w:rsidR="00B1370F" w:rsidRPr="00720B94">
        <w:rPr>
          <w:sz w:val="22"/>
          <w:szCs w:val="22"/>
        </w:rPr>
        <w:t xml:space="preserve">original </w:t>
      </w:r>
      <w:r w:rsidR="6E37BF12" w:rsidRPr="00720B94">
        <w:rPr>
          <w:sz w:val="22"/>
          <w:szCs w:val="22"/>
        </w:rPr>
        <w:t>de</w:t>
      </w:r>
      <w:r w:rsidR="2B738B2D" w:rsidRPr="00720B94">
        <w:rPr>
          <w:sz w:val="22"/>
          <w:szCs w:val="22"/>
        </w:rPr>
        <w:t>terminatio</w:t>
      </w:r>
      <w:r w:rsidR="00B1370F" w:rsidRPr="00720B94">
        <w:rPr>
          <w:sz w:val="22"/>
          <w:szCs w:val="22"/>
        </w:rPr>
        <w:t>n</w:t>
      </w:r>
      <w:r w:rsidR="0496CFE6" w:rsidRPr="00720B94">
        <w:rPr>
          <w:sz w:val="22"/>
          <w:szCs w:val="22"/>
        </w:rPr>
        <w:t>.</w:t>
      </w:r>
      <w:r w:rsidR="00B1370F" w:rsidRPr="00720B94">
        <w:rPr>
          <w:sz w:val="22"/>
          <w:szCs w:val="22"/>
        </w:rPr>
        <w:t xml:space="preserve"> Rationale must be based on NIH standards and guidelines. If the appeal </w:t>
      </w:r>
      <w:r w:rsidR="00B1370F" w:rsidRPr="00720B94">
        <w:rPr>
          <w:sz w:val="22"/>
          <w:szCs w:val="22"/>
        </w:rPr>
        <w:lastRenderedPageBreak/>
        <w:t>is not resolved at this time, the appeal may be escalated to the</w:t>
      </w:r>
      <w:r w:rsidR="0496CFE6" w:rsidRPr="00720B94">
        <w:rPr>
          <w:sz w:val="22"/>
          <w:szCs w:val="22"/>
        </w:rPr>
        <w:t xml:space="preserve"> RIO</w:t>
      </w:r>
      <w:r w:rsidR="00B1370F" w:rsidRPr="00720B94">
        <w:rPr>
          <w:sz w:val="22"/>
          <w:szCs w:val="22"/>
        </w:rPr>
        <w:t xml:space="preserve"> at the PI’s request. The RIO </w:t>
      </w:r>
      <w:r w:rsidR="0496CFE6" w:rsidRPr="00720B94">
        <w:rPr>
          <w:sz w:val="22"/>
          <w:szCs w:val="22"/>
        </w:rPr>
        <w:t>will</w:t>
      </w:r>
      <w:r w:rsidR="00B1370F" w:rsidRPr="00720B94">
        <w:rPr>
          <w:sz w:val="22"/>
          <w:szCs w:val="22"/>
        </w:rPr>
        <w:t xml:space="preserve"> then</w:t>
      </w:r>
      <w:r w:rsidR="0496CFE6" w:rsidRPr="00720B94">
        <w:rPr>
          <w:sz w:val="22"/>
          <w:szCs w:val="22"/>
        </w:rPr>
        <w:t xml:space="preserve"> review</w:t>
      </w:r>
      <w:r w:rsidR="2B738B2D" w:rsidRPr="00720B94">
        <w:rPr>
          <w:sz w:val="22"/>
          <w:szCs w:val="22"/>
        </w:rPr>
        <w:t xml:space="preserve"> the information submitted, consult with ad hoc experts </w:t>
      </w:r>
      <w:r w:rsidR="683A815C" w:rsidRPr="00720B94">
        <w:rPr>
          <w:sz w:val="22"/>
          <w:szCs w:val="22"/>
        </w:rPr>
        <w:t xml:space="preserve">from the university or community as needed, and determine whether </w:t>
      </w:r>
      <w:r w:rsidR="5184D23B" w:rsidRPr="00720B94">
        <w:rPr>
          <w:sz w:val="22"/>
          <w:szCs w:val="22"/>
        </w:rPr>
        <w:t xml:space="preserve">to uphold the IBC’s </w:t>
      </w:r>
      <w:r w:rsidR="1B97B6D8" w:rsidRPr="00720B94">
        <w:rPr>
          <w:sz w:val="22"/>
          <w:szCs w:val="22"/>
        </w:rPr>
        <w:t>classification of the research</w:t>
      </w:r>
      <w:r w:rsidR="124C3D74" w:rsidRPr="00720B94">
        <w:rPr>
          <w:sz w:val="22"/>
          <w:szCs w:val="22"/>
        </w:rPr>
        <w:t xml:space="preserve">. </w:t>
      </w:r>
      <w:r w:rsidR="34B6233D" w:rsidRPr="00720B94">
        <w:rPr>
          <w:sz w:val="22"/>
          <w:szCs w:val="22"/>
        </w:rPr>
        <w:t>T</w:t>
      </w:r>
      <w:r w:rsidR="468663C7" w:rsidRPr="00720B94">
        <w:rPr>
          <w:sz w:val="22"/>
          <w:szCs w:val="22"/>
        </w:rPr>
        <w:t xml:space="preserve">he </w:t>
      </w:r>
      <w:r w:rsidR="0D808844" w:rsidRPr="00720B94">
        <w:rPr>
          <w:sz w:val="22"/>
          <w:szCs w:val="22"/>
        </w:rPr>
        <w:t xml:space="preserve">RIO may </w:t>
      </w:r>
      <w:r w:rsidR="34B6233D" w:rsidRPr="00720B94">
        <w:rPr>
          <w:sz w:val="22"/>
          <w:szCs w:val="22"/>
        </w:rPr>
        <w:t>alternately</w:t>
      </w:r>
      <w:r w:rsidR="40F02553" w:rsidRPr="00720B94">
        <w:rPr>
          <w:sz w:val="22"/>
          <w:szCs w:val="22"/>
        </w:rPr>
        <w:t>, or in addition,</w:t>
      </w:r>
      <w:r w:rsidR="34B6233D" w:rsidRPr="00720B94">
        <w:rPr>
          <w:sz w:val="22"/>
          <w:szCs w:val="22"/>
        </w:rPr>
        <w:t xml:space="preserve"> </w:t>
      </w:r>
      <w:r w:rsidR="0D808844" w:rsidRPr="00720B94">
        <w:rPr>
          <w:sz w:val="22"/>
          <w:szCs w:val="22"/>
        </w:rPr>
        <w:t xml:space="preserve">refer the proposed </w:t>
      </w:r>
      <w:r w:rsidR="468663C7" w:rsidRPr="00720B94">
        <w:rPr>
          <w:sz w:val="22"/>
          <w:szCs w:val="22"/>
        </w:rPr>
        <w:t>research to an external</w:t>
      </w:r>
      <w:r w:rsidR="3A7FE748" w:rsidRPr="00720B94">
        <w:rPr>
          <w:sz w:val="22"/>
          <w:szCs w:val="22"/>
        </w:rPr>
        <w:t>ly administered IBC</w:t>
      </w:r>
      <w:r w:rsidR="75E4A50A" w:rsidRPr="00720B94">
        <w:rPr>
          <w:sz w:val="22"/>
          <w:szCs w:val="22"/>
        </w:rPr>
        <w:t xml:space="preserve"> for review</w:t>
      </w:r>
      <w:r w:rsidR="3A7FE748" w:rsidRPr="00720B94">
        <w:rPr>
          <w:sz w:val="22"/>
          <w:szCs w:val="22"/>
        </w:rPr>
        <w:t xml:space="preserve">. </w:t>
      </w:r>
      <w:r w:rsidR="00B1370F" w:rsidRPr="00720B94">
        <w:rPr>
          <w:sz w:val="22"/>
          <w:szCs w:val="22"/>
        </w:rPr>
        <w:t>In that case, t</w:t>
      </w:r>
      <w:r w:rsidR="3A7FE748" w:rsidRPr="00720B94">
        <w:rPr>
          <w:sz w:val="22"/>
          <w:szCs w:val="22"/>
        </w:rPr>
        <w:t xml:space="preserve">he PI is responsible for identifying funding to cover the </w:t>
      </w:r>
      <w:r w:rsidR="3C1E3FDA" w:rsidRPr="00720B94">
        <w:rPr>
          <w:sz w:val="22"/>
          <w:szCs w:val="22"/>
        </w:rPr>
        <w:t xml:space="preserve">review </w:t>
      </w:r>
      <w:r w:rsidR="3A7FE748" w:rsidRPr="00720B94">
        <w:rPr>
          <w:sz w:val="22"/>
          <w:szCs w:val="22"/>
        </w:rPr>
        <w:t>cost</w:t>
      </w:r>
      <w:r w:rsidR="3C1E3FDA" w:rsidRPr="00720B94">
        <w:rPr>
          <w:sz w:val="22"/>
          <w:szCs w:val="22"/>
        </w:rPr>
        <w:t>s for</w:t>
      </w:r>
      <w:r w:rsidR="0D808844" w:rsidRPr="00720B94">
        <w:rPr>
          <w:sz w:val="22"/>
          <w:szCs w:val="22"/>
        </w:rPr>
        <w:t xml:space="preserve"> </w:t>
      </w:r>
      <w:r w:rsidR="3A7FE748" w:rsidRPr="00720B94">
        <w:rPr>
          <w:sz w:val="22"/>
          <w:szCs w:val="22"/>
        </w:rPr>
        <w:t>an ex</w:t>
      </w:r>
      <w:r w:rsidR="75E4A50A" w:rsidRPr="00720B94">
        <w:rPr>
          <w:sz w:val="22"/>
          <w:szCs w:val="22"/>
        </w:rPr>
        <w:t>ternally administered IBC</w:t>
      </w:r>
      <w:r w:rsidR="3C1E3FDA" w:rsidRPr="00720B94">
        <w:rPr>
          <w:sz w:val="22"/>
          <w:szCs w:val="22"/>
        </w:rPr>
        <w:t xml:space="preserve"> (e.g., extramural funding, start-up costs)</w:t>
      </w:r>
      <w:r w:rsidR="0D808844" w:rsidRPr="00720B94">
        <w:rPr>
          <w:sz w:val="22"/>
          <w:szCs w:val="22"/>
        </w:rPr>
        <w:t>.</w:t>
      </w:r>
    </w:p>
    <w:p w14:paraId="66AB55C5" w14:textId="3CB30819" w:rsidR="002F1B23" w:rsidRPr="00720B94" w:rsidRDefault="00E3693A" w:rsidP="0092380E">
      <w:pPr>
        <w:pStyle w:val="ListParagraph"/>
        <w:numPr>
          <w:ilvl w:val="0"/>
          <w:numId w:val="47"/>
        </w:numPr>
        <w:rPr>
          <w:rFonts w:eastAsia="Arial" w:cs="Arial"/>
          <w:sz w:val="22"/>
          <w:szCs w:val="22"/>
        </w:rPr>
      </w:pPr>
      <w:r w:rsidRPr="00720B94">
        <w:rPr>
          <w:sz w:val="22"/>
          <w:szCs w:val="22"/>
        </w:rPr>
        <w:t>The IBC works with t</w:t>
      </w:r>
      <w:r w:rsidR="00C852CC" w:rsidRPr="00720B94">
        <w:rPr>
          <w:sz w:val="22"/>
          <w:szCs w:val="22"/>
        </w:rPr>
        <w:t>he PI to conduct a risk-benefit assessment and develop a risk mitigation plan.</w:t>
      </w:r>
      <w:r w:rsidR="00CC1B3D" w:rsidRPr="00720B94">
        <w:rPr>
          <w:sz w:val="22"/>
          <w:szCs w:val="22"/>
        </w:rPr>
        <w:t xml:space="preserve"> The risk mitigation plan should be drafted in accordance with the</w:t>
      </w:r>
      <w:hyperlink r:id="rId129" w:history="1">
        <w:r w:rsidR="00CC1B3D" w:rsidRPr="00717676">
          <w:rPr>
            <w:rStyle w:val="Hyperlink"/>
            <w:color w:val="007D89" w:themeColor="accent3" w:themeShade="BF"/>
            <w:sz w:val="22"/>
            <w:szCs w:val="22"/>
          </w:rPr>
          <w:t xml:space="preserve"> Implementation Guidance: </w:t>
        </w:r>
        <w:r w:rsidR="004F7186" w:rsidRPr="00717676">
          <w:rPr>
            <w:rStyle w:val="Hyperlink"/>
            <w:color w:val="007D89" w:themeColor="accent3" w:themeShade="BF"/>
            <w:sz w:val="22"/>
            <w:szCs w:val="22"/>
          </w:rPr>
          <w:t xml:space="preserve">Guidance for </w:t>
        </w:r>
        <w:r w:rsidR="00CC1B3D" w:rsidRPr="00717676">
          <w:rPr>
            <w:rStyle w:val="Hyperlink"/>
            <w:color w:val="007D89" w:themeColor="accent3" w:themeShade="BF"/>
            <w:sz w:val="22"/>
            <w:szCs w:val="22"/>
          </w:rPr>
          <w:t>IRE</w:t>
        </w:r>
        <w:r w:rsidR="004F7186" w:rsidRPr="00717676">
          <w:rPr>
            <w:rStyle w:val="Hyperlink"/>
            <w:color w:val="007D89" w:themeColor="accent3" w:themeShade="BF"/>
            <w:sz w:val="22"/>
            <w:szCs w:val="22"/>
          </w:rPr>
          <w:t>s</w:t>
        </w:r>
        <w:r w:rsidR="00CC1B3D" w:rsidRPr="00717676">
          <w:rPr>
            <w:rStyle w:val="Hyperlink"/>
            <w:color w:val="007D89" w:themeColor="accent3" w:themeShade="BF"/>
            <w:sz w:val="22"/>
            <w:szCs w:val="22"/>
          </w:rPr>
          <w:t>: Drafting Risk Mitigations Plans</w:t>
        </w:r>
      </w:hyperlink>
      <w:r w:rsidR="00CC1B3D" w:rsidRPr="00720B94">
        <w:rPr>
          <w:sz w:val="22"/>
          <w:szCs w:val="22"/>
        </w:rPr>
        <w:t xml:space="preserve"> (p. 43-46).</w:t>
      </w:r>
      <w:r w:rsidR="001A2CC3" w:rsidRPr="00720B94">
        <w:rPr>
          <w:sz w:val="22"/>
          <w:szCs w:val="22"/>
        </w:rPr>
        <w:t xml:space="preserve"> Examples of risk mitigation approaches are described in Part F of the Implementation Guidance.</w:t>
      </w:r>
      <w:r w:rsidR="00C852CC" w:rsidRPr="00720B94">
        <w:rPr>
          <w:sz w:val="22"/>
          <w:szCs w:val="22"/>
        </w:rPr>
        <w:t xml:space="preserve"> </w:t>
      </w:r>
      <w:r w:rsidR="002F1B23" w:rsidRPr="00720B94">
        <w:rPr>
          <w:sz w:val="22"/>
          <w:szCs w:val="22"/>
        </w:rPr>
        <w:t>The IBC ensures the plan is reviewed, approved, and implemented before research begins.</w:t>
      </w:r>
    </w:p>
    <w:p w14:paraId="3FECCBC9" w14:textId="6579C5E8" w:rsidR="00E3693A" w:rsidRPr="00720B94" w:rsidRDefault="00C852CC" w:rsidP="0092380E">
      <w:pPr>
        <w:pStyle w:val="ListParagraph"/>
        <w:numPr>
          <w:ilvl w:val="1"/>
          <w:numId w:val="47"/>
        </w:numPr>
        <w:rPr>
          <w:rFonts w:eastAsia="Arial" w:cs="Arial"/>
          <w:sz w:val="22"/>
          <w:szCs w:val="22"/>
        </w:rPr>
      </w:pPr>
      <w:r w:rsidRPr="00720B94">
        <w:rPr>
          <w:sz w:val="22"/>
          <w:szCs w:val="22"/>
        </w:rPr>
        <w:t xml:space="preserve">For federally funded research, the IBC </w:t>
      </w:r>
      <w:r w:rsidR="004A3363" w:rsidRPr="00720B94">
        <w:rPr>
          <w:sz w:val="22"/>
          <w:szCs w:val="22"/>
        </w:rPr>
        <w:t xml:space="preserve">provides a copy of the risk mitigation plan to the </w:t>
      </w:r>
      <w:r w:rsidRPr="00720B94">
        <w:rPr>
          <w:sz w:val="22"/>
          <w:szCs w:val="22"/>
        </w:rPr>
        <w:t xml:space="preserve">federal agency </w:t>
      </w:r>
      <w:r w:rsidR="004A3363" w:rsidRPr="00720B94">
        <w:rPr>
          <w:sz w:val="22"/>
          <w:szCs w:val="22"/>
        </w:rPr>
        <w:t>within 90 days</w:t>
      </w:r>
      <w:r w:rsidR="004C6B08" w:rsidRPr="00720B94">
        <w:rPr>
          <w:sz w:val="22"/>
          <w:szCs w:val="22"/>
        </w:rPr>
        <w:t xml:space="preserve"> from the time the IBC determines the research to be Category 1 or 2.</w:t>
      </w:r>
      <w:r w:rsidR="005F3B01" w:rsidRPr="00720B94">
        <w:rPr>
          <w:sz w:val="22"/>
          <w:szCs w:val="22"/>
        </w:rPr>
        <w:t xml:space="preserve"> </w:t>
      </w:r>
    </w:p>
    <w:p w14:paraId="3E54610A" w14:textId="17F6A3E2" w:rsidR="002F1B23" w:rsidRPr="00720B94" w:rsidRDefault="00DA7718" w:rsidP="0092380E">
      <w:pPr>
        <w:pStyle w:val="ListParagraph"/>
        <w:numPr>
          <w:ilvl w:val="0"/>
          <w:numId w:val="47"/>
        </w:numPr>
        <w:rPr>
          <w:rFonts w:eastAsia="Arial" w:cs="Arial"/>
          <w:sz w:val="22"/>
          <w:szCs w:val="22"/>
        </w:rPr>
      </w:pPr>
      <w:r w:rsidRPr="00720B94">
        <w:rPr>
          <w:sz w:val="22"/>
          <w:szCs w:val="22"/>
        </w:rPr>
        <w:t>At minimum, t</w:t>
      </w:r>
      <w:r w:rsidR="00A62A34" w:rsidRPr="00720B94">
        <w:rPr>
          <w:sz w:val="22"/>
          <w:szCs w:val="22"/>
        </w:rPr>
        <w:t>he PI submits an annual progress report for Category 1 research or a semi-annual progress report for Category 2 research to the IBC.</w:t>
      </w:r>
      <w:r w:rsidRPr="00720B94">
        <w:rPr>
          <w:sz w:val="22"/>
          <w:szCs w:val="22"/>
        </w:rPr>
        <w:t xml:space="preserve"> More frequent reports may be prescribed by the risk mitigation plan</w:t>
      </w:r>
      <w:r w:rsidR="000F19C6" w:rsidRPr="00720B94">
        <w:rPr>
          <w:sz w:val="22"/>
          <w:szCs w:val="22"/>
        </w:rPr>
        <w:t xml:space="preserve"> as necessary.</w:t>
      </w:r>
    </w:p>
    <w:p w14:paraId="6A28D512" w14:textId="4290B670" w:rsidR="000F19C6" w:rsidRPr="00720B94" w:rsidRDefault="000F19C6" w:rsidP="0092380E">
      <w:pPr>
        <w:pStyle w:val="ListParagraph"/>
        <w:numPr>
          <w:ilvl w:val="1"/>
          <w:numId w:val="47"/>
        </w:numPr>
        <w:rPr>
          <w:rFonts w:eastAsia="Arial" w:cs="Arial"/>
          <w:sz w:val="22"/>
          <w:szCs w:val="22"/>
        </w:rPr>
      </w:pPr>
      <w:r w:rsidRPr="00720B94">
        <w:rPr>
          <w:sz w:val="22"/>
          <w:szCs w:val="22"/>
        </w:rPr>
        <w:t>Progress report will be prompted by ORSP as determined by the approved risk mitigation plan.</w:t>
      </w:r>
    </w:p>
    <w:p w14:paraId="3D48FAFC" w14:textId="797C103E" w:rsidR="005F3B01" w:rsidRPr="00720B94" w:rsidRDefault="000D02DB" w:rsidP="0092380E">
      <w:pPr>
        <w:pStyle w:val="ListParagraph"/>
        <w:numPr>
          <w:ilvl w:val="1"/>
          <w:numId w:val="47"/>
        </w:numPr>
        <w:rPr>
          <w:rFonts w:eastAsia="Arial" w:cs="Arial"/>
          <w:sz w:val="22"/>
          <w:szCs w:val="22"/>
        </w:rPr>
      </w:pPr>
      <w:r w:rsidRPr="00720B94">
        <w:rPr>
          <w:sz w:val="22"/>
          <w:szCs w:val="22"/>
        </w:rPr>
        <w:t xml:space="preserve">For federally funded projects, the PI is responsible for submitting </w:t>
      </w:r>
      <w:r w:rsidR="000F443C" w:rsidRPr="00720B94">
        <w:rPr>
          <w:sz w:val="22"/>
          <w:szCs w:val="22"/>
        </w:rPr>
        <w:t xml:space="preserve">required </w:t>
      </w:r>
      <w:r w:rsidRPr="00720B94">
        <w:rPr>
          <w:sz w:val="22"/>
          <w:szCs w:val="22"/>
        </w:rPr>
        <w:t>progress reports to the agency.</w:t>
      </w:r>
    </w:p>
    <w:p w14:paraId="5A645A01" w14:textId="77777777" w:rsidR="002F1B23" w:rsidRPr="00720B94" w:rsidRDefault="00DA7718" w:rsidP="0092380E">
      <w:pPr>
        <w:pStyle w:val="ListParagraph"/>
        <w:numPr>
          <w:ilvl w:val="0"/>
          <w:numId w:val="47"/>
        </w:numPr>
        <w:rPr>
          <w:rFonts w:eastAsia="Arial" w:cs="Arial"/>
          <w:sz w:val="22"/>
          <w:szCs w:val="22"/>
        </w:rPr>
      </w:pPr>
      <w:r w:rsidRPr="00720B94">
        <w:rPr>
          <w:sz w:val="22"/>
          <w:szCs w:val="22"/>
        </w:rPr>
        <w:t>At minimum, t</w:t>
      </w:r>
      <w:r w:rsidR="00854A2C" w:rsidRPr="00720B94">
        <w:rPr>
          <w:sz w:val="22"/>
          <w:szCs w:val="22"/>
        </w:rPr>
        <w:t>he IBC reviews Category 1 research annually and Category 2 research semi-annually to determine if additional modifications to the risk mitigation plan are needed.</w:t>
      </w:r>
      <w:r w:rsidRPr="00720B94">
        <w:rPr>
          <w:sz w:val="22"/>
          <w:szCs w:val="22"/>
        </w:rPr>
        <w:t xml:space="preserve"> More frequent assessment may be prescribed by the risk mitigation plan.</w:t>
      </w:r>
      <w:r w:rsidR="00176B18" w:rsidRPr="00720B94">
        <w:rPr>
          <w:sz w:val="22"/>
          <w:szCs w:val="22"/>
        </w:rPr>
        <w:t xml:space="preserve"> </w:t>
      </w:r>
    </w:p>
    <w:p w14:paraId="19C6F6B5" w14:textId="19367CF4" w:rsidR="00340A6A" w:rsidRPr="00720B94" w:rsidRDefault="0013596D" w:rsidP="0092380E">
      <w:pPr>
        <w:pStyle w:val="ListParagraph"/>
        <w:numPr>
          <w:ilvl w:val="1"/>
          <w:numId w:val="47"/>
        </w:numPr>
        <w:rPr>
          <w:rFonts w:eastAsia="Arial" w:cs="Arial"/>
          <w:sz w:val="22"/>
          <w:szCs w:val="22"/>
        </w:rPr>
      </w:pPr>
      <w:r w:rsidRPr="00720B94">
        <w:rPr>
          <w:sz w:val="22"/>
          <w:szCs w:val="22"/>
        </w:rPr>
        <w:t xml:space="preserve">For federally funded projects, </w:t>
      </w:r>
      <w:r w:rsidR="00510948" w:rsidRPr="00720B94">
        <w:rPr>
          <w:sz w:val="22"/>
          <w:szCs w:val="22"/>
        </w:rPr>
        <w:t xml:space="preserve">the IBC will </w:t>
      </w:r>
      <w:r w:rsidR="003D71E4" w:rsidRPr="00720B94">
        <w:rPr>
          <w:sz w:val="22"/>
          <w:szCs w:val="22"/>
        </w:rPr>
        <w:t xml:space="preserve">annually </w:t>
      </w:r>
      <w:r w:rsidR="00510948" w:rsidRPr="00720B94">
        <w:rPr>
          <w:sz w:val="22"/>
          <w:szCs w:val="22"/>
        </w:rPr>
        <w:t>provide formal assurance to relevant federal agencies that the university is operating consistent with the federal policy.</w:t>
      </w:r>
    </w:p>
    <w:p w14:paraId="6AB6AFF2" w14:textId="20AA584B" w:rsidR="00D62BA5" w:rsidRPr="00720B94" w:rsidRDefault="00D62BA5" w:rsidP="0092380E">
      <w:pPr>
        <w:pStyle w:val="ListParagraph"/>
        <w:numPr>
          <w:ilvl w:val="0"/>
          <w:numId w:val="47"/>
        </w:numPr>
        <w:rPr>
          <w:rFonts w:eastAsia="Arial" w:cs="Arial"/>
          <w:sz w:val="22"/>
          <w:szCs w:val="22"/>
        </w:rPr>
      </w:pPr>
      <w:r w:rsidRPr="00720B94">
        <w:rPr>
          <w:sz w:val="22"/>
          <w:szCs w:val="22"/>
        </w:rPr>
        <w:t>When Category 1 or 2 research is completed, PIs are responsible for completing a</w:t>
      </w:r>
      <w:r w:rsidR="006B6695" w:rsidRPr="00720B94">
        <w:rPr>
          <w:sz w:val="22"/>
          <w:szCs w:val="22"/>
        </w:rPr>
        <w:t>n IBC Protocol Closure Form</w:t>
      </w:r>
      <w:r w:rsidR="007923E6" w:rsidRPr="00720B94">
        <w:rPr>
          <w:sz w:val="22"/>
          <w:szCs w:val="22"/>
        </w:rPr>
        <w:t xml:space="preserve"> that describes the disposition of </w:t>
      </w:r>
      <w:r w:rsidR="00E35F8F" w:rsidRPr="00720B94">
        <w:rPr>
          <w:sz w:val="22"/>
          <w:szCs w:val="22"/>
        </w:rPr>
        <w:t xml:space="preserve">the </w:t>
      </w:r>
      <w:r w:rsidR="007923E6" w:rsidRPr="00720B94">
        <w:rPr>
          <w:sz w:val="22"/>
          <w:szCs w:val="22"/>
        </w:rPr>
        <w:t>biological agent</w:t>
      </w:r>
      <w:r w:rsidR="00E35F8F" w:rsidRPr="00720B94">
        <w:rPr>
          <w:sz w:val="22"/>
          <w:szCs w:val="22"/>
        </w:rPr>
        <w:t>(s)/toxin(s) to ensure they are properly accounted for</w:t>
      </w:r>
      <w:r w:rsidR="006D3C5C" w:rsidRPr="00720B94">
        <w:rPr>
          <w:sz w:val="22"/>
          <w:szCs w:val="22"/>
        </w:rPr>
        <w:t xml:space="preserve"> and</w:t>
      </w:r>
      <w:r w:rsidR="00E35F8F" w:rsidRPr="00720B94">
        <w:rPr>
          <w:sz w:val="22"/>
          <w:szCs w:val="22"/>
        </w:rPr>
        <w:t xml:space="preserve"> destroyed when no longer needed.</w:t>
      </w:r>
      <w:r w:rsidR="0000233F" w:rsidRPr="00720B94">
        <w:rPr>
          <w:sz w:val="22"/>
          <w:szCs w:val="22"/>
        </w:rPr>
        <w:t xml:space="preserve"> The</w:t>
      </w:r>
      <w:r w:rsidR="0082706F" w:rsidRPr="00720B94">
        <w:rPr>
          <w:sz w:val="22"/>
          <w:szCs w:val="22"/>
        </w:rPr>
        <w:t xml:space="preserve"> closure form must be accompanied by written confirmation from the relevant lab manager that the </w:t>
      </w:r>
      <w:r w:rsidR="008619FC" w:rsidRPr="00720B94">
        <w:rPr>
          <w:sz w:val="22"/>
          <w:szCs w:val="22"/>
        </w:rPr>
        <w:t>measures described in the form have been completed.</w:t>
      </w:r>
    </w:p>
    <w:p w14:paraId="45C97532" w14:textId="4C5C816F" w:rsidR="00AE3975" w:rsidRPr="00720B94" w:rsidRDefault="00340A6A" w:rsidP="0092380E">
      <w:pPr>
        <w:pStyle w:val="ListParagraph"/>
        <w:numPr>
          <w:ilvl w:val="0"/>
          <w:numId w:val="47"/>
        </w:numPr>
        <w:spacing w:after="160"/>
        <w:rPr>
          <w:rFonts w:eastAsia="Arial" w:cs="Arial"/>
        </w:rPr>
      </w:pPr>
      <w:r w:rsidRPr="00720B94">
        <w:rPr>
          <w:sz w:val="22"/>
          <w:szCs w:val="22"/>
        </w:rPr>
        <w:t xml:space="preserve">ORSP maintains all records of reviews, risk mitigation plans, reports, </w:t>
      </w:r>
      <w:r w:rsidR="0009463F" w:rsidRPr="00720B94">
        <w:rPr>
          <w:sz w:val="22"/>
          <w:szCs w:val="22"/>
        </w:rPr>
        <w:t xml:space="preserve">training completion, </w:t>
      </w:r>
      <w:r w:rsidRPr="00720B94">
        <w:rPr>
          <w:sz w:val="22"/>
          <w:szCs w:val="22"/>
        </w:rPr>
        <w:t>and other associated documentation in accordance with federal and state record retention requirements.</w:t>
      </w:r>
    </w:p>
    <w:p w14:paraId="55C10538" w14:textId="78AAA6AF" w:rsidR="00606C78" w:rsidRPr="00720B94" w:rsidRDefault="00563A57" w:rsidP="00720B94">
      <w:r w:rsidRPr="00720B94">
        <w:t xml:space="preserve">For federally funded projects, the IBC will report instances of failure to follow </w:t>
      </w:r>
      <w:r w:rsidR="00606C78" w:rsidRPr="00720B94">
        <w:t xml:space="preserve">federal </w:t>
      </w:r>
      <w:r w:rsidRPr="00720B94">
        <w:t xml:space="preserve">policy and mitigation measures </w:t>
      </w:r>
      <w:r w:rsidR="00606C78" w:rsidRPr="00720B94">
        <w:t xml:space="preserve">to prevent recurrences within 30 calendar days of when the university becomes aware of the </w:t>
      </w:r>
      <w:r w:rsidR="00340A6A" w:rsidRPr="00720B94">
        <w:t>failure or is notified of the failure.</w:t>
      </w:r>
    </w:p>
    <w:p w14:paraId="59105D14" w14:textId="16F200DB" w:rsidR="002D06A7" w:rsidRPr="00720B94" w:rsidRDefault="002134D7" w:rsidP="00720B94">
      <w:pPr>
        <w:pStyle w:val="Heading2"/>
      </w:pPr>
      <w:bookmarkStart w:id="78" w:name="_Toc192509379"/>
      <w:r w:rsidRPr="00720B94">
        <w:t>Training</w:t>
      </w:r>
      <w:bookmarkEnd w:id="78"/>
    </w:p>
    <w:p w14:paraId="29400696" w14:textId="5FF3E5F7" w:rsidR="002134D7" w:rsidRPr="00720B94" w:rsidRDefault="003D27DC" w:rsidP="00720B94">
      <w:pPr>
        <w:rPr>
          <w:rFonts w:eastAsia="Arial" w:cs="Arial"/>
        </w:rPr>
      </w:pPr>
      <w:r w:rsidRPr="00720B94">
        <w:rPr>
          <w:rFonts w:eastAsia="Arial" w:cs="Arial"/>
        </w:rPr>
        <w:t xml:space="preserve">The university is responsible for providing education and training on research oversight for Category 1 or 2 research for individuals conducting life sciences research that </w:t>
      </w:r>
      <w:r w:rsidRPr="00720B94">
        <w:rPr>
          <w:rFonts w:eastAsia="Arial" w:cs="Arial"/>
          <w:i/>
          <w:iCs/>
        </w:rPr>
        <w:t xml:space="preserve">may </w:t>
      </w:r>
      <w:r w:rsidRPr="00720B94">
        <w:rPr>
          <w:rFonts w:eastAsia="Arial" w:cs="Arial"/>
        </w:rPr>
        <w:t>be within the scope of the federal DURC &amp; PEPP policy.</w:t>
      </w:r>
      <w:r w:rsidR="002C4AAB" w:rsidRPr="00720B94">
        <w:rPr>
          <w:rFonts w:eastAsia="Arial" w:cs="Arial"/>
        </w:rPr>
        <w:t xml:space="preserve"> Consequently, researchers working with</w:t>
      </w:r>
      <w:r w:rsidR="000F19C6" w:rsidRPr="00720B94">
        <w:rPr>
          <w:rFonts w:eastAsia="Arial" w:cs="Arial"/>
        </w:rPr>
        <w:t xml:space="preserve"> applicable materials</w:t>
      </w:r>
      <w:r w:rsidR="002C4AAB" w:rsidRPr="00720B94">
        <w:rPr>
          <w:rFonts w:eastAsia="Arial" w:cs="Arial"/>
        </w:rPr>
        <w:t xml:space="preserve"> must complete </w:t>
      </w:r>
      <w:r w:rsidR="000F19C6" w:rsidRPr="00720B94">
        <w:rPr>
          <w:rFonts w:eastAsia="Arial" w:cs="Arial"/>
        </w:rPr>
        <w:t>the Biosafety and Biosecurity</w:t>
      </w:r>
      <w:r w:rsidR="002C4AAB" w:rsidRPr="00720B94">
        <w:rPr>
          <w:rFonts w:eastAsia="Arial" w:cs="Arial"/>
        </w:rPr>
        <w:t xml:space="preserve"> training modules in CITI </w:t>
      </w:r>
      <w:r w:rsidR="003C248D" w:rsidRPr="00720B94">
        <w:rPr>
          <w:rFonts w:eastAsia="Arial" w:cs="Arial"/>
        </w:rPr>
        <w:t>every 3 years</w:t>
      </w:r>
      <w:r w:rsidR="000F19C6" w:rsidRPr="00720B94">
        <w:rPr>
          <w:rFonts w:eastAsia="Arial" w:cs="Arial"/>
        </w:rPr>
        <w:t>, which addresses the United States Government Policy for Oversight of DURC and PEPP</w:t>
      </w:r>
      <w:r w:rsidR="003C248D" w:rsidRPr="00720B94">
        <w:rPr>
          <w:rFonts w:eastAsia="Arial" w:cs="Arial"/>
        </w:rPr>
        <w:t>.</w:t>
      </w:r>
      <w:r w:rsidR="003555DA" w:rsidRPr="00720B94">
        <w:rPr>
          <w:rFonts w:eastAsia="Arial" w:cs="Arial"/>
        </w:rPr>
        <w:t xml:space="preserve"> Refer to </w:t>
      </w:r>
      <w:hyperlink w:anchor="_Training" w:history="1">
        <w:r w:rsidR="003555DA" w:rsidRPr="00717676">
          <w:rPr>
            <w:rStyle w:val="Hyperlink"/>
            <w:rFonts w:eastAsia="Arial" w:cs="Arial"/>
            <w:color w:val="007D89" w:themeColor="accent3" w:themeShade="BF"/>
          </w:rPr>
          <w:t>Training</w:t>
        </w:r>
      </w:hyperlink>
      <w:r w:rsidR="003555DA" w:rsidRPr="00720B94">
        <w:rPr>
          <w:rFonts w:eastAsia="Arial" w:cs="Arial"/>
        </w:rPr>
        <w:t>.</w:t>
      </w:r>
    </w:p>
    <w:p w14:paraId="01AB8617" w14:textId="4968FD7A" w:rsidR="00907F89" w:rsidRPr="00720B94" w:rsidDel="003C248D" w:rsidRDefault="001237C8" w:rsidP="00720B94">
      <w:pPr>
        <w:pStyle w:val="Heading1"/>
      </w:pPr>
      <w:bookmarkStart w:id="79" w:name="_Toc192509380"/>
      <w:r w:rsidRPr="00720B94">
        <w:t>Research with Select Agents</w:t>
      </w:r>
      <w:r w:rsidR="001F0A49" w:rsidRPr="00720B94">
        <w:t xml:space="preserve"> &amp; Toxins</w:t>
      </w:r>
      <w:bookmarkEnd w:id="79"/>
    </w:p>
    <w:p w14:paraId="1D23F4D8" w14:textId="5EBC6983" w:rsidR="00027FC9" w:rsidRPr="00720B94" w:rsidRDefault="00E32F1B" w:rsidP="00720B94">
      <w:r w:rsidRPr="00720B94">
        <w:t xml:space="preserve">Biological Select Agents or Toxins (BSATs) are biological agents that have been declared by the US Department of Health and Human Services (HHS) or by the US Department of Agriculture (USDA) to have the “potential to pose severe threat to public health and safety.” The Federal Select Agent Program regulates the laboratories which may possess, use, or transfer select agents within the United </w:t>
      </w:r>
      <w:r w:rsidRPr="00720B94">
        <w:lastRenderedPageBreak/>
        <w:t xml:space="preserve">States. To acquire more information on the </w:t>
      </w:r>
      <w:proofErr w:type="gramStart"/>
      <w:r w:rsidRPr="00720B94">
        <w:t>federal</w:t>
      </w:r>
      <w:proofErr w:type="gramEnd"/>
      <w:r w:rsidRPr="00720B94">
        <w:t xml:space="preserve"> select agent program</w:t>
      </w:r>
      <w:r w:rsidR="00E97923" w:rsidRPr="00720B94">
        <w:t>,</w:t>
      </w:r>
      <w:r w:rsidRPr="00720B94">
        <w:t xml:space="preserve"> including a complete list of biological agents and toxins which fall under these regulations</w:t>
      </w:r>
      <w:r w:rsidR="00E97923" w:rsidRPr="00720B94">
        <w:t>,</w:t>
      </w:r>
      <w:r w:rsidRPr="00720B94">
        <w:t xml:space="preserve"> </w:t>
      </w:r>
      <w:r w:rsidR="00E97923" w:rsidRPr="00720B94">
        <w:t>see</w:t>
      </w:r>
      <w:r w:rsidRPr="00720B94">
        <w:t xml:space="preserve"> </w:t>
      </w:r>
      <w:hyperlink r:id="rId130">
        <w:r w:rsidR="00E97923" w:rsidRPr="00717676">
          <w:rPr>
            <w:rStyle w:val="Hyperlink"/>
            <w:color w:val="007D89" w:themeColor="accent3" w:themeShade="BF"/>
          </w:rPr>
          <w:t>www.selectagents.gov</w:t>
        </w:r>
      </w:hyperlink>
      <w:r w:rsidRPr="00720B94">
        <w:t>.</w:t>
      </w:r>
      <w:r w:rsidR="0092160C" w:rsidRPr="00720B94">
        <w:t xml:space="preserve"> All</w:t>
      </w:r>
      <w:r w:rsidR="007630DD" w:rsidRPr="00720B94">
        <w:t xml:space="preserve"> select agents and toxins are subject to the federal DURC and PEPP policy and related university requirements (refer to </w:t>
      </w:r>
      <w:hyperlink w:anchor="_Dual_Use_Research" w:history="1">
        <w:r w:rsidR="007630DD" w:rsidRPr="00717676">
          <w:rPr>
            <w:rStyle w:val="Hyperlink"/>
            <w:color w:val="007D89" w:themeColor="accent3" w:themeShade="BF"/>
          </w:rPr>
          <w:t>DURC &amp; PEPP section</w:t>
        </w:r>
      </w:hyperlink>
      <w:r w:rsidR="007630DD" w:rsidRPr="00720B94">
        <w:t>).</w:t>
      </w:r>
      <w:r w:rsidR="00BB362C" w:rsidRPr="00720B94">
        <w:t xml:space="preserve"> I</w:t>
      </w:r>
      <w:r w:rsidR="00563FC4" w:rsidRPr="00720B94">
        <w:t>f a researcher is</w:t>
      </w:r>
      <w:r w:rsidRPr="00720B94">
        <w:t xml:space="preserve"> considering starting work with select agents, please contact the </w:t>
      </w:r>
      <w:r w:rsidR="00563FC4" w:rsidRPr="00720B94">
        <w:t xml:space="preserve">IBC </w:t>
      </w:r>
      <w:r w:rsidR="004B35B7" w:rsidRPr="00720B94">
        <w:t>Coordinator</w:t>
      </w:r>
      <w:r w:rsidRPr="00720B94">
        <w:t>.</w:t>
      </w:r>
    </w:p>
    <w:p w14:paraId="2020AA6F" w14:textId="774F17F6" w:rsidR="00C87A61" w:rsidRPr="00720B94" w:rsidRDefault="00C87A61" w:rsidP="00720B94">
      <w:pPr>
        <w:pStyle w:val="Heading1"/>
      </w:pPr>
      <w:bookmarkStart w:id="80" w:name="_Toc192509381"/>
      <w:r w:rsidRPr="00720B94">
        <w:t>Biosafety Regulations &amp; Resources</w:t>
      </w:r>
      <w:bookmarkEnd w:id="80"/>
    </w:p>
    <w:p w14:paraId="30572C22" w14:textId="10C4203D" w:rsidR="00C87A61" w:rsidRPr="00720B94" w:rsidRDefault="00C87A61" w:rsidP="00720B94">
      <w:pPr>
        <w:pStyle w:val="Heading2"/>
      </w:pPr>
      <w:bookmarkStart w:id="81" w:name="_Toc192509382"/>
      <w:r w:rsidRPr="00720B94">
        <w:t>Regulations</w:t>
      </w:r>
      <w:bookmarkEnd w:id="81"/>
    </w:p>
    <w:p w14:paraId="2037340D" w14:textId="43D6B724" w:rsidR="00C87A61" w:rsidRPr="00720B94" w:rsidRDefault="00C87A61" w:rsidP="0092380E">
      <w:pPr>
        <w:pStyle w:val="ListParagraph"/>
        <w:numPr>
          <w:ilvl w:val="0"/>
          <w:numId w:val="42"/>
        </w:numPr>
        <w:ind w:left="720"/>
        <w:rPr>
          <w:rFonts w:cs="Arial"/>
          <w:sz w:val="22"/>
          <w:szCs w:val="22"/>
        </w:rPr>
      </w:pPr>
      <w:r w:rsidRPr="00720B94">
        <w:rPr>
          <w:b/>
          <w:bCs/>
          <w:sz w:val="22"/>
          <w:szCs w:val="22"/>
        </w:rPr>
        <w:t>Federal Guidelines</w:t>
      </w:r>
      <w:r w:rsidRPr="00720B94">
        <w:rPr>
          <w:sz w:val="22"/>
          <w:szCs w:val="22"/>
        </w:rPr>
        <w:t>: Certain research is subject to federal guidelines and regulations prescribed by the NIH, CDC, the US Department of Agriculture (USDA), the US Environmental Protection Agency, and the U.S. Food and Drug Administration. Investigators utilizing human blood and other potentially infectious human materials must meet certain requirements</w:t>
      </w:r>
      <w:r w:rsidR="00FA2E90" w:rsidRPr="00720B94">
        <w:rPr>
          <w:sz w:val="22"/>
          <w:szCs w:val="22"/>
        </w:rPr>
        <w:t>.</w:t>
      </w:r>
    </w:p>
    <w:p w14:paraId="78B8982A" w14:textId="0924A241" w:rsidR="00743916" w:rsidRPr="00720B94" w:rsidRDefault="00647D79" w:rsidP="0092380E">
      <w:pPr>
        <w:pStyle w:val="ListParagraph"/>
        <w:numPr>
          <w:ilvl w:val="2"/>
          <w:numId w:val="42"/>
        </w:numPr>
        <w:rPr>
          <w:sz w:val="22"/>
          <w:szCs w:val="22"/>
        </w:rPr>
      </w:pPr>
      <w:hyperlink r:id="rId131" w:history="1">
        <w:r w:rsidRPr="00717676">
          <w:rPr>
            <w:rStyle w:val="Hyperlink"/>
            <w:rFonts w:cs="Arial"/>
            <w:color w:val="007D89" w:themeColor="accent3" w:themeShade="BF"/>
            <w:sz w:val="22"/>
            <w:szCs w:val="22"/>
          </w:rPr>
          <w:t>National Institutes of Health (</w:t>
        </w:r>
        <w:r w:rsidR="00743916" w:rsidRPr="00717676">
          <w:rPr>
            <w:rStyle w:val="Hyperlink"/>
            <w:rFonts w:cs="Arial"/>
            <w:color w:val="007D89" w:themeColor="accent3" w:themeShade="BF"/>
            <w:sz w:val="22"/>
            <w:szCs w:val="22"/>
          </w:rPr>
          <w:t>NIH</w:t>
        </w:r>
        <w:r w:rsidRPr="00717676">
          <w:rPr>
            <w:rStyle w:val="Hyperlink"/>
            <w:rFonts w:cs="Arial"/>
            <w:color w:val="007D89" w:themeColor="accent3" w:themeShade="BF"/>
            <w:sz w:val="22"/>
            <w:szCs w:val="22"/>
          </w:rPr>
          <w:t>)</w:t>
        </w:r>
        <w:r w:rsidR="00743916" w:rsidRPr="00717676">
          <w:rPr>
            <w:rStyle w:val="Hyperlink"/>
            <w:rFonts w:cs="Arial"/>
            <w:color w:val="007D89" w:themeColor="accent3" w:themeShade="BF"/>
            <w:sz w:val="22"/>
            <w:szCs w:val="22"/>
          </w:rPr>
          <w:t xml:space="preserve"> Guidelines</w:t>
        </w:r>
        <w:r w:rsidR="00B94EF8" w:rsidRPr="00717676">
          <w:rPr>
            <w:rStyle w:val="Hyperlink"/>
            <w:rFonts w:cs="Arial"/>
            <w:color w:val="007D89" w:themeColor="accent3" w:themeShade="BF"/>
            <w:sz w:val="22"/>
            <w:szCs w:val="22"/>
          </w:rPr>
          <w:t xml:space="preserve"> for Research Involving Recombinant or Synthetic Nucleic Acid Molecules</w:t>
        </w:r>
        <w:r w:rsidR="00DC2C20" w:rsidRPr="00717676">
          <w:rPr>
            <w:rStyle w:val="Hyperlink"/>
            <w:rFonts w:cs="Arial"/>
            <w:color w:val="007D89" w:themeColor="accent3" w:themeShade="BF"/>
            <w:sz w:val="22"/>
            <w:szCs w:val="22"/>
          </w:rPr>
          <w:t xml:space="preserve"> (NIH Guidelines)</w:t>
        </w:r>
      </w:hyperlink>
      <w:r w:rsidR="00743916" w:rsidRPr="00720B94">
        <w:rPr>
          <w:rFonts w:cs="Arial"/>
          <w:color w:val="000000"/>
          <w:sz w:val="22"/>
          <w:szCs w:val="22"/>
          <w:shd w:val="clear" w:color="auto" w:fill="FFFFFF"/>
        </w:rPr>
        <w:t xml:space="preserve"> </w:t>
      </w:r>
    </w:p>
    <w:p w14:paraId="089A72A0" w14:textId="4CABA4A2" w:rsidR="00F35E01" w:rsidRPr="00720B94" w:rsidRDefault="00647D79" w:rsidP="0092380E">
      <w:pPr>
        <w:pStyle w:val="ListParagraph"/>
        <w:numPr>
          <w:ilvl w:val="2"/>
          <w:numId w:val="42"/>
        </w:numPr>
        <w:rPr>
          <w:rStyle w:val="Hyperlink"/>
          <w:rFonts w:cs="Arial"/>
          <w:sz w:val="22"/>
          <w:szCs w:val="22"/>
          <w:shd w:val="clear" w:color="auto" w:fill="FFFFFF"/>
        </w:rPr>
      </w:pPr>
      <w:hyperlink r:id="rId132" w:history="1">
        <w:r w:rsidRPr="00717676">
          <w:rPr>
            <w:rStyle w:val="Hyperlink"/>
            <w:color w:val="007D89" w:themeColor="accent3" w:themeShade="BF"/>
            <w:sz w:val="22"/>
            <w:szCs w:val="22"/>
          </w:rPr>
          <w:t>Centers for Disease Control and Prevention (CDC) Biosafety in Microbiological and Biomedical Laboratories (BMBL</w:t>
        </w:r>
        <w:r w:rsidR="00DC2C20" w:rsidRPr="00717676">
          <w:rPr>
            <w:rStyle w:val="Hyperlink"/>
            <w:color w:val="007D89" w:themeColor="accent3" w:themeShade="BF"/>
            <w:sz w:val="22"/>
            <w:szCs w:val="22"/>
          </w:rPr>
          <w:t>)</w:t>
        </w:r>
      </w:hyperlink>
    </w:p>
    <w:p w14:paraId="4BE9DFC2" w14:textId="2C901867" w:rsidR="006B02FF" w:rsidRPr="00720B94" w:rsidRDefault="006B02FF" w:rsidP="0092380E">
      <w:pPr>
        <w:pStyle w:val="ListParagraph"/>
        <w:numPr>
          <w:ilvl w:val="2"/>
          <w:numId w:val="42"/>
        </w:numPr>
        <w:rPr>
          <w:rFonts w:cs="Arial"/>
          <w:color w:val="00A8B8" w:themeColor="hyperlink"/>
          <w:sz w:val="22"/>
          <w:szCs w:val="22"/>
          <w:u w:val="single"/>
          <w:shd w:val="clear" w:color="auto" w:fill="FFFFFF"/>
        </w:rPr>
      </w:pPr>
      <w:hyperlink r:id="rId133" w:history="1">
        <w:r w:rsidRPr="00717676">
          <w:rPr>
            <w:rStyle w:val="Hyperlink"/>
            <w:color w:val="007D89" w:themeColor="accent3" w:themeShade="BF"/>
            <w:sz w:val="22"/>
            <w:szCs w:val="22"/>
          </w:rPr>
          <w:t>US Government Policy for Oversight of Dual Use Research of Concern (DURC) and Pathogens with Enhanced Pandemic Potential (PEPP)</w:t>
        </w:r>
      </w:hyperlink>
      <w:r w:rsidRPr="00720B94">
        <w:rPr>
          <w:sz w:val="22"/>
          <w:szCs w:val="22"/>
        </w:rPr>
        <w:t xml:space="preserve"> and </w:t>
      </w:r>
      <w:hyperlink r:id="rId134" w:history="1">
        <w:r w:rsidRPr="00717676">
          <w:rPr>
            <w:rStyle w:val="Hyperlink"/>
            <w:rFonts w:eastAsia="Arial" w:cs="Arial"/>
            <w:color w:val="007D89" w:themeColor="accent3" w:themeShade="BF"/>
            <w:sz w:val="22"/>
            <w:szCs w:val="22"/>
          </w:rPr>
          <w:t>Implementation Guidance</w:t>
        </w:r>
      </w:hyperlink>
    </w:p>
    <w:p w14:paraId="43032DF2" w14:textId="6C067075" w:rsidR="00034157" w:rsidRPr="00720B94" w:rsidRDefault="00034157" w:rsidP="0092380E">
      <w:pPr>
        <w:pStyle w:val="ListParagraph"/>
        <w:numPr>
          <w:ilvl w:val="0"/>
          <w:numId w:val="42"/>
        </w:numPr>
        <w:ind w:left="720"/>
        <w:rPr>
          <w:sz w:val="22"/>
          <w:szCs w:val="22"/>
        </w:rPr>
      </w:pPr>
      <w:r w:rsidRPr="00720B94">
        <w:rPr>
          <w:b/>
          <w:bCs/>
          <w:sz w:val="22"/>
          <w:szCs w:val="22"/>
        </w:rPr>
        <w:t>Wisconsin Department of Commerce Regulations/OSHA Bloodborne Pathogens Standard</w:t>
      </w:r>
      <w:r w:rsidRPr="00720B94">
        <w:rPr>
          <w:sz w:val="22"/>
          <w:szCs w:val="22"/>
        </w:rPr>
        <w:t xml:space="preserve">: As a public institution, the university must also comply with regulations prescribed by the Wisconsin Department of Commerce, including the </w:t>
      </w:r>
      <w:hyperlink r:id="rId135" w:history="1">
        <w:r w:rsidRPr="00717676">
          <w:rPr>
            <w:rStyle w:val="Hyperlink"/>
            <w:color w:val="007D89" w:themeColor="accent3" w:themeShade="BF"/>
            <w:sz w:val="22"/>
            <w:szCs w:val="22"/>
          </w:rPr>
          <w:t>Bloodborne Pathogens Standard</w:t>
        </w:r>
      </w:hyperlink>
      <w:r w:rsidRPr="00720B94">
        <w:rPr>
          <w:sz w:val="22"/>
          <w:szCs w:val="22"/>
        </w:rPr>
        <w:t xml:space="preserve"> mandated by the Occupational Safety and Health Administration (OSHA). At UWL, this compliance area is overseen by Environmental Health &amp; Safety.</w:t>
      </w:r>
    </w:p>
    <w:p w14:paraId="00D4AB65" w14:textId="012D542F" w:rsidR="00C87A61" w:rsidRPr="00720B94" w:rsidRDefault="00C87A61" w:rsidP="0092380E">
      <w:pPr>
        <w:pStyle w:val="ListParagraph"/>
        <w:numPr>
          <w:ilvl w:val="0"/>
          <w:numId w:val="42"/>
        </w:numPr>
        <w:ind w:left="720"/>
        <w:rPr>
          <w:sz w:val="22"/>
          <w:szCs w:val="22"/>
        </w:rPr>
      </w:pPr>
      <w:r w:rsidRPr="00720B94">
        <w:rPr>
          <w:b/>
          <w:bCs/>
          <w:sz w:val="22"/>
          <w:szCs w:val="22"/>
        </w:rPr>
        <w:t>State Law Regarding rDNA Field Studies</w:t>
      </w:r>
      <w:r w:rsidRPr="00720B94">
        <w:rPr>
          <w:sz w:val="22"/>
          <w:szCs w:val="22"/>
        </w:rPr>
        <w:t>: The State of Wisconsin has enacted a law requiring that the Wisconsin Department of Natural Resources or Department of Agriculture, Trade and Consumer Protection (DATCP) be notified of intended field studies of genetically engineered organisms.</w:t>
      </w:r>
    </w:p>
    <w:p w14:paraId="55A2F37B" w14:textId="1B758F82" w:rsidR="00C87A61" w:rsidRPr="00720B94" w:rsidRDefault="00C87A61" w:rsidP="0092380E">
      <w:pPr>
        <w:pStyle w:val="ListParagraph"/>
        <w:numPr>
          <w:ilvl w:val="0"/>
          <w:numId w:val="42"/>
        </w:numPr>
        <w:spacing w:after="160"/>
        <w:ind w:left="720"/>
        <w:rPr>
          <w:sz w:val="22"/>
          <w:szCs w:val="22"/>
        </w:rPr>
      </w:pPr>
      <w:r w:rsidRPr="00720B94">
        <w:rPr>
          <w:b/>
          <w:bCs/>
          <w:sz w:val="22"/>
          <w:szCs w:val="22"/>
        </w:rPr>
        <w:t>Wisconsin Department of Natural Resources Guidelines for Waste Disposal</w:t>
      </w:r>
      <w:r w:rsidRPr="00720B94">
        <w:rPr>
          <w:sz w:val="22"/>
          <w:szCs w:val="22"/>
        </w:rPr>
        <w:t xml:space="preserve">: The DNR has established regulations for the decontamination and elimination of infectious and medical wastes. Appropriate disposal of these wastes is an important aspect of a comprehensive safety program. WI Administrative Codes Chapter NR 526 Medical Waste Management, 2006. </w:t>
      </w:r>
    </w:p>
    <w:p w14:paraId="6CE2EDA2" w14:textId="6791D829" w:rsidR="00201EF3" w:rsidRPr="00720B94" w:rsidRDefault="00201EF3" w:rsidP="0092380E">
      <w:pPr>
        <w:pStyle w:val="ListParagraph"/>
        <w:numPr>
          <w:ilvl w:val="0"/>
          <w:numId w:val="42"/>
        </w:numPr>
        <w:spacing w:after="160"/>
        <w:ind w:left="720"/>
        <w:rPr>
          <w:sz w:val="22"/>
          <w:szCs w:val="22"/>
        </w:rPr>
      </w:pPr>
      <w:r w:rsidRPr="00720B94">
        <w:rPr>
          <w:b/>
          <w:bCs/>
          <w:sz w:val="22"/>
          <w:szCs w:val="22"/>
        </w:rPr>
        <w:t>Transport of Hazardous Biological Materials</w:t>
      </w:r>
      <w:r w:rsidRPr="00720B94">
        <w:rPr>
          <w:sz w:val="22"/>
          <w:szCs w:val="22"/>
        </w:rPr>
        <w:t xml:space="preserve">: </w:t>
      </w:r>
      <w:r w:rsidR="00985B08" w:rsidRPr="00720B94">
        <w:rPr>
          <w:sz w:val="22"/>
          <w:szCs w:val="22"/>
        </w:rPr>
        <w:t xml:space="preserve">Shipping requirements for hazardous biological materials are </w:t>
      </w:r>
      <w:r w:rsidR="009E7A1E" w:rsidRPr="00720B94">
        <w:rPr>
          <w:sz w:val="22"/>
          <w:szCs w:val="22"/>
        </w:rPr>
        <w:t>governed by multiple</w:t>
      </w:r>
      <w:r w:rsidR="00E84AE6" w:rsidRPr="00720B94">
        <w:rPr>
          <w:sz w:val="22"/>
          <w:szCs w:val="22"/>
        </w:rPr>
        <w:t xml:space="preserve"> federal agencies and organizations, such as federal </w:t>
      </w:r>
      <w:hyperlink r:id="rId136" w:history="1">
        <w:r w:rsidR="00E84AE6" w:rsidRPr="00717676">
          <w:rPr>
            <w:rStyle w:val="Hyperlink"/>
            <w:color w:val="007D89" w:themeColor="accent3" w:themeShade="BF"/>
            <w:sz w:val="22"/>
            <w:szCs w:val="22"/>
          </w:rPr>
          <w:t>export controls regulations</w:t>
        </w:r>
      </w:hyperlink>
      <w:r w:rsidR="00E84AE6" w:rsidRPr="00720B94">
        <w:rPr>
          <w:sz w:val="22"/>
          <w:szCs w:val="22"/>
        </w:rPr>
        <w:t>,</w:t>
      </w:r>
      <w:r w:rsidR="00135BAD" w:rsidRPr="00720B94">
        <w:rPr>
          <w:sz w:val="22"/>
          <w:szCs w:val="22"/>
        </w:rPr>
        <w:t xml:space="preserve"> US Department of Transportation (DOT) </w:t>
      </w:r>
      <w:hyperlink r:id="rId137" w:history="1">
        <w:r w:rsidR="00135BAD" w:rsidRPr="00717676">
          <w:rPr>
            <w:rStyle w:val="Hyperlink"/>
            <w:color w:val="007D89" w:themeColor="accent3" w:themeShade="BF"/>
            <w:sz w:val="22"/>
            <w:szCs w:val="22"/>
          </w:rPr>
          <w:t>49 CFR 171-178</w:t>
        </w:r>
      </w:hyperlink>
      <w:r w:rsidR="00135BAD" w:rsidRPr="00720B94">
        <w:rPr>
          <w:sz w:val="22"/>
          <w:szCs w:val="22"/>
        </w:rPr>
        <w:t xml:space="preserve">, </w:t>
      </w:r>
      <w:hyperlink r:id="rId138" w:history="1">
        <w:r w:rsidR="00135BAD" w:rsidRPr="00717676">
          <w:rPr>
            <w:rStyle w:val="Hyperlink"/>
            <w:color w:val="007D89" w:themeColor="accent3" w:themeShade="BF"/>
            <w:sz w:val="22"/>
            <w:szCs w:val="22"/>
          </w:rPr>
          <w:t xml:space="preserve">International Civil Aviation Organization (ICAO) </w:t>
        </w:r>
        <w:r w:rsidR="00E87A9C" w:rsidRPr="00717676">
          <w:rPr>
            <w:rStyle w:val="Hyperlink"/>
            <w:color w:val="007D89" w:themeColor="accent3" w:themeShade="BF"/>
            <w:sz w:val="22"/>
            <w:szCs w:val="22"/>
          </w:rPr>
          <w:t>Technical Instructions for the Safe Transport of Dangerous Goods by Air (Doc 9284)</w:t>
        </w:r>
      </w:hyperlink>
      <w:r w:rsidR="00E87A9C" w:rsidRPr="00720B94">
        <w:rPr>
          <w:sz w:val="22"/>
          <w:szCs w:val="22"/>
        </w:rPr>
        <w:t xml:space="preserve">, </w:t>
      </w:r>
      <w:hyperlink r:id="rId139" w:history="1">
        <w:r w:rsidR="00DD36E1" w:rsidRPr="00717676">
          <w:rPr>
            <w:rStyle w:val="Hyperlink"/>
            <w:color w:val="007D89" w:themeColor="accent3" w:themeShade="BF"/>
            <w:sz w:val="22"/>
            <w:szCs w:val="22"/>
          </w:rPr>
          <w:t>International Air Transport Association</w:t>
        </w:r>
      </w:hyperlink>
      <w:r w:rsidR="00DD36E1" w:rsidRPr="00720B94">
        <w:rPr>
          <w:sz w:val="22"/>
          <w:szCs w:val="22"/>
        </w:rPr>
        <w:t xml:space="preserve"> (IATA)</w:t>
      </w:r>
      <w:r w:rsidR="007A07D1" w:rsidRPr="00720B94">
        <w:rPr>
          <w:sz w:val="22"/>
          <w:szCs w:val="22"/>
        </w:rPr>
        <w:t xml:space="preserve">, and US Department of Agriculture (USDA) </w:t>
      </w:r>
      <w:hyperlink r:id="rId140" w:history="1">
        <w:r w:rsidR="003D72D0" w:rsidRPr="00717676">
          <w:rPr>
            <w:rStyle w:val="Hyperlink"/>
            <w:color w:val="007D89" w:themeColor="accent3" w:themeShade="BF"/>
            <w:sz w:val="22"/>
            <w:szCs w:val="22"/>
          </w:rPr>
          <w:t>9 CFR 122</w:t>
        </w:r>
      </w:hyperlink>
      <w:r w:rsidR="003D4ACF" w:rsidRPr="00720B94">
        <w:rPr>
          <w:sz w:val="22"/>
          <w:szCs w:val="22"/>
        </w:rPr>
        <w:t xml:space="preserve"> (</w:t>
      </w:r>
      <w:r w:rsidR="002A74FD" w:rsidRPr="00720B94">
        <w:rPr>
          <w:sz w:val="22"/>
          <w:szCs w:val="22"/>
        </w:rPr>
        <w:t xml:space="preserve">Organisms &amp; Vectors </w:t>
      </w:r>
      <w:r w:rsidR="003D4ACF" w:rsidRPr="00720B94">
        <w:rPr>
          <w:sz w:val="22"/>
          <w:szCs w:val="22"/>
        </w:rPr>
        <w:t xml:space="preserve">Guidance </w:t>
      </w:r>
      <w:r w:rsidR="002A74FD" w:rsidRPr="00720B94">
        <w:rPr>
          <w:sz w:val="22"/>
          <w:szCs w:val="22"/>
        </w:rPr>
        <w:t>&amp; Permitting)</w:t>
      </w:r>
      <w:r w:rsidR="00DD36E1" w:rsidRPr="00720B94">
        <w:rPr>
          <w:sz w:val="22"/>
          <w:szCs w:val="22"/>
        </w:rPr>
        <w:t>.</w:t>
      </w:r>
      <w:r w:rsidR="00E87A9C" w:rsidRPr="00720B94">
        <w:rPr>
          <w:sz w:val="22"/>
          <w:szCs w:val="22"/>
        </w:rPr>
        <w:t xml:space="preserve"> </w:t>
      </w:r>
    </w:p>
    <w:p w14:paraId="05A41981" w14:textId="0E934D3B" w:rsidR="00C87A61" w:rsidRPr="00720B94" w:rsidRDefault="00C87A61" w:rsidP="00720B94">
      <w:pPr>
        <w:pStyle w:val="Heading2"/>
      </w:pPr>
      <w:bookmarkStart w:id="82" w:name="_Toc192509383"/>
      <w:r w:rsidRPr="00720B94">
        <w:t>UWL Policies</w:t>
      </w:r>
      <w:r w:rsidR="00341E03" w:rsidRPr="00720B94">
        <w:t xml:space="preserve">, </w:t>
      </w:r>
      <w:r w:rsidRPr="00720B94">
        <w:t>Procedures</w:t>
      </w:r>
      <w:r w:rsidR="00341E03" w:rsidRPr="00720B94">
        <w:t>, &amp; Resources</w:t>
      </w:r>
      <w:bookmarkEnd w:id="82"/>
    </w:p>
    <w:p w14:paraId="3C27A196" w14:textId="4343BC50" w:rsidR="00C87A61" w:rsidRPr="00720B94" w:rsidRDefault="008814F5" w:rsidP="0092380E">
      <w:pPr>
        <w:pStyle w:val="ListParagraph"/>
        <w:numPr>
          <w:ilvl w:val="0"/>
          <w:numId w:val="33"/>
        </w:numPr>
        <w:rPr>
          <w:sz w:val="22"/>
          <w:szCs w:val="22"/>
        </w:rPr>
      </w:pPr>
      <w:hyperlink r:id="rId141" w:history="1">
        <w:r w:rsidRPr="00717676">
          <w:rPr>
            <w:rStyle w:val="Hyperlink"/>
            <w:color w:val="007D89" w:themeColor="accent3" w:themeShade="BF"/>
            <w:sz w:val="22"/>
            <w:szCs w:val="22"/>
          </w:rPr>
          <w:t>UWL Institutional Biosafety Committee</w:t>
        </w:r>
      </w:hyperlink>
      <w:r w:rsidR="00EB2D9C" w:rsidRPr="00720B94">
        <w:rPr>
          <w:sz w:val="22"/>
          <w:szCs w:val="22"/>
        </w:rPr>
        <w:t xml:space="preserve"> </w:t>
      </w:r>
    </w:p>
    <w:p w14:paraId="74DAC364" w14:textId="21DDE717" w:rsidR="006F0ED2" w:rsidRPr="00720B94" w:rsidRDefault="006F0ED2" w:rsidP="0092380E">
      <w:pPr>
        <w:pStyle w:val="ListParagraph"/>
        <w:numPr>
          <w:ilvl w:val="0"/>
          <w:numId w:val="33"/>
        </w:numPr>
        <w:rPr>
          <w:sz w:val="22"/>
          <w:szCs w:val="22"/>
        </w:rPr>
      </w:pPr>
      <w:hyperlink r:id="rId142" w:anchor="tm-220828" w:history="1">
        <w:r w:rsidRPr="00717676">
          <w:rPr>
            <w:rStyle w:val="Hyperlink"/>
            <w:color w:val="007D89" w:themeColor="accent3" w:themeShade="BF"/>
            <w:sz w:val="22"/>
            <w:szCs w:val="22"/>
          </w:rPr>
          <w:t>Laboratory Safety &amp; Chemical Disposal Guide</w:t>
        </w:r>
      </w:hyperlink>
      <w:r w:rsidR="00B921FC" w:rsidRPr="00720B94">
        <w:rPr>
          <w:sz w:val="22"/>
          <w:szCs w:val="22"/>
        </w:rPr>
        <w:t>, Environmental Health &amp; Safety (EHS)</w:t>
      </w:r>
      <w:r w:rsidRPr="00720B94">
        <w:rPr>
          <w:sz w:val="22"/>
          <w:szCs w:val="22"/>
        </w:rPr>
        <w:t xml:space="preserve"> </w:t>
      </w:r>
    </w:p>
    <w:p w14:paraId="5753DD5E" w14:textId="60C7C0A2" w:rsidR="00AB5E3A" w:rsidRPr="00720B94" w:rsidRDefault="00A57AB1" w:rsidP="0092380E">
      <w:pPr>
        <w:pStyle w:val="ListParagraph"/>
        <w:numPr>
          <w:ilvl w:val="0"/>
          <w:numId w:val="33"/>
        </w:numPr>
        <w:rPr>
          <w:sz w:val="22"/>
          <w:szCs w:val="22"/>
        </w:rPr>
      </w:pPr>
      <w:hyperlink r:id="rId143" w:history="1">
        <w:r w:rsidRPr="00717676">
          <w:rPr>
            <w:rStyle w:val="Hyperlink"/>
            <w:color w:val="007D89" w:themeColor="accent3" w:themeShade="BF"/>
            <w:sz w:val="22"/>
            <w:szCs w:val="22"/>
          </w:rPr>
          <w:t xml:space="preserve">Bloodborne Pathogens </w:t>
        </w:r>
        <w:r w:rsidR="005872B3" w:rsidRPr="00717676">
          <w:rPr>
            <w:rStyle w:val="Hyperlink"/>
            <w:color w:val="007D89" w:themeColor="accent3" w:themeShade="BF"/>
            <w:sz w:val="22"/>
            <w:szCs w:val="22"/>
          </w:rPr>
          <w:t xml:space="preserve">Exposure Control </w:t>
        </w:r>
        <w:r w:rsidRPr="00717676">
          <w:rPr>
            <w:rStyle w:val="Hyperlink"/>
            <w:color w:val="007D89" w:themeColor="accent3" w:themeShade="BF"/>
            <w:sz w:val="22"/>
            <w:szCs w:val="22"/>
          </w:rPr>
          <w:t>Program</w:t>
        </w:r>
      </w:hyperlink>
      <w:r w:rsidR="00B921FC" w:rsidRPr="00720B94">
        <w:rPr>
          <w:sz w:val="22"/>
          <w:szCs w:val="22"/>
        </w:rPr>
        <w:t>, EHS</w:t>
      </w:r>
      <w:r w:rsidR="009644DC" w:rsidRPr="00720B94">
        <w:t xml:space="preserve"> </w:t>
      </w:r>
    </w:p>
    <w:p w14:paraId="07589837" w14:textId="1DA03206" w:rsidR="00944DFB" w:rsidRPr="00720B94" w:rsidRDefault="00944DFB" w:rsidP="0092380E">
      <w:pPr>
        <w:pStyle w:val="ListParagraph"/>
        <w:numPr>
          <w:ilvl w:val="0"/>
          <w:numId w:val="33"/>
        </w:numPr>
        <w:rPr>
          <w:sz w:val="22"/>
          <w:szCs w:val="22"/>
        </w:rPr>
      </w:pPr>
      <w:hyperlink r:id="rId144" w:history="1">
        <w:r w:rsidRPr="00717676">
          <w:rPr>
            <w:rStyle w:val="Hyperlink"/>
            <w:color w:val="007D89" w:themeColor="accent3" w:themeShade="BF"/>
            <w:sz w:val="22"/>
            <w:szCs w:val="22"/>
          </w:rPr>
          <w:t>Chemical Hygiene Plan</w:t>
        </w:r>
      </w:hyperlink>
      <w:r w:rsidR="00B921FC" w:rsidRPr="00720B94">
        <w:rPr>
          <w:sz w:val="22"/>
          <w:szCs w:val="22"/>
        </w:rPr>
        <w:t xml:space="preserve">, EHS </w:t>
      </w:r>
    </w:p>
    <w:p w14:paraId="18099345" w14:textId="255E4F0F" w:rsidR="005F2E62" w:rsidRPr="00720B94" w:rsidRDefault="005F2E62" w:rsidP="0092380E">
      <w:pPr>
        <w:pStyle w:val="ListParagraph"/>
        <w:numPr>
          <w:ilvl w:val="0"/>
          <w:numId w:val="33"/>
        </w:numPr>
        <w:rPr>
          <w:sz w:val="22"/>
          <w:szCs w:val="22"/>
        </w:rPr>
      </w:pPr>
      <w:hyperlink r:id="rId145" w:history="1">
        <w:r w:rsidRPr="00717676">
          <w:rPr>
            <w:rStyle w:val="Hyperlink"/>
            <w:color w:val="007D89" w:themeColor="accent3" w:themeShade="BF"/>
            <w:sz w:val="22"/>
            <w:szCs w:val="22"/>
          </w:rPr>
          <w:t>Particularly Hazardous Substance Prior Approval Form</w:t>
        </w:r>
      </w:hyperlink>
      <w:r w:rsidR="00B921FC" w:rsidRPr="00720B94">
        <w:rPr>
          <w:sz w:val="22"/>
          <w:szCs w:val="22"/>
        </w:rPr>
        <w:t>, EHS</w:t>
      </w:r>
      <w:r w:rsidRPr="00720B94">
        <w:rPr>
          <w:sz w:val="22"/>
          <w:szCs w:val="22"/>
        </w:rPr>
        <w:t xml:space="preserve"> </w:t>
      </w:r>
    </w:p>
    <w:p w14:paraId="560E0032" w14:textId="25FADAB0" w:rsidR="00B21ED8" w:rsidRPr="00720B94" w:rsidRDefault="00B21ED8" w:rsidP="0092380E">
      <w:pPr>
        <w:pStyle w:val="ListParagraph"/>
        <w:numPr>
          <w:ilvl w:val="0"/>
          <w:numId w:val="33"/>
        </w:numPr>
        <w:rPr>
          <w:sz w:val="22"/>
          <w:szCs w:val="22"/>
        </w:rPr>
      </w:pPr>
      <w:hyperlink r:id="rId146" w:history="1">
        <w:r w:rsidRPr="00717676">
          <w:rPr>
            <w:rStyle w:val="Hyperlink"/>
            <w:color w:val="007D89" w:themeColor="accent3" w:themeShade="BF"/>
            <w:sz w:val="22"/>
            <w:szCs w:val="22"/>
          </w:rPr>
          <w:t>Emergency Response Plan</w:t>
        </w:r>
      </w:hyperlink>
      <w:r w:rsidR="00000003" w:rsidRPr="00720B94">
        <w:rPr>
          <w:sz w:val="22"/>
          <w:szCs w:val="22"/>
        </w:rPr>
        <w:t>, Police Services</w:t>
      </w:r>
      <w:r w:rsidRPr="00720B94">
        <w:rPr>
          <w:sz w:val="22"/>
          <w:szCs w:val="22"/>
        </w:rPr>
        <w:t xml:space="preserve"> </w:t>
      </w:r>
    </w:p>
    <w:p w14:paraId="51A93389" w14:textId="7C002EE8" w:rsidR="00297C33" w:rsidRPr="00720B94" w:rsidRDefault="00297C33" w:rsidP="0092380E">
      <w:pPr>
        <w:pStyle w:val="ListParagraph"/>
        <w:numPr>
          <w:ilvl w:val="0"/>
          <w:numId w:val="33"/>
        </w:numPr>
        <w:rPr>
          <w:sz w:val="22"/>
          <w:szCs w:val="22"/>
        </w:rPr>
      </w:pPr>
      <w:hyperlink r:id="rId147" w:history="1">
        <w:r w:rsidRPr="00717676">
          <w:rPr>
            <w:rStyle w:val="Hyperlink"/>
            <w:color w:val="007D89" w:themeColor="accent3" w:themeShade="BF"/>
            <w:sz w:val="22"/>
            <w:szCs w:val="22"/>
          </w:rPr>
          <w:t>Electrical Safety</w:t>
        </w:r>
        <w:r w:rsidR="00006009" w:rsidRPr="00717676">
          <w:rPr>
            <w:rStyle w:val="Hyperlink"/>
            <w:color w:val="007D89" w:themeColor="accent3" w:themeShade="BF"/>
            <w:sz w:val="22"/>
            <w:szCs w:val="22"/>
          </w:rPr>
          <w:t xml:space="preserve"> Policy</w:t>
        </w:r>
      </w:hyperlink>
      <w:r w:rsidR="002736C6" w:rsidRPr="00720B94">
        <w:rPr>
          <w:sz w:val="22"/>
          <w:szCs w:val="22"/>
        </w:rPr>
        <w:t>, EHS</w:t>
      </w:r>
      <w:r w:rsidR="00006009" w:rsidRPr="00720B94">
        <w:rPr>
          <w:sz w:val="22"/>
          <w:szCs w:val="22"/>
        </w:rPr>
        <w:t xml:space="preserve"> </w:t>
      </w:r>
    </w:p>
    <w:p w14:paraId="32A292AB" w14:textId="1BFDBD21" w:rsidR="006133E3" w:rsidRPr="00720B94" w:rsidRDefault="006133E3" w:rsidP="0092380E">
      <w:pPr>
        <w:pStyle w:val="ListParagraph"/>
        <w:numPr>
          <w:ilvl w:val="0"/>
          <w:numId w:val="33"/>
        </w:numPr>
        <w:rPr>
          <w:sz w:val="22"/>
          <w:szCs w:val="22"/>
        </w:rPr>
      </w:pPr>
      <w:hyperlink r:id="rId148" w:history="1">
        <w:r w:rsidRPr="00717676">
          <w:rPr>
            <w:rStyle w:val="Hyperlink"/>
            <w:color w:val="007D89" w:themeColor="accent3" w:themeShade="BF"/>
            <w:sz w:val="22"/>
            <w:szCs w:val="22"/>
          </w:rPr>
          <w:t>Hazard Communication Program</w:t>
        </w:r>
      </w:hyperlink>
      <w:r w:rsidR="002736C6" w:rsidRPr="00720B94">
        <w:rPr>
          <w:sz w:val="22"/>
          <w:szCs w:val="22"/>
        </w:rPr>
        <w:t>, EHS</w:t>
      </w:r>
      <w:r w:rsidRPr="00720B94">
        <w:rPr>
          <w:sz w:val="22"/>
          <w:szCs w:val="22"/>
        </w:rPr>
        <w:t xml:space="preserve"> </w:t>
      </w:r>
    </w:p>
    <w:p w14:paraId="1F26441F" w14:textId="03784A55" w:rsidR="008814F5" w:rsidRPr="00720B94" w:rsidRDefault="008C5D21" w:rsidP="0092380E">
      <w:pPr>
        <w:pStyle w:val="ListParagraph"/>
        <w:numPr>
          <w:ilvl w:val="0"/>
          <w:numId w:val="33"/>
        </w:numPr>
        <w:rPr>
          <w:sz w:val="22"/>
          <w:szCs w:val="22"/>
        </w:rPr>
      </w:pPr>
      <w:hyperlink r:id="rId149" w:history="1">
        <w:r w:rsidRPr="00717676">
          <w:rPr>
            <w:rStyle w:val="Hyperlink"/>
            <w:color w:val="007D89" w:themeColor="accent3" w:themeShade="BF"/>
            <w:sz w:val="22"/>
            <w:szCs w:val="22"/>
          </w:rPr>
          <w:t>Personal Protective Equipment Policy</w:t>
        </w:r>
      </w:hyperlink>
      <w:r w:rsidR="002736C6" w:rsidRPr="00720B94">
        <w:rPr>
          <w:sz w:val="22"/>
          <w:szCs w:val="22"/>
        </w:rPr>
        <w:t>, EHS</w:t>
      </w:r>
      <w:r w:rsidRPr="00720B94">
        <w:rPr>
          <w:sz w:val="22"/>
          <w:szCs w:val="22"/>
        </w:rPr>
        <w:t xml:space="preserve"> </w:t>
      </w:r>
    </w:p>
    <w:p w14:paraId="636453C5" w14:textId="4BCF778C" w:rsidR="001B4449" w:rsidRPr="00720B94" w:rsidRDefault="001B4449" w:rsidP="0092380E">
      <w:pPr>
        <w:pStyle w:val="ListParagraph"/>
        <w:numPr>
          <w:ilvl w:val="0"/>
          <w:numId w:val="33"/>
        </w:numPr>
        <w:spacing w:after="160"/>
        <w:rPr>
          <w:sz w:val="22"/>
          <w:szCs w:val="22"/>
        </w:rPr>
      </w:pPr>
      <w:hyperlink r:id="rId150" w:history="1">
        <w:r w:rsidRPr="00717676">
          <w:rPr>
            <w:rStyle w:val="Hyperlink"/>
            <w:color w:val="007D89" w:themeColor="accent3" w:themeShade="BF"/>
            <w:sz w:val="22"/>
            <w:szCs w:val="22"/>
          </w:rPr>
          <w:t>Respiratory Protection Program</w:t>
        </w:r>
      </w:hyperlink>
      <w:r w:rsidR="002736C6" w:rsidRPr="00720B94">
        <w:rPr>
          <w:sz w:val="22"/>
          <w:szCs w:val="22"/>
        </w:rPr>
        <w:t>, EHS</w:t>
      </w:r>
      <w:r w:rsidRPr="00720B94">
        <w:rPr>
          <w:sz w:val="22"/>
          <w:szCs w:val="22"/>
        </w:rPr>
        <w:t xml:space="preserve"> </w:t>
      </w:r>
    </w:p>
    <w:p w14:paraId="7102EE16" w14:textId="5F15054D" w:rsidR="00341E03" w:rsidRPr="00720B94" w:rsidRDefault="00341E03" w:rsidP="00720B94">
      <w:pPr>
        <w:pStyle w:val="Heading2"/>
      </w:pPr>
      <w:bookmarkStart w:id="83" w:name="_Toc192509384"/>
      <w:r w:rsidRPr="00720B94">
        <w:lastRenderedPageBreak/>
        <w:t>Other Resources</w:t>
      </w:r>
      <w:bookmarkEnd w:id="83"/>
    </w:p>
    <w:p w14:paraId="736303E1" w14:textId="78B8D920" w:rsidR="00C87A61" w:rsidRPr="00720B94" w:rsidRDefault="00C87A61" w:rsidP="0092380E">
      <w:pPr>
        <w:pStyle w:val="ListParagraph"/>
        <w:numPr>
          <w:ilvl w:val="0"/>
          <w:numId w:val="32"/>
        </w:numPr>
        <w:rPr>
          <w:sz w:val="22"/>
          <w:szCs w:val="22"/>
        </w:rPr>
      </w:pPr>
      <w:hyperlink r:id="rId151" w:history="1">
        <w:r w:rsidRPr="00717676">
          <w:rPr>
            <w:rStyle w:val="Hyperlink"/>
            <w:color w:val="007D89" w:themeColor="accent3" w:themeShade="BF"/>
            <w:sz w:val="22"/>
            <w:szCs w:val="22"/>
          </w:rPr>
          <w:t>Arthropod Containment Guidelines</w:t>
        </w:r>
      </w:hyperlink>
      <w:r w:rsidR="00314880" w:rsidRPr="00720B94">
        <w:rPr>
          <w:sz w:val="22"/>
          <w:szCs w:val="22"/>
        </w:rPr>
        <w:t>,</w:t>
      </w:r>
      <w:r w:rsidRPr="00720B94">
        <w:rPr>
          <w:sz w:val="22"/>
          <w:szCs w:val="22"/>
        </w:rPr>
        <w:t xml:space="preserve"> American Committee of Medical </w:t>
      </w:r>
      <w:r w:rsidR="00E819EC" w:rsidRPr="00720B94">
        <w:rPr>
          <w:sz w:val="22"/>
          <w:szCs w:val="22"/>
        </w:rPr>
        <w:t>E</w:t>
      </w:r>
      <w:r w:rsidRPr="00720B94">
        <w:rPr>
          <w:sz w:val="22"/>
          <w:szCs w:val="22"/>
        </w:rPr>
        <w:t>ntomology</w:t>
      </w:r>
      <w:r w:rsidR="00E819EC" w:rsidRPr="00720B94">
        <w:rPr>
          <w:sz w:val="22"/>
          <w:szCs w:val="22"/>
        </w:rPr>
        <w:t xml:space="preserve">, </w:t>
      </w:r>
      <w:r w:rsidRPr="00720B94">
        <w:rPr>
          <w:sz w:val="22"/>
          <w:szCs w:val="22"/>
        </w:rPr>
        <w:t xml:space="preserve">American Society of Tropical Medicine </w:t>
      </w:r>
      <w:r w:rsidR="00E819EC" w:rsidRPr="00720B94">
        <w:rPr>
          <w:sz w:val="22"/>
          <w:szCs w:val="22"/>
        </w:rPr>
        <w:t>&amp;</w:t>
      </w:r>
      <w:r w:rsidRPr="00720B94">
        <w:rPr>
          <w:sz w:val="22"/>
          <w:szCs w:val="22"/>
        </w:rPr>
        <w:t xml:space="preserve"> Hygiene </w:t>
      </w:r>
    </w:p>
    <w:p w14:paraId="21B299DB" w14:textId="76768AB1" w:rsidR="00D82682" w:rsidRPr="00720B94" w:rsidRDefault="00D82682" w:rsidP="0092380E">
      <w:pPr>
        <w:pStyle w:val="ListParagraph"/>
        <w:numPr>
          <w:ilvl w:val="0"/>
          <w:numId w:val="32"/>
        </w:numPr>
        <w:rPr>
          <w:sz w:val="22"/>
          <w:szCs w:val="22"/>
        </w:rPr>
      </w:pPr>
      <w:hyperlink r:id="rId152" w:history="1">
        <w:r w:rsidRPr="00717676">
          <w:rPr>
            <w:rStyle w:val="Hyperlink"/>
            <w:color w:val="007D89" w:themeColor="accent3" w:themeShade="BF"/>
            <w:sz w:val="22"/>
            <w:szCs w:val="22"/>
          </w:rPr>
          <w:t>Biological Agents</w:t>
        </w:r>
      </w:hyperlink>
      <w:r w:rsidRPr="00720B94">
        <w:rPr>
          <w:sz w:val="22"/>
          <w:szCs w:val="22"/>
        </w:rPr>
        <w:t>, OSHA</w:t>
      </w:r>
    </w:p>
    <w:p w14:paraId="3898D4F0" w14:textId="79736C53" w:rsidR="00C87A61" w:rsidRPr="00720B94" w:rsidRDefault="00C87A61" w:rsidP="0092380E">
      <w:pPr>
        <w:pStyle w:val="ListParagraph"/>
        <w:numPr>
          <w:ilvl w:val="0"/>
          <w:numId w:val="32"/>
        </w:numPr>
        <w:rPr>
          <w:sz w:val="22"/>
          <w:szCs w:val="22"/>
        </w:rPr>
      </w:pPr>
      <w:hyperlink r:id="rId153" w:history="1">
        <w:r w:rsidRPr="00717676">
          <w:rPr>
            <w:rStyle w:val="Hyperlink"/>
            <w:color w:val="007D89" w:themeColor="accent3" w:themeShade="BF"/>
            <w:sz w:val="22"/>
            <w:szCs w:val="22"/>
          </w:rPr>
          <w:t>Biosafety in Microbiological and Biomedical Laboratories</w:t>
        </w:r>
        <w:r w:rsidR="00322972" w:rsidRPr="00717676">
          <w:rPr>
            <w:rStyle w:val="Hyperlink"/>
            <w:color w:val="007D89" w:themeColor="accent3" w:themeShade="BF"/>
            <w:sz w:val="22"/>
            <w:szCs w:val="22"/>
          </w:rPr>
          <w:t xml:space="preserve"> (BMBL)</w:t>
        </w:r>
      </w:hyperlink>
      <w:r w:rsidRPr="00720B94">
        <w:rPr>
          <w:sz w:val="22"/>
          <w:szCs w:val="22"/>
        </w:rPr>
        <w:t xml:space="preserve">, CDC/NIH </w:t>
      </w:r>
    </w:p>
    <w:p w14:paraId="6F3610F3" w14:textId="5CD81802" w:rsidR="00211DAE" w:rsidRPr="00720B94" w:rsidRDefault="00211DAE" w:rsidP="0092380E">
      <w:pPr>
        <w:pStyle w:val="ListParagraph"/>
        <w:numPr>
          <w:ilvl w:val="0"/>
          <w:numId w:val="32"/>
        </w:numPr>
        <w:rPr>
          <w:sz w:val="22"/>
          <w:szCs w:val="22"/>
        </w:rPr>
      </w:pPr>
      <w:hyperlink r:id="rId154" w:history="1">
        <w:r w:rsidRPr="00717676">
          <w:rPr>
            <w:rStyle w:val="Hyperlink"/>
            <w:color w:val="007D89" w:themeColor="accent3" w:themeShade="BF"/>
            <w:sz w:val="22"/>
            <w:szCs w:val="22"/>
          </w:rPr>
          <w:t>Bio</w:t>
        </w:r>
        <w:r w:rsidR="0019036A" w:rsidRPr="00717676">
          <w:rPr>
            <w:rStyle w:val="Hyperlink"/>
            <w:color w:val="007D89" w:themeColor="accent3" w:themeShade="BF"/>
            <w:sz w:val="22"/>
            <w:szCs w:val="22"/>
          </w:rPr>
          <w:t>logical Risk Assessment</w:t>
        </w:r>
      </w:hyperlink>
      <w:r w:rsidR="0019036A" w:rsidRPr="00720B94">
        <w:rPr>
          <w:sz w:val="22"/>
          <w:szCs w:val="22"/>
        </w:rPr>
        <w:t>, CDC</w:t>
      </w:r>
      <w:r w:rsidR="00322972" w:rsidRPr="00720B94">
        <w:rPr>
          <w:sz w:val="22"/>
          <w:szCs w:val="22"/>
        </w:rPr>
        <w:t xml:space="preserve"> </w:t>
      </w:r>
    </w:p>
    <w:p w14:paraId="5A2DBAF3" w14:textId="574F0A4B" w:rsidR="00C87A61" w:rsidRPr="00720B94" w:rsidRDefault="00C87A61" w:rsidP="0092380E">
      <w:pPr>
        <w:pStyle w:val="ListParagraph"/>
        <w:numPr>
          <w:ilvl w:val="0"/>
          <w:numId w:val="32"/>
        </w:numPr>
        <w:rPr>
          <w:sz w:val="22"/>
          <w:szCs w:val="22"/>
        </w:rPr>
      </w:pPr>
      <w:hyperlink r:id="rId155" w:history="1">
        <w:r w:rsidRPr="00717676">
          <w:rPr>
            <w:rStyle w:val="Hyperlink"/>
            <w:color w:val="007D89" w:themeColor="accent3" w:themeShade="BF"/>
            <w:sz w:val="22"/>
            <w:szCs w:val="22"/>
          </w:rPr>
          <w:t>Biological Safety Cabinets</w:t>
        </w:r>
      </w:hyperlink>
      <w:r w:rsidRPr="00720B94">
        <w:rPr>
          <w:sz w:val="22"/>
          <w:szCs w:val="22"/>
        </w:rPr>
        <w:t xml:space="preserve">, </w:t>
      </w:r>
      <w:r w:rsidR="00E819EC" w:rsidRPr="00720B94">
        <w:rPr>
          <w:sz w:val="22"/>
          <w:szCs w:val="22"/>
        </w:rPr>
        <w:t>National Sanitation Foundation (NSF)</w:t>
      </w:r>
    </w:p>
    <w:p w14:paraId="592EC591" w14:textId="77777777" w:rsidR="00D34A35" w:rsidRPr="00720B94" w:rsidRDefault="00D34A35" w:rsidP="0092380E">
      <w:pPr>
        <w:pStyle w:val="ListParagraph"/>
        <w:numPr>
          <w:ilvl w:val="0"/>
          <w:numId w:val="32"/>
        </w:numPr>
        <w:rPr>
          <w:sz w:val="22"/>
          <w:szCs w:val="22"/>
        </w:rPr>
      </w:pPr>
      <w:hyperlink r:id="rId156" w:history="1">
        <w:r w:rsidRPr="00717676">
          <w:rPr>
            <w:rStyle w:val="Hyperlink"/>
            <w:color w:val="007D89" w:themeColor="accent3" w:themeShade="BF"/>
            <w:sz w:val="22"/>
            <w:szCs w:val="22"/>
          </w:rPr>
          <w:t>Bloodborne Pathogens and Needlestick Prevention</w:t>
        </w:r>
      </w:hyperlink>
      <w:r w:rsidRPr="00720B94">
        <w:rPr>
          <w:sz w:val="22"/>
          <w:szCs w:val="22"/>
        </w:rPr>
        <w:t xml:space="preserve">, OSHA </w:t>
      </w:r>
    </w:p>
    <w:p w14:paraId="5ED16C00" w14:textId="77777777" w:rsidR="00D34A35" w:rsidRPr="00720B94" w:rsidRDefault="00D34A35" w:rsidP="0092380E">
      <w:pPr>
        <w:pStyle w:val="ListParagraph"/>
        <w:numPr>
          <w:ilvl w:val="0"/>
          <w:numId w:val="32"/>
        </w:numPr>
        <w:rPr>
          <w:sz w:val="22"/>
          <w:szCs w:val="22"/>
        </w:rPr>
      </w:pPr>
      <w:hyperlink r:id="rId157" w:history="1">
        <w:r w:rsidRPr="00717676">
          <w:rPr>
            <w:rStyle w:val="Hyperlink"/>
            <w:color w:val="007D89" w:themeColor="accent3" w:themeShade="BF"/>
            <w:sz w:val="22"/>
            <w:szCs w:val="22"/>
          </w:rPr>
          <w:t>National Research Council Recommendations Concerning Chemical Hygiene in Laboratories</w:t>
        </w:r>
      </w:hyperlink>
      <w:r w:rsidRPr="00720B94">
        <w:rPr>
          <w:sz w:val="22"/>
          <w:szCs w:val="22"/>
        </w:rPr>
        <w:t xml:space="preserve"> (Non-Mandatory), OSHA Lab Standard, 29 CFR 1910.1450 Appendix A</w:t>
      </w:r>
    </w:p>
    <w:p w14:paraId="4B4AE051" w14:textId="7C3D2287" w:rsidR="003823BE" w:rsidRPr="00720B94" w:rsidRDefault="003823BE" w:rsidP="0092380E">
      <w:pPr>
        <w:pStyle w:val="ListParagraph"/>
        <w:numPr>
          <w:ilvl w:val="0"/>
          <w:numId w:val="32"/>
        </w:numPr>
        <w:rPr>
          <w:sz w:val="22"/>
          <w:szCs w:val="22"/>
        </w:rPr>
      </w:pPr>
      <w:hyperlink r:id="rId158" w:history="1">
        <w:r w:rsidRPr="00717676">
          <w:rPr>
            <w:rStyle w:val="Hyperlink"/>
            <w:color w:val="007D89" w:themeColor="accent3" w:themeShade="BF"/>
            <w:sz w:val="22"/>
            <w:szCs w:val="22"/>
          </w:rPr>
          <w:t>IBC Self-Assessment Tool</w:t>
        </w:r>
      </w:hyperlink>
      <w:r w:rsidRPr="00720B94">
        <w:rPr>
          <w:sz w:val="22"/>
          <w:szCs w:val="22"/>
        </w:rPr>
        <w:t>, NIH</w:t>
      </w:r>
    </w:p>
    <w:p w14:paraId="30C3105B" w14:textId="0B3D574D" w:rsidR="001543C8" w:rsidRPr="00720B94" w:rsidRDefault="001543C8" w:rsidP="0092380E">
      <w:pPr>
        <w:pStyle w:val="ListParagraph"/>
        <w:numPr>
          <w:ilvl w:val="0"/>
          <w:numId w:val="32"/>
        </w:numPr>
        <w:rPr>
          <w:sz w:val="22"/>
          <w:szCs w:val="22"/>
        </w:rPr>
      </w:pPr>
      <w:hyperlink r:id="rId159" w:history="1">
        <w:r w:rsidRPr="00717676">
          <w:rPr>
            <w:rStyle w:val="Hyperlink"/>
            <w:color w:val="007D89" w:themeColor="accent3" w:themeShade="BF"/>
            <w:sz w:val="22"/>
            <w:szCs w:val="22"/>
          </w:rPr>
          <w:t>NIH FAQs on IBC Administration</w:t>
        </w:r>
      </w:hyperlink>
      <w:r w:rsidRPr="00720B94">
        <w:rPr>
          <w:sz w:val="22"/>
          <w:szCs w:val="22"/>
        </w:rPr>
        <w:t>, NIH</w:t>
      </w:r>
    </w:p>
    <w:p w14:paraId="65BC3ADE" w14:textId="775CB5FB" w:rsidR="0036325A" w:rsidRPr="00720B94" w:rsidRDefault="00C87A61" w:rsidP="0092380E">
      <w:pPr>
        <w:pStyle w:val="ListParagraph"/>
        <w:numPr>
          <w:ilvl w:val="0"/>
          <w:numId w:val="32"/>
        </w:numPr>
        <w:rPr>
          <w:sz w:val="22"/>
          <w:szCs w:val="22"/>
        </w:rPr>
      </w:pPr>
      <w:hyperlink r:id="rId160" w:history="1">
        <w:r w:rsidRPr="00717676">
          <w:rPr>
            <w:rStyle w:val="Hyperlink"/>
            <w:color w:val="007D89" w:themeColor="accent3" w:themeShade="BF"/>
            <w:sz w:val="22"/>
            <w:szCs w:val="22"/>
          </w:rPr>
          <w:t>NIH Guidelines for Research Involving Recombinant or Synthetic Nucleic Acid Molecules</w:t>
        </w:r>
      </w:hyperlink>
      <w:r w:rsidR="0036325A" w:rsidRPr="00720B94">
        <w:rPr>
          <w:sz w:val="22"/>
          <w:szCs w:val="22"/>
        </w:rPr>
        <w:t>, NIH</w:t>
      </w:r>
    </w:p>
    <w:p w14:paraId="2598086C" w14:textId="364BC2A5" w:rsidR="00C87A61" w:rsidRPr="00720B94" w:rsidRDefault="00C87A61" w:rsidP="0092380E">
      <w:pPr>
        <w:pStyle w:val="ListParagraph"/>
        <w:numPr>
          <w:ilvl w:val="0"/>
          <w:numId w:val="32"/>
        </w:numPr>
        <w:rPr>
          <w:sz w:val="22"/>
          <w:szCs w:val="22"/>
        </w:rPr>
      </w:pPr>
      <w:hyperlink r:id="rId161" w:history="1">
        <w:r w:rsidRPr="00717676">
          <w:rPr>
            <w:rStyle w:val="Hyperlink"/>
            <w:color w:val="007D89" w:themeColor="accent3" w:themeShade="BF"/>
            <w:sz w:val="22"/>
            <w:szCs w:val="22"/>
          </w:rPr>
          <w:t>NTP Report on Carcinogens</w:t>
        </w:r>
      </w:hyperlink>
      <w:r w:rsidRPr="00720B94">
        <w:rPr>
          <w:sz w:val="22"/>
          <w:szCs w:val="22"/>
        </w:rPr>
        <w:t xml:space="preserve">, </w:t>
      </w:r>
      <w:r w:rsidR="000F4F38" w:rsidRPr="00720B94">
        <w:rPr>
          <w:sz w:val="22"/>
          <w:szCs w:val="22"/>
        </w:rPr>
        <w:t xml:space="preserve">National Toxicology Program, US </w:t>
      </w:r>
      <w:r w:rsidRPr="00720B94">
        <w:rPr>
          <w:sz w:val="22"/>
          <w:szCs w:val="22"/>
        </w:rPr>
        <w:t>Department of Health and Human Services</w:t>
      </w:r>
      <w:r w:rsidR="00EF52A5" w:rsidRPr="00720B94">
        <w:rPr>
          <w:sz w:val="22"/>
          <w:szCs w:val="22"/>
        </w:rPr>
        <w:t xml:space="preserve"> </w:t>
      </w:r>
    </w:p>
    <w:p w14:paraId="07C718EA" w14:textId="77777777" w:rsidR="00D34A35" w:rsidRPr="00720B94" w:rsidRDefault="00D34A35" w:rsidP="0092380E">
      <w:pPr>
        <w:pStyle w:val="ListParagraph"/>
        <w:numPr>
          <w:ilvl w:val="0"/>
          <w:numId w:val="32"/>
        </w:numPr>
        <w:rPr>
          <w:sz w:val="22"/>
          <w:szCs w:val="22"/>
        </w:rPr>
      </w:pPr>
      <w:hyperlink r:id="rId162" w:history="1">
        <w:r w:rsidRPr="00717676">
          <w:rPr>
            <w:rStyle w:val="Hyperlink"/>
            <w:color w:val="007D89" w:themeColor="accent3" w:themeShade="BF"/>
            <w:sz w:val="22"/>
            <w:szCs w:val="22"/>
          </w:rPr>
          <w:t>Practical Guide to Containment: Plant Biosafety Research in Research Greenhouses</w:t>
        </w:r>
      </w:hyperlink>
      <w:r w:rsidRPr="00720B94">
        <w:rPr>
          <w:sz w:val="22"/>
          <w:szCs w:val="22"/>
        </w:rPr>
        <w:t>, Traynor et al. (2008), Information Systems for Biotechnology</w:t>
      </w:r>
    </w:p>
    <w:p w14:paraId="2840D301" w14:textId="77777777" w:rsidR="00C26CF3" w:rsidRPr="00720B94" w:rsidRDefault="00C26CF3" w:rsidP="0092380E">
      <w:pPr>
        <w:pStyle w:val="ListParagraph"/>
        <w:numPr>
          <w:ilvl w:val="0"/>
          <w:numId w:val="32"/>
        </w:numPr>
        <w:rPr>
          <w:sz w:val="22"/>
          <w:szCs w:val="22"/>
        </w:rPr>
      </w:pPr>
      <w:hyperlink r:id="rId163" w:history="1">
        <w:r w:rsidRPr="00717676">
          <w:rPr>
            <w:rStyle w:val="Hyperlink"/>
            <w:color w:val="007D89" w:themeColor="accent3" w:themeShade="BF"/>
            <w:sz w:val="22"/>
            <w:szCs w:val="22"/>
          </w:rPr>
          <w:t>Risk Group (RG) Database</w:t>
        </w:r>
      </w:hyperlink>
      <w:r w:rsidRPr="00720B94">
        <w:rPr>
          <w:sz w:val="22"/>
          <w:szCs w:val="22"/>
        </w:rPr>
        <w:t>, American Biological Safety Association (ABSA)</w:t>
      </w:r>
    </w:p>
    <w:p w14:paraId="789D8BF5" w14:textId="5F1E0E11" w:rsidR="00B751C8" w:rsidRPr="00720B94" w:rsidRDefault="00B751C8" w:rsidP="0092380E">
      <w:pPr>
        <w:pStyle w:val="ListParagraph"/>
        <w:numPr>
          <w:ilvl w:val="0"/>
          <w:numId w:val="32"/>
        </w:numPr>
        <w:rPr>
          <w:sz w:val="22"/>
          <w:szCs w:val="22"/>
        </w:rPr>
      </w:pPr>
      <w:hyperlink r:id="rId164" w:history="1">
        <w:r w:rsidRPr="00717676">
          <w:rPr>
            <w:rStyle w:val="Hyperlink"/>
            <w:color w:val="007D89" w:themeColor="accent3" w:themeShade="BF"/>
            <w:sz w:val="22"/>
            <w:szCs w:val="22"/>
          </w:rPr>
          <w:t>Select Agents and Toxins List</w:t>
        </w:r>
      </w:hyperlink>
      <w:r w:rsidRPr="00720B94">
        <w:rPr>
          <w:sz w:val="22"/>
          <w:szCs w:val="22"/>
        </w:rPr>
        <w:t>, HHS, USDA</w:t>
      </w:r>
    </w:p>
    <w:p w14:paraId="28FA5D0C" w14:textId="29DF45F5" w:rsidR="00C87A61" w:rsidRPr="00720B94" w:rsidRDefault="00EC6DFA" w:rsidP="0092380E">
      <w:pPr>
        <w:pStyle w:val="ListParagraph"/>
        <w:numPr>
          <w:ilvl w:val="0"/>
          <w:numId w:val="32"/>
        </w:numPr>
        <w:rPr>
          <w:sz w:val="22"/>
          <w:szCs w:val="22"/>
        </w:rPr>
      </w:pPr>
      <w:hyperlink r:id="rId165" w:history="1">
        <w:r w:rsidRPr="00717676">
          <w:rPr>
            <w:rStyle w:val="Hyperlink"/>
            <w:color w:val="007D89" w:themeColor="accent3" w:themeShade="BF"/>
            <w:sz w:val="22"/>
            <w:szCs w:val="22"/>
          </w:rPr>
          <w:t>Toxicology information</w:t>
        </w:r>
      </w:hyperlink>
      <w:r w:rsidRPr="00720B94">
        <w:rPr>
          <w:sz w:val="22"/>
          <w:szCs w:val="22"/>
        </w:rPr>
        <w:t xml:space="preserve"> (formerly </w:t>
      </w:r>
      <w:r w:rsidR="00C87A61" w:rsidRPr="00720B94">
        <w:rPr>
          <w:sz w:val="22"/>
          <w:szCs w:val="22"/>
        </w:rPr>
        <w:t>TOXNET</w:t>
      </w:r>
      <w:r w:rsidRPr="00720B94">
        <w:rPr>
          <w:sz w:val="22"/>
          <w:szCs w:val="22"/>
        </w:rPr>
        <w:t>)</w:t>
      </w:r>
      <w:r w:rsidR="003C7917" w:rsidRPr="00720B94">
        <w:rPr>
          <w:sz w:val="22"/>
          <w:szCs w:val="22"/>
        </w:rPr>
        <w:t xml:space="preserve"> – resources</w:t>
      </w:r>
      <w:r w:rsidR="00C87A61" w:rsidRPr="00720B94">
        <w:rPr>
          <w:sz w:val="22"/>
          <w:szCs w:val="22"/>
        </w:rPr>
        <w:t xml:space="preserve"> on toxicology, hazardous chemicals, and related areas</w:t>
      </w:r>
      <w:r w:rsidR="003C7917" w:rsidRPr="00720B94">
        <w:rPr>
          <w:sz w:val="22"/>
          <w:szCs w:val="22"/>
        </w:rPr>
        <w:t>,</w:t>
      </w:r>
      <w:r w:rsidR="00C87A61" w:rsidRPr="00720B94">
        <w:rPr>
          <w:sz w:val="22"/>
          <w:szCs w:val="22"/>
        </w:rPr>
        <w:t xml:space="preserve"> National Library of Medicine</w:t>
      </w:r>
      <w:r w:rsidR="00A41460" w:rsidRPr="00720B94">
        <w:rPr>
          <w:sz w:val="22"/>
          <w:szCs w:val="22"/>
        </w:rPr>
        <w:t xml:space="preserve"> (NLM)</w:t>
      </w:r>
    </w:p>
    <w:p w14:paraId="7DA67E7A" w14:textId="0D94EF93" w:rsidR="00C87A61" w:rsidRPr="00720B94" w:rsidRDefault="00C87A61" w:rsidP="0092380E">
      <w:pPr>
        <w:pStyle w:val="ListParagraph"/>
        <w:numPr>
          <w:ilvl w:val="0"/>
          <w:numId w:val="32"/>
        </w:numPr>
        <w:rPr>
          <w:sz w:val="22"/>
          <w:szCs w:val="22"/>
        </w:rPr>
      </w:pPr>
      <w:hyperlink r:id="rId166" w:history="1">
        <w:r w:rsidRPr="00717676">
          <w:rPr>
            <w:rStyle w:val="Hyperlink"/>
            <w:color w:val="007D89" w:themeColor="accent3" w:themeShade="BF"/>
            <w:sz w:val="22"/>
            <w:szCs w:val="22"/>
          </w:rPr>
          <w:t>World Health Organization (WHO) Laboratory Biosafety Manual</w:t>
        </w:r>
      </w:hyperlink>
    </w:p>
    <w:p w14:paraId="0EE42324" w14:textId="125A5678" w:rsidR="00302D55" w:rsidRPr="00720B94" w:rsidRDefault="00302D55" w:rsidP="00720B94">
      <w:pPr>
        <w:pStyle w:val="Heading1"/>
      </w:pPr>
      <w:bookmarkStart w:id="84" w:name="_Toc192509385"/>
      <w:r w:rsidRPr="00720B94">
        <w:t>Glossary of Terms</w:t>
      </w:r>
      <w:bookmarkEnd w:id="84"/>
    </w:p>
    <w:p w14:paraId="7EE421BF" w14:textId="7C3C4C66" w:rsidR="00347386" w:rsidRPr="00720B94" w:rsidRDefault="00347386" w:rsidP="00720B94">
      <w:r w:rsidRPr="00720B94">
        <w:t xml:space="preserve">Appendix K defines various technical terms and words used throughout this document. </w:t>
      </w:r>
    </w:p>
    <w:p w14:paraId="68812C4F" w14:textId="2ECD1032" w:rsidR="00127279" w:rsidRPr="00720B94" w:rsidRDefault="00127279" w:rsidP="00720B94">
      <w:pPr>
        <w:pStyle w:val="Heading1"/>
      </w:pPr>
      <w:bookmarkStart w:id="85" w:name="_Toc192509386"/>
      <w:r w:rsidRPr="00720B94">
        <w:t>Glossary of Acronyms</w:t>
      </w:r>
      <w:bookmarkEnd w:id="85"/>
    </w:p>
    <w:p w14:paraId="327AA592" w14:textId="4363F9D8" w:rsidR="00E74444" w:rsidRPr="00720B94" w:rsidRDefault="00E74444" w:rsidP="00720B94">
      <w:r w:rsidRPr="00720B94">
        <w:t xml:space="preserve">Appendix L describes various acronyms used throughout this document. </w:t>
      </w:r>
    </w:p>
    <w:p w14:paraId="02194450" w14:textId="77777777" w:rsidR="00347386" w:rsidRPr="00720B94" w:rsidRDefault="00347386" w:rsidP="00720B94"/>
    <w:p w14:paraId="2999E5EA" w14:textId="77777777" w:rsidR="00942D4C" w:rsidRPr="00720B94" w:rsidRDefault="00942D4C" w:rsidP="00720B94"/>
    <w:p w14:paraId="380F69D8" w14:textId="77777777" w:rsidR="00942D4C" w:rsidRPr="00720B94" w:rsidRDefault="00942D4C" w:rsidP="00720B94"/>
    <w:p w14:paraId="7E97E4C6" w14:textId="77777777" w:rsidR="00942D4C" w:rsidRPr="00720B94" w:rsidRDefault="00942D4C" w:rsidP="00720B94"/>
    <w:p w14:paraId="7223B312" w14:textId="77777777" w:rsidR="00942D4C" w:rsidRPr="00720B94" w:rsidRDefault="00942D4C" w:rsidP="00720B94"/>
    <w:p w14:paraId="41EF570C" w14:textId="77777777" w:rsidR="00942D4C" w:rsidRPr="00720B94" w:rsidRDefault="00942D4C" w:rsidP="00720B94"/>
    <w:p w14:paraId="1FE2C651" w14:textId="77777777" w:rsidR="00942D4C" w:rsidRPr="00720B94" w:rsidRDefault="00942D4C" w:rsidP="00720B94"/>
    <w:p w14:paraId="375AF510" w14:textId="77777777" w:rsidR="00942D4C" w:rsidRPr="00720B94" w:rsidRDefault="00942D4C" w:rsidP="00720B94"/>
    <w:p w14:paraId="62D1F5F0" w14:textId="77777777" w:rsidR="00942D4C" w:rsidRPr="00720B94" w:rsidRDefault="00942D4C" w:rsidP="00720B94"/>
    <w:p w14:paraId="29CCE52E" w14:textId="77777777" w:rsidR="00942D4C" w:rsidRPr="00720B94" w:rsidRDefault="00942D4C" w:rsidP="00720B94"/>
    <w:p w14:paraId="14114215" w14:textId="77777777" w:rsidR="00942D4C" w:rsidRPr="00720B94" w:rsidRDefault="00942D4C" w:rsidP="00720B94"/>
    <w:p w14:paraId="1B8DBD88" w14:textId="77777777" w:rsidR="00942D4C" w:rsidRPr="00720B94" w:rsidRDefault="00942D4C" w:rsidP="00720B94"/>
    <w:p w14:paraId="67B0176E" w14:textId="77777777" w:rsidR="00942D4C" w:rsidRPr="00720B94" w:rsidRDefault="00942D4C" w:rsidP="00720B94"/>
    <w:p w14:paraId="583CA952" w14:textId="2D4914B6" w:rsidR="00837D90" w:rsidRPr="00720B94" w:rsidRDefault="012B2399" w:rsidP="00720B94">
      <w:pPr>
        <w:spacing w:line="276" w:lineRule="auto"/>
        <w:rPr>
          <w:b/>
          <w:bCs/>
          <w:sz w:val="28"/>
          <w:szCs w:val="28"/>
        </w:rPr>
      </w:pPr>
      <w:bookmarkStart w:id="86" w:name="_Toc192509387"/>
      <w:r w:rsidRPr="00720B94">
        <w:rPr>
          <w:rStyle w:val="Heading1Char"/>
          <w:b/>
          <w:bCs/>
        </w:rPr>
        <w:lastRenderedPageBreak/>
        <w:t>Appendix A</w:t>
      </w:r>
      <w:bookmarkEnd w:id="86"/>
      <w:r w:rsidR="00DE7182" w:rsidRPr="00720B94">
        <w:rPr>
          <w:b/>
          <w:bCs/>
          <w:sz w:val="28"/>
          <w:szCs w:val="28"/>
        </w:rPr>
        <w:t xml:space="preserve"> </w:t>
      </w:r>
      <w:r w:rsidR="00DE7182" w:rsidRPr="00720B94">
        <w:rPr>
          <w:rStyle w:val="Heading1Char"/>
        </w:rPr>
        <w:t>– Materials Requiring a Biosafety Protocol</w:t>
      </w:r>
      <w:r w:rsidR="00A436E4" w:rsidRPr="00720B94">
        <w:rPr>
          <w:sz w:val="28"/>
          <w:szCs w:val="28"/>
        </w:rPr>
        <w:t xml:space="preserve"> </w:t>
      </w:r>
      <w:r w:rsidR="00A436E4" w:rsidRPr="00720B94">
        <w:rPr>
          <w:i/>
          <w:iCs/>
          <w:sz w:val="28"/>
          <w:szCs w:val="28"/>
        </w:rPr>
        <w:t xml:space="preserve">(see pg. </w:t>
      </w:r>
      <w:r w:rsidR="00AC2088" w:rsidRPr="00720B94">
        <w:rPr>
          <w:i/>
          <w:iCs/>
          <w:sz w:val="28"/>
          <w:szCs w:val="28"/>
        </w:rPr>
        <w:t>8</w:t>
      </w:r>
      <w:r w:rsidR="00A436E4" w:rsidRPr="00720B94">
        <w:rPr>
          <w:i/>
          <w:iCs/>
          <w:sz w:val="28"/>
          <w:szCs w:val="28"/>
        </w:rPr>
        <w:t>)</w:t>
      </w:r>
    </w:p>
    <w:tbl>
      <w:tblPr>
        <w:tblStyle w:val="TableGrid"/>
        <w:tblW w:w="11610" w:type="dxa"/>
        <w:tblInd w:w="-725" w:type="dxa"/>
        <w:tblLook w:val="04A0" w:firstRow="1" w:lastRow="0" w:firstColumn="1" w:lastColumn="0" w:noHBand="0" w:noVBand="1"/>
      </w:tblPr>
      <w:tblGrid>
        <w:gridCol w:w="2160"/>
        <w:gridCol w:w="9450"/>
      </w:tblGrid>
      <w:tr w:rsidR="00837D90" w:rsidRPr="00720B94" w14:paraId="3E821B59" w14:textId="77777777" w:rsidTr="0054650E">
        <w:tc>
          <w:tcPr>
            <w:tcW w:w="2160" w:type="dxa"/>
          </w:tcPr>
          <w:p w14:paraId="2A388688" w14:textId="77777777" w:rsidR="00837D90" w:rsidRPr="00720B94" w:rsidRDefault="00837D90" w:rsidP="00720B94">
            <w:pPr>
              <w:jc w:val="center"/>
              <w:rPr>
                <w:b/>
                <w:bCs/>
              </w:rPr>
            </w:pPr>
            <w:r w:rsidRPr="00720B94">
              <w:rPr>
                <w:b/>
                <w:bCs/>
              </w:rPr>
              <w:t>Area</w:t>
            </w:r>
          </w:p>
        </w:tc>
        <w:tc>
          <w:tcPr>
            <w:tcW w:w="9450" w:type="dxa"/>
          </w:tcPr>
          <w:p w14:paraId="558DDDC8" w14:textId="77777777" w:rsidR="00837D90" w:rsidRPr="00720B94" w:rsidRDefault="00837D90" w:rsidP="00720B94">
            <w:pPr>
              <w:jc w:val="center"/>
              <w:rPr>
                <w:b/>
                <w:bCs/>
              </w:rPr>
            </w:pPr>
            <w:r w:rsidRPr="00720B94">
              <w:rPr>
                <w:b/>
                <w:bCs/>
              </w:rPr>
              <w:t>Description</w:t>
            </w:r>
          </w:p>
        </w:tc>
      </w:tr>
      <w:tr w:rsidR="00837D90" w:rsidRPr="00720B94" w14:paraId="4B475CAD" w14:textId="77777777" w:rsidTr="0054650E">
        <w:tc>
          <w:tcPr>
            <w:tcW w:w="2160" w:type="dxa"/>
          </w:tcPr>
          <w:p w14:paraId="205FE912" w14:textId="77777777" w:rsidR="00837D90" w:rsidRPr="00720B94" w:rsidRDefault="00837D90" w:rsidP="00720B94">
            <w:r w:rsidRPr="00720B94">
              <w:t>Recombinant or synthetic nucleic acid molecules</w:t>
            </w:r>
          </w:p>
        </w:tc>
        <w:tc>
          <w:tcPr>
            <w:tcW w:w="9450" w:type="dxa"/>
          </w:tcPr>
          <w:p w14:paraId="1A7D12CF" w14:textId="77777777" w:rsidR="00837D90" w:rsidRPr="00720B94" w:rsidRDefault="00837D90" w:rsidP="00720B94">
            <w:r w:rsidRPr="00720B94">
              <w:t>Recombinant materials, including those that are chemically or otherwise modified but can base pair with naturally occurring nucleic acid molecules, or cells, organisms, and viruses containing such molecules.</w:t>
            </w:r>
          </w:p>
        </w:tc>
      </w:tr>
      <w:tr w:rsidR="00837D90" w:rsidRPr="00720B94" w14:paraId="03B06758" w14:textId="77777777" w:rsidTr="0054650E">
        <w:tc>
          <w:tcPr>
            <w:tcW w:w="2160" w:type="dxa"/>
          </w:tcPr>
          <w:p w14:paraId="0BBB2BA6" w14:textId="77777777" w:rsidR="00837D90" w:rsidRPr="00720B94" w:rsidRDefault="00837D90" w:rsidP="00720B94">
            <w:r w:rsidRPr="00720B94">
              <w:t>Microorganisms and viruses</w:t>
            </w:r>
          </w:p>
        </w:tc>
        <w:tc>
          <w:tcPr>
            <w:tcW w:w="9450" w:type="dxa"/>
          </w:tcPr>
          <w:p w14:paraId="268627C5" w14:textId="77777777" w:rsidR="00837D90" w:rsidRPr="00720B94" w:rsidRDefault="00837D90" w:rsidP="00720B94">
            <w:r w:rsidRPr="00720B94">
              <w:t>Agents associated with human disease that pose moderate hazards to personnel and the environment. Microorganisms include bacteria, protozoa, algae, and fungi. Although viruses are not considered living organisms, they are included in this classification.</w:t>
            </w:r>
          </w:p>
        </w:tc>
      </w:tr>
      <w:tr w:rsidR="00837D90" w:rsidRPr="00720B94" w14:paraId="40F690BD" w14:textId="77777777" w:rsidTr="0054650E">
        <w:tc>
          <w:tcPr>
            <w:tcW w:w="2160" w:type="dxa"/>
          </w:tcPr>
          <w:p w14:paraId="217945FB" w14:textId="77777777" w:rsidR="00837D90" w:rsidRPr="00720B94" w:rsidRDefault="00837D90" w:rsidP="00720B94">
            <w:r w:rsidRPr="00720B94">
              <w:t>Prions</w:t>
            </w:r>
          </w:p>
        </w:tc>
        <w:tc>
          <w:tcPr>
            <w:tcW w:w="9450" w:type="dxa"/>
          </w:tcPr>
          <w:p w14:paraId="447E6BB3" w14:textId="77777777" w:rsidR="00837D90" w:rsidRPr="00720B94" w:rsidRDefault="00837D90" w:rsidP="00720B94">
            <w:r w:rsidRPr="00720B94">
              <w:t xml:space="preserve">Prions are abnormal, pathogenic proteins that are transmissible and </w:t>
            </w:r>
            <w:proofErr w:type="gramStart"/>
            <w:r w:rsidRPr="00720B94">
              <w:t>are able to</w:t>
            </w:r>
            <w:proofErr w:type="gramEnd"/>
            <w:r w:rsidRPr="00720B94">
              <w:t xml:space="preserve"> induce abnormal folding of specific normal cellular proteins called prion proteins that are found most abundantly in the brain. </w:t>
            </w:r>
          </w:p>
        </w:tc>
      </w:tr>
      <w:tr w:rsidR="00837D90" w:rsidRPr="00720B94" w14:paraId="3E9DC41E" w14:textId="77777777" w:rsidTr="0054650E">
        <w:tc>
          <w:tcPr>
            <w:tcW w:w="2160" w:type="dxa"/>
          </w:tcPr>
          <w:p w14:paraId="4E1B6CEA" w14:textId="77777777" w:rsidR="00837D90" w:rsidRPr="00720B94" w:rsidRDefault="00837D90" w:rsidP="00720B94">
            <w:r w:rsidRPr="00720B94">
              <w:t>Non-human animal tissues, cell lines, or blood products</w:t>
            </w:r>
          </w:p>
        </w:tc>
        <w:tc>
          <w:tcPr>
            <w:tcW w:w="9450" w:type="dxa"/>
          </w:tcPr>
          <w:p w14:paraId="0D2E2713" w14:textId="77777777" w:rsidR="00837D90" w:rsidRPr="00720B94" w:rsidRDefault="00837D90" w:rsidP="00720B94">
            <w:r w:rsidRPr="00720B94">
              <w:t>All cell and organ cultures and materials of non-human animal origin that are infectious, potentially infectious, or recombinant.</w:t>
            </w:r>
          </w:p>
        </w:tc>
      </w:tr>
      <w:tr w:rsidR="00837D90" w:rsidRPr="00720B94" w14:paraId="2825DAF7" w14:textId="77777777" w:rsidTr="0054650E">
        <w:tc>
          <w:tcPr>
            <w:tcW w:w="2160" w:type="dxa"/>
          </w:tcPr>
          <w:p w14:paraId="45797FED" w14:textId="77777777" w:rsidR="00837D90" w:rsidRPr="00720B94" w:rsidRDefault="00837D90" w:rsidP="00720B94">
            <w:r w:rsidRPr="00720B94">
              <w:t>Human cells and cell culture, organs or tissues, or biological samples</w:t>
            </w:r>
          </w:p>
        </w:tc>
        <w:tc>
          <w:tcPr>
            <w:tcW w:w="9450" w:type="dxa"/>
          </w:tcPr>
          <w:p w14:paraId="612D7672" w14:textId="77777777" w:rsidR="00837D90" w:rsidRPr="00720B94" w:rsidRDefault="00837D90" w:rsidP="00720B94">
            <w:r w:rsidRPr="00720B94">
              <w:t>All cell and organ cultures and materials of human origin.</w:t>
            </w:r>
          </w:p>
        </w:tc>
      </w:tr>
      <w:tr w:rsidR="00837D90" w:rsidRPr="00720B94" w14:paraId="3B655AFA" w14:textId="77777777" w:rsidTr="0054650E">
        <w:tc>
          <w:tcPr>
            <w:tcW w:w="2160" w:type="dxa"/>
          </w:tcPr>
          <w:p w14:paraId="4F4E109E" w14:textId="77777777" w:rsidR="00837D90" w:rsidRPr="00720B94" w:rsidRDefault="00837D90" w:rsidP="00720B94">
            <w:r w:rsidRPr="00720B94">
              <w:t>Genetically modified live animals</w:t>
            </w:r>
          </w:p>
        </w:tc>
        <w:tc>
          <w:tcPr>
            <w:tcW w:w="9450" w:type="dxa"/>
          </w:tcPr>
          <w:p w14:paraId="00E063E8" w14:textId="77777777" w:rsidR="00837D90" w:rsidRPr="00720B94" w:rsidRDefault="00837D90" w:rsidP="00720B94">
            <w:r w:rsidRPr="00720B94">
              <w:t>Animals (vertebrate and/or invertebrate) that are recombinant (transgenic), exotic, and/or grown in association with pathogens and/or recombinant materials. Research involving recombinant DNA introduced into vertebrate animals will require both IBC and IACUC approval.</w:t>
            </w:r>
          </w:p>
        </w:tc>
      </w:tr>
      <w:tr w:rsidR="00837D90" w:rsidRPr="00720B94" w14:paraId="3A9B0C13" w14:textId="77777777" w:rsidTr="0054650E">
        <w:tc>
          <w:tcPr>
            <w:tcW w:w="2160" w:type="dxa"/>
          </w:tcPr>
          <w:p w14:paraId="3A5FFC4B" w14:textId="77777777" w:rsidR="00837D90" w:rsidRPr="00720B94" w:rsidRDefault="00837D90" w:rsidP="00720B94">
            <w:r w:rsidRPr="00720B94">
              <w:t>Plants and soils</w:t>
            </w:r>
          </w:p>
        </w:tc>
        <w:tc>
          <w:tcPr>
            <w:tcW w:w="9450" w:type="dxa"/>
          </w:tcPr>
          <w:p w14:paraId="0F5E9587" w14:textId="77777777" w:rsidR="00837D90" w:rsidRPr="00720B94" w:rsidRDefault="00837D90" w:rsidP="00720B94">
            <w:r w:rsidRPr="00720B94">
              <w:t xml:space="preserve">Plants that are recombinant (transgenic), exotic, and/or grown in association with pathogenic or recombinant microbes and/or pathogenic or recombinant small animals (insects, etc.). Research involving soils, seeds, plants, plant pathogens, or other materials as regulated by state or federal policy or law. Samples from a general population that is not considered to be at an increased risk for contamination with pathogens do not need a Biosafety Protocol. Samples that </w:t>
            </w:r>
            <w:r w:rsidRPr="00720B94">
              <w:rPr>
                <w:i/>
                <w:iCs/>
              </w:rPr>
              <w:t xml:space="preserve">may </w:t>
            </w:r>
            <w:r w:rsidRPr="00720B94">
              <w:t>be at an increased risk for contamination with pathogens do require a Biosafety Protocol.</w:t>
            </w:r>
          </w:p>
        </w:tc>
      </w:tr>
      <w:tr w:rsidR="00837D90" w:rsidRPr="00720B94" w14:paraId="0E3D07E0" w14:textId="77777777" w:rsidTr="0054650E">
        <w:tc>
          <w:tcPr>
            <w:tcW w:w="2160" w:type="dxa"/>
          </w:tcPr>
          <w:p w14:paraId="692AF8EF" w14:textId="77777777" w:rsidR="00837D90" w:rsidRPr="00720B94" w:rsidRDefault="00837D90" w:rsidP="00720B94">
            <w:r w:rsidRPr="00720B94">
              <w:t>Biological toxins</w:t>
            </w:r>
          </w:p>
        </w:tc>
        <w:tc>
          <w:tcPr>
            <w:tcW w:w="9450" w:type="dxa"/>
          </w:tcPr>
          <w:p w14:paraId="309CE655" w14:textId="77777777" w:rsidR="00837D90" w:rsidRPr="00720B94" w:rsidRDefault="00837D90" w:rsidP="00720B94">
            <w:r w:rsidRPr="00720B94">
              <w:t xml:space="preserve">Biological toxins are poisonous substances produced by certain microorganisms, animals, and plants; this includes protein toxins and low molecular weight toxins, as described in the </w:t>
            </w:r>
            <w:hyperlink r:id="rId167" w:history="1">
              <w:r w:rsidRPr="00717676">
                <w:rPr>
                  <w:rStyle w:val="Hyperlink"/>
                  <w:color w:val="007D89" w:themeColor="accent3" w:themeShade="BF"/>
                </w:rPr>
                <w:t>CDC BMBL</w:t>
              </w:r>
            </w:hyperlink>
            <w:r w:rsidRPr="00720B94">
              <w:t>, Section VIII-G. This does not include toxic chemicals or antibiotics, which instead require Chemical Hygiene Plan review and approval by Environmental Health &amp; Safety.</w:t>
            </w:r>
          </w:p>
        </w:tc>
      </w:tr>
      <w:tr w:rsidR="00837D90" w:rsidRPr="00720B94" w14:paraId="4FF21521" w14:textId="77777777" w:rsidTr="0054650E">
        <w:tc>
          <w:tcPr>
            <w:tcW w:w="2160" w:type="dxa"/>
          </w:tcPr>
          <w:p w14:paraId="5663CA4E" w14:textId="77777777" w:rsidR="00837D90" w:rsidRPr="00720B94" w:rsidRDefault="00837D90" w:rsidP="00720B94">
            <w:r w:rsidRPr="00720B94">
              <w:t>Dual Use Research of Concern (DURC)</w:t>
            </w:r>
          </w:p>
        </w:tc>
        <w:tc>
          <w:tcPr>
            <w:tcW w:w="9450" w:type="dxa"/>
          </w:tcPr>
          <w:p w14:paraId="4D54F970" w14:textId="77777777" w:rsidR="00837D90" w:rsidRPr="00720B94" w:rsidRDefault="00837D90" w:rsidP="00720B94">
            <w:r w:rsidRPr="00720B94">
              <w:t xml:space="preserve">DURC is life sciences research that can be reasonably anticipated to provide knowledge, information, technologies, and/or products that could be misapplied to do harm with no, or only minor, modification to pose a significant threat with potential consequences to public health and safety, agricultural crops or other plants, animals, the environment, or national security. See </w:t>
            </w:r>
            <w:hyperlink w:anchor="_Dual_Use_Research" w:history="1">
              <w:r w:rsidRPr="00717676">
                <w:rPr>
                  <w:rStyle w:val="Hyperlink"/>
                  <w:color w:val="007D89" w:themeColor="accent3" w:themeShade="BF"/>
                </w:rPr>
                <w:t>DURC &amp; PEPP</w:t>
              </w:r>
            </w:hyperlink>
            <w:r w:rsidRPr="00720B94">
              <w:t>.</w:t>
            </w:r>
          </w:p>
        </w:tc>
      </w:tr>
      <w:tr w:rsidR="00837D90" w:rsidRPr="00720B94" w14:paraId="570422BF" w14:textId="77777777" w:rsidTr="0054650E">
        <w:trPr>
          <w:trHeight w:val="300"/>
        </w:trPr>
        <w:tc>
          <w:tcPr>
            <w:tcW w:w="2160" w:type="dxa"/>
          </w:tcPr>
          <w:p w14:paraId="15216BDB" w14:textId="77777777" w:rsidR="00837D90" w:rsidRPr="00720B94" w:rsidRDefault="00837D90" w:rsidP="00720B94">
            <w:r w:rsidRPr="00720B94">
              <w:t>Pathogens with Enhanced Pandemic Potential (PEPP)</w:t>
            </w:r>
          </w:p>
        </w:tc>
        <w:tc>
          <w:tcPr>
            <w:tcW w:w="9450" w:type="dxa"/>
          </w:tcPr>
          <w:p w14:paraId="3E33745E" w14:textId="77777777" w:rsidR="00837D90" w:rsidRPr="00720B94" w:rsidRDefault="00837D90" w:rsidP="00720B94">
            <w:pPr>
              <w:spacing w:line="276" w:lineRule="auto"/>
              <w:rPr>
                <w:rFonts w:eastAsia="Arial" w:cs="Arial"/>
              </w:rPr>
            </w:pPr>
            <w:r w:rsidRPr="00720B94">
              <w:t xml:space="preserve">PEPP is a type of pathogen with pandemic potential (PPP), or that is likely capable of wide and uncontrollable spread in a human population and would likely cause moderate to severe disease and/or mortality in humans. This pathogen is resulting from experiments that enhance a pathogen’s transmissibility or virulence, or disrupt the effectiveness of pre-existing immunity, regardless of its progenitor agent, such that it may pose a significant threat to public health, the capacity of health systems to function, or national security. Wild-type pathogens that are circulating in or have been recovered from nature are not PEPPs but may be considered PPPs because of their pandemic potential. See </w:t>
            </w:r>
            <w:hyperlink w:anchor="_Dual_Use_Research">
              <w:r w:rsidRPr="00717676">
                <w:rPr>
                  <w:rStyle w:val="Hyperlink"/>
                  <w:color w:val="007D89" w:themeColor="accent3" w:themeShade="BF"/>
                </w:rPr>
                <w:t>DURC &amp; PEPP</w:t>
              </w:r>
            </w:hyperlink>
            <w:r w:rsidRPr="00720B94">
              <w:t>.</w:t>
            </w:r>
          </w:p>
        </w:tc>
      </w:tr>
      <w:tr w:rsidR="00837D90" w:rsidRPr="00720B94" w14:paraId="181FFF7D" w14:textId="77777777" w:rsidTr="0054650E">
        <w:tc>
          <w:tcPr>
            <w:tcW w:w="2160" w:type="dxa"/>
          </w:tcPr>
          <w:p w14:paraId="54B5E91B" w14:textId="77777777" w:rsidR="00837D90" w:rsidRPr="00720B94" w:rsidRDefault="00837D90" w:rsidP="00720B94">
            <w:r w:rsidRPr="00720B94">
              <w:t>Select Agents and Toxins</w:t>
            </w:r>
          </w:p>
        </w:tc>
        <w:tc>
          <w:tcPr>
            <w:tcW w:w="9450" w:type="dxa"/>
          </w:tcPr>
          <w:p w14:paraId="61BC83FA" w14:textId="77777777" w:rsidR="00837D90" w:rsidRPr="00720B94" w:rsidRDefault="00837D90" w:rsidP="00720B94">
            <w:pPr>
              <w:spacing w:line="259" w:lineRule="auto"/>
            </w:pPr>
            <w:r w:rsidRPr="00720B94">
              <w:t xml:space="preserve">Biological Select Agents and Toxins (BSATs) are biological agents that have been declared by the US Department of Health and Human Services (HHS) or by the US Department of Agriculture (USDA) to have the “potential to pose severe threat to public health and safety.” See </w:t>
            </w:r>
            <w:hyperlink r:id="rId168" w:history="1">
              <w:r w:rsidRPr="00717676">
                <w:rPr>
                  <w:rStyle w:val="Hyperlink"/>
                  <w:color w:val="007D89" w:themeColor="accent3" w:themeShade="BF"/>
                </w:rPr>
                <w:t>www.selectagents.gov</w:t>
              </w:r>
            </w:hyperlink>
            <w:r w:rsidRPr="00720B94">
              <w:t>.</w:t>
            </w:r>
          </w:p>
        </w:tc>
      </w:tr>
    </w:tbl>
    <w:p w14:paraId="3EFC3B4F" w14:textId="3D8C0A44" w:rsidR="00837D90" w:rsidRPr="00720B94" w:rsidRDefault="00837D90" w:rsidP="00720B94">
      <w:pPr>
        <w:spacing w:line="276" w:lineRule="auto"/>
        <w:rPr>
          <w:b/>
          <w:bCs/>
          <w:sz w:val="28"/>
          <w:szCs w:val="28"/>
        </w:rPr>
      </w:pPr>
      <w:bookmarkStart w:id="87" w:name="_Toc192509388"/>
      <w:r w:rsidRPr="00720B94">
        <w:rPr>
          <w:rStyle w:val="Heading1Char"/>
          <w:b/>
          <w:bCs/>
        </w:rPr>
        <w:lastRenderedPageBreak/>
        <w:t>Appendix B</w:t>
      </w:r>
      <w:bookmarkEnd w:id="87"/>
      <w:r w:rsidR="00DE7182" w:rsidRPr="00720B94">
        <w:rPr>
          <w:b/>
          <w:bCs/>
          <w:sz w:val="28"/>
          <w:szCs w:val="28"/>
        </w:rPr>
        <w:t xml:space="preserve"> </w:t>
      </w:r>
      <w:r w:rsidR="00DE7182" w:rsidRPr="00720B94">
        <w:rPr>
          <w:rStyle w:val="Heading1Char"/>
        </w:rPr>
        <w:t>– Risk Groups &amp; Biosafety Levels</w:t>
      </w:r>
      <w:r w:rsidR="00A436E4" w:rsidRPr="00720B94">
        <w:rPr>
          <w:sz w:val="28"/>
          <w:szCs w:val="28"/>
        </w:rPr>
        <w:t xml:space="preserve"> </w:t>
      </w:r>
      <w:r w:rsidR="00A436E4" w:rsidRPr="00720B94">
        <w:rPr>
          <w:i/>
          <w:iCs/>
          <w:sz w:val="28"/>
          <w:szCs w:val="28"/>
        </w:rPr>
        <w:t>(see pg. 1</w:t>
      </w:r>
      <w:r w:rsidR="00AC2088" w:rsidRPr="00720B94">
        <w:rPr>
          <w:i/>
          <w:iCs/>
          <w:sz w:val="28"/>
          <w:szCs w:val="28"/>
        </w:rPr>
        <w:t>7-18</w:t>
      </w:r>
      <w:r w:rsidR="00A436E4" w:rsidRPr="00720B94">
        <w:rPr>
          <w:i/>
          <w:iCs/>
          <w:sz w:val="28"/>
          <w:szCs w:val="28"/>
        </w:rPr>
        <w:t>)</w:t>
      </w:r>
    </w:p>
    <w:p w14:paraId="2874D5EC" w14:textId="77777777" w:rsidR="00DE7182" w:rsidRPr="00720B94" w:rsidRDefault="00DE7182" w:rsidP="00720B94">
      <w:pPr>
        <w:pStyle w:val="Heading3"/>
        <w:rPr>
          <w:rFonts w:eastAsia="Arial"/>
        </w:rPr>
      </w:pPr>
      <w:bookmarkStart w:id="88" w:name="_Toc192509389"/>
      <w:r w:rsidRPr="00720B94">
        <w:rPr>
          <w:rFonts w:eastAsia="Arial"/>
        </w:rPr>
        <w:t>Summary of Risk Groups (RGs)</w:t>
      </w:r>
      <w:bookmarkEnd w:id="88"/>
    </w:p>
    <w:tbl>
      <w:tblPr>
        <w:tblStyle w:val="TableGrid"/>
        <w:tblW w:w="11610" w:type="dxa"/>
        <w:tblInd w:w="-725" w:type="dxa"/>
        <w:tblLook w:val="04A0" w:firstRow="1" w:lastRow="0" w:firstColumn="1" w:lastColumn="0" w:noHBand="0" w:noVBand="1"/>
      </w:tblPr>
      <w:tblGrid>
        <w:gridCol w:w="3060"/>
        <w:gridCol w:w="8550"/>
      </w:tblGrid>
      <w:tr w:rsidR="00DE7182" w:rsidRPr="00720B94" w14:paraId="2EC19B6A" w14:textId="77777777" w:rsidTr="00942D4C">
        <w:tc>
          <w:tcPr>
            <w:tcW w:w="3060" w:type="dxa"/>
          </w:tcPr>
          <w:p w14:paraId="253F9188" w14:textId="77777777" w:rsidR="00DE7182" w:rsidRPr="00720B94" w:rsidRDefault="00DE7182" w:rsidP="00720B94">
            <w:pPr>
              <w:spacing w:line="276" w:lineRule="auto"/>
              <w:rPr>
                <w:rFonts w:eastAsia="Arial" w:cs="Arial"/>
                <w:b/>
                <w:bCs/>
                <w:sz w:val="20"/>
                <w:szCs w:val="20"/>
              </w:rPr>
            </w:pPr>
            <w:r w:rsidRPr="00720B94">
              <w:rPr>
                <w:rFonts w:eastAsia="Arial" w:cs="Arial"/>
                <w:b/>
                <w:bCs/>
                <w:sz w:val="20"/>
                <w:szCs w:val="20"/>
              </w:rPr>
              <w:t>Risk Group 1 (RG1)</w:t>
            </w:r>
          </w:p>
        </w:tc>
        <w:tc>
          <w:tcPr>
            <w:tcW w:w="8550" w:type="dxa"/>
          </w:tcPr>
          <w:p w14:paraId="12BEDD3C" w14:textId="77777777" w:rsidR="00DE7182" w:rsidRPr="00720B94" w:rsidRDefault="00DE7182" w:rsidP="00720B94">
            <w:pPr>
              <w:spacing w:line="276" w:lineRule="auto"/>
              <w:rPr>
                <w:rFonts w:eastAsia="Arial" w:cs="Arial"/>
                <w:sz w:val="20"/>
                <w:szCs w:val="20"/>
              </w:rPr>
            </w:pPr>
            <w:r w:rsidRPr="00720B94">
              <w:rPr>
                <w:rFonts w:eastAsia="Arial" w:cs="Arial"/>
                <w:sz w:val="20"/>
                <w:szCs w:val="20"/>
              </w:rPr>
              <w:t>Agents that are not associated with disease in healthy adult humans</w:t>
            </w:r>
          </w:p>
          <w:p w14:paraId="3144DC97" w14:textId="77777777" w:rsidR="00EC3CBE" w:rsidRPr="00720B94" w:rsidRDefault="00EC3CBE" w:rsidP="00720B94">
            <w:pPr>
              <w:spacing w:line="276" w:lineRule="auto"/>
              <w:rPr>
                <w:rFonts w:eastAsia="Arial" w:cs="Arial"/>
                <w:sz w:val="20"/>
                <w:szCs w:val="20"/>
              </w:rPr>
            </w:pPr>
          </w:p>
          <w:p w14:paraId="3F39FD92" w14:textId="30C5D9E4" w:rsidR="00DE7182" w:rsidRPr="00720B94" w:rsidRDefault="00DE7182" w:rsidP="00720B94">
            <w:pPr>
              <w:spacing w:line="276" w:lineRule="auto"/>
              <w:rPr>
                <w:rFonts w:eastAsia="Arial" w:cs="Arial"/>
                <w:sz w:val="20"/>
                <w:szCs w:val="20"/>
              </w:rPr>
            </w:pPr>
            <w:r w:rsidRPr="00720B94">
              <w:rPr>
                <w:rFonts w:eastAsia="Arial" w:cs="Arial"/>
                <w:sz w:val="20"/>
                <w:szCs w:val="20"/>
              </w:rPr>
              <w:t xml:space="preserve">Examples: </w:t>
            </w:r>
            <w:r w:rsidRPr="00720B94">
              <w:rPr>
                <w:rFonts w:eastAsia="Arial" w:cs="Arial"/>
                <w:i/>
                <w:iCs/>
                <w:sz w:val="20"/>
                <w:szCs w:val="20"/>
              </w:rPr>
              <w:t xml:space="preserve">E. coli </w:t>
            </w:r>
            <w:r w:rsidRPr="00720B94">
              <w:rPr>
                <w:rFonts w:eastAsia="Arial" w:cs="Arial"/>
                <w:sz w:val="20"/>
                <w:szCs w:val="20"/>
              </w:rPr>
              <w:t xml:space="preserve">K-12, </w:t>
            </w:r>
            <w:r w:rsidRPr="00720B94">
              <w:rPr>
                <w:i/>
                <w:iCs/>
                <w:sz w:val="20"/>
                <w:szCs w:val="20"/>
              </w:rPr>
              <w:t>Saccharomyces cerevisiae</w:t>
            </w:r>
          </w:p>
        </w:tc>
      </w:tr>
      <w:tr w:rsidR="00DE7182" w:rsidRPr="00720B94" w14:paraId="4CFB8FC4" w14:textId="77777777" w:rsidTr="00942D4C">
        <w:tc>
          <w:tcPr>
            <w:tcW w:w="3060" w:type="dxa"/>
          </w:tcPr>
          <w:p w14:paraId="5473EF06" w14:textId="77777777" w:rsidR="00DE7182" w:rsidRPr="00720B94" w:rsidRDefault="00DE7182" w:rsidP="00720B94">
            <w:pPr>
              <w:spacing w:line="276" w:lineRule="auto"/>
              <w:rPr>
                <w:rFonts w:eastAsia="Arial" w:cs="Arial"/>
                <w:b/>
                <w:bCs/>
                <w:sz w:val="20"/>
                <w:szCs w:val="20"/>
              </w:rPr>
            </w:pPr>
            <w:r w:rsidRPr="00720B94">
              <w:rPr>
                <w:rFonts w:eastAsia="Arial" w:cs="Arial"/>
                <w:b/>
                <w:bCs/>
                <w:sz w:val="20"/>
                <w:szCs w:val="20"/>
              </w:rPr>
              <w:t>Risk Group 2 (RG2)</w:t>
            </w:r>
          </w:p>
        </w:tc>
        <w:tc>
          <w:tcPr>
            <w:tcW w:w="8550" w:type="dxa"/>
          </w:tcPr>
          <w:p w14:paraId="7EA597E3" w14:textId="77777777" w:rsidR="00DE7182" w:rsidRPr="00720B94" w:rsidRDefault="00DE7182" w:rsidP="00720B94">
            <w:pPr>
              <w:spacing w:line="276" w:lineRule="auto"/>
              <w:rPr>
                <w:rFonts w:eastAsia="Arial" w:cs="Arial"/>
                <w:sz w:val="20"/>
                <w:szCs w:val="20"/>
              </w:rPr>
            </w:pPr>
            <w:r w:rsidRPr="00720B94">
              <w:rPr>
                <w:rFonts w:eastAsia="Arial" w:cs="Arial"/>
                <w:sz w:val="20"/>
                <w:szCs w:val="20"/>
              </w:rPr>
              <w:t xml:space="preserve">Agents that are associated with human disease which is rarely serious and for which preventive or therapeutic interventions are </w:t>
            </w:r>
            <w:r w:rsidRPr="00720B94">
              <w:rPr>
                <w:rFonts w:eastAsia="Arial" w:cs="Arial"/>
                <w:i/>
                <w:iCs/>
                <w:sz w:val="20"/>
                <w:szCs w:val="20"/>
              </w:rPr>
              <w:t xml:space="preserve">often </w:t>
            </w:r>
            <w:r w:rsidRPr="00720B94">
              <w:rPr>
                <w:rFonts w:eastAsia="Arial" w:cs="Arial"/>
                <w:sz w:val="20"/>
                <w:szCs w:val="20"/>
              </w:rPr>
              <w:t>available</w:t>
            </w:r>
          </w:p>
          <w:p w14:paraId="63E5D4DF" w14:textId="77777777" w:rsidR="00EC3CBE" w:rsidRPr="00720B94" w:rsidRDefault="00EC3CBE" w:rsidP="00720B94">
            <w:pPr>
              <w:spacing w:line="276" w:lineRule="auto"/>
              <w:rPr>
                <w:sz w:val="20"/>
                <w:szCs w:val="20"/>
              </w:rPr>
            </w:pPr>
          </w:p>
          <w:p w14:paraId="31C0D015" w14:textId="39CF61C0" w:rsidR="00DE7182" w:rsidRPr="00720B94" w:rsidRDefault="00DE7182" w:rsidP="00720B94">
            <w:pPr>
              <w:spacing w:line="276" w:lineRule="auto"/>
              <w:rPr>
                <w:rFonts w:eastAsia="Arial" w:cs="Arial"/>
                <w:sz w:val="20"/>
                <w:szCs w:val="20"/>
              </w:rPr>
            </w:pPr>
            <w:r w:rsidRPr="00720B94">
              <w:rPr>
                <w:sz w:val="20"/>
                <w:szCs w:val="20"/>
              </w:rPr>
              <w:t xml:space="preserve">Examples: Adenovirus, Enteropathogenic </w:t>
            </w:r>
            <w:r w:rsidRPr="00720B94">
              <w:rPr>
                <w:i/>
                <w:iCs/>
                <w:sz w:val="20"/>
                <w:szCs w:val="20"/>
              </w:rPr>
              <w:t xml:space="preserve">E. coli </w:t>
            </w:r>
            <w:r w:rsidRPr="00720B94">
              <w:rPr>
                <w:sz w:val="20"/>
                <w:szCs w:val="20"/>
              </w:rPr>
              <w:t xml:space="preserve">strains, </w:t>
            </w:r>
            <w:r w:rsidRPr="00720B94">
              <w:rPr>
                <w:i/>
                <w:iCs/>
                <w:sz w:val="20"/>
                <w:szCs w:val="20"/>
              </w:rPr>
              <w:t>Salmonella</w:t>
            </w:r>
            <w:r w:rsidRPr="00720B94">
              <w:rPr>
                <w:sz w:val="20"/>
                <w:szCs w:val="20"/>
              </w:rPr>
              <w:t xml:space="preserve">, </w:t>
            </w:r>
            <w:r w:rsidRPr="00720B94">
              <w:rPr>
                <w:i/>
                <w:iCs/>
                <w:sz w:val="20"/>
                <w:szCs w:val="20"/>
              </w:rPr>
              <w:t>Cryptosporidium</w:t>
            </w:r>
            <w:r w:rsidRPr="00720B94">
              <w:rPr>
                <w:sz w:val="20"/>
                <w:szCs w:val="20"/>
              </w:rPr>
              <w:t xml:space="preserve">, </w:t>
            </w:r>
            <w:r w:rsidRPr="00720B94">
              <w:rPr>
                <w:i/>
                <w:iCs/>
                <w:sz w:val="20"/>
                <w:szCs w:val="20"/>
              </w:rPr>
              <w:t>Staphylococcus aureus</w:t>
            </w:r>
            <w:r w:rsidR="00EC3CBE" w:rsidRPr="00720B94">
              <w:rPr>
                <w:i/>
                <w:iCs/>
                <w:sz w:val="20"/>
                <w:szCs w:val="20"/>
              </w:rPr>
              <w:t xml:space="preserve">, </w:t>
            </w:r>
            <w:r w:rsidR="00EC3CBE" w:rsidRPr="00720B94">
              <w:rPr>
                <w:sz w:val="20"/>
                <w:szCs w:val="20"/>
              </w:rPr>
              <w:t>SARS-CoV-2</w:t>
            </w:r>
          </w:p>
        </w:tc>
      </w:tr>
      <w:tr w:rsidR="00DE7182" w:rsidRPr="00720B94" w14:paraId="35F11525" w14:textId="77777777" w:rsidTr="00942D4C">
        <w:tc>
          <w:tcPr>
            <w:tcW w:w="3060" w:type="dxa"/>
          </w:tcPr>
          <w:p w14:paraId="69C73FBF" w14:textId="77777777" w:rsidR="00DE7182" w:rsidRPr="00720B94" w:rsidRDefault="00DE7182" w:rsidP="00720B94">
            <w:pPr>
              <w:spacing w:line="276" w:lineRule="auto"/>
              <w:rPr>
                <w:rFonts w:eastAsia="Arial" w:cs="Arial"/>
                <w:b/>
                <w:bCs/>
                <w:sz w:val="20"/>
                <w:szCs w:val="20"/>
              </w:rPr>
            </w:pPr>
            <w:r w:rsidRPr="00720B94">
              <w:rPr>
                <w:rFonts w:eastAsia="Arial" w:cs="Arial"/>
                <w:b/>
                <w:bCs/>
                <w:sz w:val="20"/>
                <w:szCs w:val="20"/>
              </w:rPr>
              <w:t>Risk Group 3 (RG3)</w:t>
            </w:r>
          </w:p>
        </w:tc>
        <w:tc>
          <w:tcPr>
            <w:tcW w:w="8550" w:type="dxa"/>
          </w:tcPr>
          <w:p w14:paraId="1BE571A8" w14:textId="77777777" w:rsidR="00DE7182" w:rsidRPr="00720B94" w:rsidRDefault="00DE7182" w:rsidP="00720B94">
            <w:pPr>
              <w:spacing w:line="276" w:lineRule="auto"/>
              <w:rPr>
                <w:sz w:val="20"/>
                <w:szCs w:val="20"/>
              </w:rPr>
            </w:pPr>
            <w:r w:rsidRPr="00720B94">
              <w:rPr>
                <w:rFonts w:eastAsia="Arial" w:cs="Arial"/>
                <w:sz w:val="20"/>
                <w:szCs w:val="20"/>
              </w:rPr>
              <w:t xml:space="preserve">Agents that are associated with serious or lethal human disease for which preventive or therapeutic interventions </w:t>
            </w:r>
            <w:r w:rsidRPr="00720B94">
              <w:rPr>
                <w:rFonts w:eastAsia="Arial" w:cs="Arial"/>
                <w:i/>
                <w:iCs/>
                <w:sz w:val="20"/>
                <w:szCs w:val="20"/>
              </w:rPr>
              <w:t xml:space="preserve">may be </w:t>
            </w:r>
            <w:r w:rsidRPr="00720B94">
              <w:rPr>
                <w:rFonts w:eastAsia="Arial" w:cs="Arial"/>
                <w:sz w:val="20"/>
                <w:szCs w:val="20"/>
              </w:rPr>
              <w:t xml:space="preserve">available </w:t>
            </w:r>
            <w:r w:rsidRPr="00720B94">
              <w:rPr>
                <w:sz w:val="20"/>
                <w:szCs w:val="20"/>
              </w:rPr>
              <w:t>(high individual risk but low community risk)</w:t>
            </w:r>
          </w:p>
          <w:p w14:paraId="227E9FB2" w14:textId="77777777" w:rsidR="00EC3CBE" w:rsidRPr="00720B94" w:rsidRDefault="00EC3CBE" w:rsidP="00720B94">
            <w:pPr>
              <w:spacing w:line="276" w:lineRule="auto"/>
              <w:rPr>
                <w:sz w:val="20"/>
                <w:szCs w:val="20"/>
              </w:rPr>
            </w:pPr>
          </w:p>
          <w:p w14:paraId="4C4609C1" w14:textId="03244BDA" w:rsidR="00DE7182" w:rsidRPr="00720B94" w:rsidRDefault="00DE7182" w:rsidP="00720B94">
            <w:pPr>
              <w:spacing w:line="276" w:lineRule="auto"/>
              <w:rPr>
                <w:rFonts w:eastAsia="Arial" w:cs="Arial"/>
                <w:sz w:val="20"/>
                <w:szCs w:val="20"/>
              </w:rPr>
            </w:pPr>
            <w:r w:rsidRPr="00720B94">
              <w:rPr>
                <w:sz w:val="20"/>
                <w:szCs w:val="20"/>
              </w:rPr>
              <w:t xml:space="preserve">Examples: Human immunodeficiency virus, </w:t>
            </w:r>
            <w:r w:rsidRPr="00720B94">
              <w:rPr>
                <w:i/>
                <w:iCs/>
                <w:sz w:val="20"/>
                <w:szCs w:val="20"/>
              </w:rPr>
              <w:t>Brucella abortus</w:t>
            </w:r>
            <w:r w:rsidRPr="00720B94">
              <w:rPr>
                <w:sz w:val="20"/>
                <w:szCs w:val="20"/>
              </w:rPr>
              <w:t xml:space="preserve">, </w:t>
            </w:r>
            <w:r w:rsidRPr="00720B94">
              <w:rPr>
                <w:i/>
                <w:iCs/>
                <w:sz w:val="20"/>
                <w:szCs w:val="20"/>
              </w:rPr>
              <w:t>Mycobacterium</w:t>
            </w:r>
            <w:r w:rsidRPr="00720B94">
              <w:rPr>
                <w:sz w:val="20"/>
                <w:szCs w:val="20"/>
              </w:rPr>
              <w:t xml:space="preserve"> </w:t>
            </w:r>
            <w:r w:rsidRPr="00720B94">
              <w:rPr>
                <w:i/>
                <w:iCs/>
                <w:sz w:val="20"/>
                <w:szCs w:val="20"/>
              </w:rPr>
              <w:t>tuberculosis</w:t>
            </w:r>
            <w:r w:rsidR="00EC3CBE" w:rsidRPr="00720B94">
              <w:rPr>
                <w:i/>
                <w:iCs/>
                <w:sz w:val="20"/>
                <w:szCs w:val="20"/>
              </w:rPr>
              <w:t xml:space="preserve">, </w:t>
            </w:r>
            <w:r w:rsidR="00EC3CBE" w:rsidRPr="00720B94">
              <w:rPr>
                <w:sz w:val="20"/>
                <w:szCs w:val="20"/>
              </w:rPr>
              <w:t>SARS-CoV, Middle East Respiratory Syndrome (MERS-</w:t>
            </w:r>
            <w:proofErr w:type="spellStart"/>
            <w:r w:rsidR="00EC3CBE" w:rsidRPr="00720B94">
              <w:rPr>
                <w:sz w:val="20"/>
                <w:szCs w:val="20"/>
              </w:rPr>
              <w:t>CoV</w:t>
            </w:r>
            <w:proofErr w:type="spellEnd"/>
            <w:r w:rsidR="00EC3CBE" w:rsidRPr="00720B94">
              <w:rPr>
                <w:sz w:val="20"/>
                <w:szCs w:val="20"/>
              </w:rPr>
              <w:t>)</w:t>
            </w:r>
          </w:p>
        </w:tc>
      </w:tr>
      <w:tr w:rsidR="00DE7182" w:rsidRPr="00720B94" w14:paraId="637BB5F4" w14:textId="77777777" w:rsidTr="00942D4C">
        <w:tc>
          <w:tcPr>
            <w:tcW w:w="3060" w:type="dxa"/>
          </w:tcPr>
          <w:p w14:paraId="7CC4F2B9" w14:textId="77777777" w:rsidR="00DE7182" w:rsidRPr="00720B94" w:rsidRDefault="00DE7182" w:rsidP="00720B94">
            <w:pPr>
              <w:spacing w:line="276" w:lineRule="auto"/>
              <w:rPr>
                <w:rFonts w:eastAsia="Arial" w:cs="Arial"/>
                <w:b/>
                <w:bCs/>
                <w:sz w:val="20"/>
                <w:szCs w:val="20"/>
              </w:rPr>
            </w:pPr>
            <w:r w:rsidRPr="00720B94">
              <w:rPr>
                <w:rFonts w:eastAsia="Arial" w:cs="Arial"/>
                <w:b/>
                <w:bCs/>
                <w:sz w:val="20"/>
                <w:szCs w:val="20"/>
              </w:rPr>
              <w:t>Risk Group 4 (RG4)</w:t>
            </w:r>
          </w:p>
        </w:tc>
        <w:tc>
          <w:tcPr>
            <w:tcW w:w="8550" w:type="dxa"/>
          </w:tcPr>
          <w:p w14:paraId="2AA08B95" w14:textId="77777777" w:rsidR="00DE7182" w:rsidRPr="00720B94" w:rsidRDefault="00DE7182" w:rsidP="00720B94">
            <w:pPr>
              <w:spacing w:line="276" w:lineRule="auto"/>
              <w:rPr>
                <w:sz w:val="20"/>
                <w:szCs w:val="20"/>
              </w:rPr>
            </w:pPr>
            <w:r w:rsidRPr="00720B94">
              <w:rPr>
                <w:rFonts w:eastAsia="Arial" w:cs="Arial"/>
                <w:sz w:val="20"/>
                <w:szCs w:val="20"/>
              </w:rPr>
              <w:t xml:space="preserve">Agents that are likely to cause serious or lethal human disease for which preventive or therapeutic interventions are </w:t>
            </w:r>
            <w:r w:rsidRPr="00720B94">
              <w:rPr>
                <w:rFonts w:eastAsia="Arial" w:cs="Arial"/>
                <w:i/>
                <w:iCs/>
                <w:sz w:val="20"/>
                <w:szCs w:val="20"/>
              </w:rPr>
              <w:t xml:space="preserve">not usually </w:t>
            </w:r>
            <w:r w:rsidRPr="00720B94">
              <w:rPr>
                <w:rFonts w:eastAsia="Arial" w:cs="Arial"/>
                <w:sz w:val="20"/>
                <w:szCs w:val="20"/>
              </w:rPr>
              <w:t xml:space="preserve">available </w:t>
            </w:r>
            <w:r w:rsidRPr="00720B94">
              <w:rPr>
                <w:sz w:val="20"/>
                <w:szCs w:val="20"/>
              </w:rPr>
              <w:t xml:space="preserve">(high individual risk and high community risk). </w:t>
            </w:r>
          </w:p>
          <w:p w14:paraId="066796FA" w14:textId="77777777" w:rsidR="00EC3CBE" w:rsidRPr="00720B94" w:rsidRDefault="00EC3CBE" w:rsidP="00720B94">
            <w:pPr>
              <w:spacing w:line="276" w:lineRule="auto"/>
              <w:rPr>
                <w:sz w:val="20"/>
                <w:szCs w:val="20"/>
              </w:rPr>
            </w:pPr>
          </w:p>
          <w:p w14:paraId="6C17AE04" w14:textId="6EC13DAA" w:rsidR="00DE7182" w:rsidRPr="00720B94" w:rsidRDefault="00DE7182" w:rsidP="00720B94">
            <w:pPr>
              <w:spacing w:line="276" w:lineRule="auto"/>
              <w:rPr>
                <w:rFonts w:eastAsia="Arial" w:cs="Arial"/>
                <w:sz w:val="20"/>
                <w:szCs w:val="20"/>
              </w:rPr>
            </w:pPr>
            <w:r w:rsidRPr="00720B94">
              <w:rPr>
                <w:sz w:val="20"/>
                <w:szCs w:val="20"/>
              </w:rPr>
              <w:t>Examples: Ebola virus</w:t>
            </w:r>
            <w:r w:rsidRPr="00720B94">
              <w:rPr>
                <w:i/>
                <w:iCs/>
                <w:sz w:val="20"/>
                <w:szCs w:val="20"/>
              </w:rPr>
              <w:t xml:space="preserve">, Herpesvirus </w:t>
            </w:r>
            <w:proofErr w:type="spellStart"/>
            <w:r w:rsidRPr="00720B94">
              <w:rPr>
                <w:i/>
                <w:iCs/>
                <w:sz w:val="20"/>
                <w:szCs w:val="20"/>
              </w:rPr>
              <w:t>simiae</w:t>
            </w:r>
            <w:proofErr w:type="spellEnd"/>
            <w:r w:rsidRPr="00720B94">
              <w:rPr>
                <w:sz w:val="20"/>
                <w:szCs w:val="20"/>
              </w:rPr>
              <w:t xml:space="preserve"> (Herpes B or Monkey B virus)</w:t>
            </w:r>
          </w:p>
        </w:tc>
      </w:tr>
    </w:tbl>
    <w:p w14:paraId="1C003E10" w14:textId="59C26993" w:rsidR="00DE7182" w:rsidRPr="00720B94" w:rsidRDefault="00DE7182" w:rsidP="00720B94">
      <w:pPr>
        <w:spacing w:line="276" w:lineRule="auto"/>
        <w:rPr>
          <w:rStyle w:val="Hyperlink"/>
          <w:rFonts w:eastAsia="Arial" w:cs="Arial"/>
          <w:sz w:val="20"/>
          <w:szCs w:val="20"/>
        </w:rPr>
      </w:pPr>
      <w:r w:rsidRPr="00720B94">
        <w:rPr>
          <w:rFonts w:eastAsia="Arial" w:cs="Arial"/>
          <w:sz w:val="20"/>
          <w:szCs w:val="20"/>
        </w:rPr>
        <w:t>Source</w:t>
      </w:r>
      <w:r w:rsidR="00EC3CBE" w:rsidRPr="00720B94">
        <w:rPr>
          <w:rFonts w:eastAsia="Arial" w:cs="Arial"/>
          <w:sz w:val="20"/>
          <w:szCs w:val="20"/>
        </w:rPr>
        <w:t>s</w:t>
      </w:r>
      <w:r w:rsidRPr="00720B94">
        <w:rPr>
          <w:rFonts w:eastAsia="Arial" w:cs="Arial"/>
          <w:sz w:val="20"/>
          <w:szCs w:val="20"/>
        </w:rPr>
        <w:t>:</w:t>
      </w:r>
      <w:r w:rsidR="00EC3CBE" w:rsidRPr="00720B94">
        <w:rPr>
          <w:rFonts w:eastAsia="Arial" w:cs="Arial"/>
          <w:sz w:val="20"/>
          <w:szCs w:val="20"/>
        </w:rPr>
        <w:t xml:space="preserve"> </w:t>
      </w:r>
      <w:hyperlink r:id="rId169" w:history="1">
        <w:r w:rsidR="00EC3CBE" w:rsidRPr="00717676">
          <w:rPr>
            <w:rStyle w:val="Hyperlink"/>
            <w:rFonts w:eastAsia="Arial" w:cs="Arial"/>
            <w:color w:val="007D89" w:themeColor="accent3" w:themeShade="BF"/>
            <w:sz w:val="20"/>
            <w:szCs w:val="20"/>
          </w:rPr>
          <w:t>NIH Guidelines, Biosafety Considerations for Research Involving SARS-CoV-2</w:t>
        </w:r>
      </w:hyperlink>
      <w:r w:rsidR="00EC3CBE" w:rsidRPr="00720B94">
        <w:rPr>
          <w:rFonts w:eastAsia="Arial" w:cs="Arial"/>
          <w:sz w:val="20"/>
          <w:szCs w:val="20"/>
        </w:rPr>
        <w:t>;</w:t>
      </w:r>
      <w:r w:rsidRPr="00720B94">
        <w:rPr>
          <w:rFonts w:eastAsia="Arial" w:cs="Arial"/>
          <w:sz w:val="20"/>
          <w:szCs w:val="20"/>
        </w:rPr>
        <w:t xml:space="preserve"> </w:t>
      </w:r>
      <w:hyperlink r:id="rId170" w:anchor="_Toc3457093" w:history="1">
        <w:r w:rsidRPr="00717676">
          <w:rPr>
            <w:rStyle w:val="Hyperlink"/>
            <w:rFonts w:eastAsia="Arial" w:cs="Arial"/>
            <w:i/>
            <w:iCs/>
            <w:color w:val="007D89" w:themeColor="accent3" w:themeShade="BF"/>
            <w:sz w:val="20"/>
            <w:szCs w:val="20"/>
          </w:rPr>
          <w:t>NIH Guidelines</w:t>
        </w:r>
        <w:r w:rsidRPr="00717676">
          <w:rPr>
            <w:rStyle w:val="Hyperlink"/>
            <w:rFonts w:eastAsia="Arial" w:cs="Arial"/>
            <w:color w:val="007D89" w:themeColor="accent3" w:themeShade="BF"/>
            <w:sz w:val="20"/>
            <w:szCs w:val="20"/>
          </w:rPr>
          <w:t>, Appendix B, Classification of Human Etiologic Agents on the Basis of Hazard</w:t>
        </w:r>
      </w:hyperlink>
      <w:r w:rsidR="00EC3CBE" w:rsidRPr="00720B94">
        <w:rPr>
          <w:rStyle w:val="Hyperlink"/>
          <w:rFonts w:eastAsia="Arial" w:cs="Arial"/>
          <w:sz w:val="20"/>
          <w:szCs w:val="20"/>
        </w:rPr>
        <w:t xml:space="preserve"> </w:t>
      </w:r>
    </w:p>
    <w:p w14:paraId="03A88876" w14:textId="77777777" w:rsidR="00692F15" w:rsidRPr="00720B94" w:rsidRDefault="00692F15" w:rsidP="00720B94">
      <w:pPr>
        <w:spacing w:line="276" w:lineRule="auto"/>
        <w:rPr>
          <w:rStyle w:val="Hyperlink"/>
          <w:rFonts w:eastAsia="Arial" w:cs="Arial"/>
          <w:sz w:val="20"/>
          <w:szCs w:val="20"/>
        </w:rPr>
      </w:pPr>
    </w:p>
    <w:p w14:paraId="3DD187F7" w14:textId="77777777" w:rsidR="00692F15" w:rsidRPr="00720B94" w:rsidRDefault="00692F15" w:rsidP="00720B94">
      <w:pPr>
        <w:spacing w:line="276" w:lineRule="auto"/>
        <w:rPr>
          <w:rStyle w:val="Hyperlink"/>
          <w:rFonts w:eastAsia="Arial" w:cs="Arial"/>
          <w:sz w:val="20"/>
          <w:szCs w:val="20"/>
        </w:rPr>
      </w:pPr>
    </w:p>
    <w:p w14:paraId="6B8DEBE4" w14:textId="77777777" w:rsidR="00692F15" w:rsidRPr="00720B94" w:rsidRDefault="00692F15" w:rsidP="00720B94">
      <w:pPr>
        <w:spacing w:line="276" w:lineRule="auto"/>
        <w:rPr>
          <w:rStyle w:val="Hyperlink"/>
          <w:rFonts w:eastAsia="Arial" w:cs="Arial"/>
          <w:sz w:val="20"/>
          <w:szCs w:val="20"/>
        </w:rPr>
      </w:pPr>
    </w:p>
    <w:p w14:paraId="35CEBB8A" w14:textId="77777777" w:rsidR="00692F15" w:rsidRPr="00720B94" w:rsidRDefault="00692F15" w:rsidP="00720B94">
      <w:pPr>
        <w:spacing w:line="276" w:lineRule="auto"/>
        <w:rPr>
          <w:rStyle w:val="Hyperlink"/>
          <w:rFonts w:eastAsia="Arial" w:cs="Arial"/>
          <w:sz w:val="20"/>
          <w:szCs w:val="20"/>
        </w:rPr>
      </w:pPr>
    </w:p>
    <w:p w14:paraId="0AB368E8" w14:textId="77777777" w:rsidR="00692F15" w:rsidRPr="00720B94" w:rsidRDefault="00692F15" w:rsidP="00720B94">
      <w:pPr>
        <w:spacing w:line="276" w:lineRule="auto"/>
        <w:rPr>
          <w:rStyle w:val="Hyperlink"/>
          <w:rFonts w:eastAsia="Arial" w:cs="Arial"/>
          <w:sz w:val="20"/>
          <w:szCs w:val="20"/>
        </w:rPr>
      </w:pPr>
    </w:p>
    <w:p w14:paraId="1C38AC21" w14:textId="77777777" w:rsidR="00692F15" w:rsidRPr="00720B94" w:rsidRDefault="00692F15" w:rsidP="00720B94">
      <w:pPr>
        <w:spacing w:line="276" w:lineRule="auto"/>
        <w:rPr>
          <w:rStyle w:val="Hyperlink"/>
          <w:rFonts w:eastAsia="Arial" w:cs="Arial"/>
          <w:sz w:val="20"/>
          <w:szCs w:val="20"/>
        </w:rPr>
      </w:pPr>
    </w:p>
    <w:p w14:paraId="1259B770" w14:textId="77777777" w:rsidR="00692F15" w:rsidRPr="00720B94" w:rsidRDefault="00692F15" w:rsidP="00720B94">
      <w:pPr>
        <w:spacing w:line="276" w:lineRule="auto"/>
        <w:rPr>
          <w:rStyle w:val="Hyperlink"/>
          <w:rFonts w:eastAsia="Arial" w:cs="Arial"/>
          <w:sz w:val="20"/>
          <w:szCs w:val="20"/>
        </w:rPr>
      </w:pPr>
    </w:p>
    <w:p w14:paraId="460C1F88" w14:textId="77777777" w:rsidR="00692F15" w:rsidRPr="00720B94" w:rsidRDefault="00692F15" w:rsidP="00720B94">
      <w:pPr>
        <w:spacing w:line="276" w:lineRule="auto"/>
        <w:rPr>
          <w:rStyle w:val="Hyperlink"/>
          <w:rFonts w:eastAsia="Arial" w:cs="Arial"/>
          <w:sz w:val="20"/>
          <w:szCs w:val="20"/>
        </w:rPr>
      </w:pPr>
    </w:p>
    <w:p w14:paraId="4CE2FD70" w14:textId="77777777" w:rsidR="00692F15" w:rsidRPr="00720B94" w:rsidRDefault="00692F15" w:rsidP="00720B94">
      <w:pPr>
        <w:spacing w:line="276" w:lineRule="auto"/>
        <w:rPr>
          <w:rStyle w:val="Hyperlink"/>
          <w:rFonts w:eastAsia="Arial" w:cs="Arial"/>
          <w:sz w:val="20"/>
          <w:szCs w:val="20"/>
        </w:rPr>
      </w:pPr>
    </w:p>
    <w:p w14:paraId="36BC07C8" w14:textId="77777777" w:rsidR="00692F15" w:rsidRPr="00720B94" w:rsidRDefault="00692F15" w:rsidP="00720B94">
      <w:pPr>
        <w:spacing w:line="276" w:lineRule="auto"/>
        <w:rPr>
          <w:rStyle w:val="Hyperlink"/>
          <w:rFonts w:eastAsia="Arial" w:cs="Arial"/>
          <w:sz w:val="20"/>
          <w:szCs w:val="20"/>
        </w:rPr>
      </w:pPr>
    </w:p>
    <w:p w14:paraId="697F2A4E" w14:textId="77777777" w:rsidR="00692F15" w:rsidRPr="00720B94" w:rsidRDefault="00692F15" w:rsidP="00720B94">
      <w:pPr>
        <w:spacing w:line="276" w:lineRule="auto"/>
        <w:rPr>
          <w:rStyle w:val="Hyperlink"/>
          <w:rFonts w:eastAsia="Arial" w:cs="Arial"/>
          <w:sz w:val="20"/>
          <w:szCs w:val="20"/>
        </w:rPr>
      </w:pPr>
    </w:p>
    <w:p w14:paraId="36D8855C" w14:textId="77777777" w:rsidR="00692F15" w:rsidRPr="00720B94" w:rsidRDefault="00692F15" w:rsidP="00720B94">
      <w:pPr>
        <w:spacing w:line="276" w:lineRule="auto"/>
        <w:rPr>
          <w:rStyle w:val="Hyperlink"/>
          <w:rFonts w:eastAsia="Arial" w:cs="Arial"/>
          <w:sz w:val="20"/>
          <w:szCs w:val="20"/>
        </w:rPr>
      </w:pPr>
    </w:p>
    <w:p w14:paraId="01E45529" w14:textId="77777777" w:rsidR="00692F15" w:rsidRPr="00720B94" w:rsidRDefault="00692F15" w:rsidP="00720B94">
      <w:pPr>
        <w:spacing w:line="276" w:lineRule="auto"/>
        <w:rPr>
          <w:rStyle w:val="Hyperlink"/>
          <w:rFonts w:eastAsia="Arial" w:cs="Arial"/>
          <w:sz w:val="20"/>
          <w:szCs w:val="20"/>
        </w:rPr>
      </w:pPr>
    </w:p>
    <w:p w14:paraId="720750D7" w14:textId="77777777" w:rsidR="00692F15" w:rsidRPr="00720B94" w:rsidRDefault="00692F15" w:rsidP="00720B94">
      <w:pPr>
        <w:spacing w:line="276" w:lineRule="auto"/>
        <w:rPr>
          <w:rStyle w:val="Hyperlink"/>
          <w:rFonts w:eastAsia="Arial" w:cs="Arial"/>
          <w:sz w:val="20"/>
          <w:szCs w:val="20"/>
        </w:rPr>
      </w:pPr>
    </w:p>
    <w:p w14:paraId="7F017D28" w14:textId="423F5C70" w:rsidR="00692F15" w:rsidRPr="00720B94" w:rsidRDefault="00692F15" w:rsidP="00720B94">
      <w:pPr>
        <w:spacing w:line="276" w:lineRule="auto"/>
        <w:rPr>
          <w:rStyle w:val="Hyperlink"/>
          <w:rFonts w:eastAsia="Arial" w:cs="Arial"/>
          <w:sz w:val="20"/>
          <w:szCs w:val="20"/>
        </w:rPr>
      </w:pPr>
    </w:p>
    <w:p w14:paraId="4B2BB0BD" w14:textId="77777777" w:rsidR="00692F15" w:rsidRPr="00720B94" w:rsidRDefault="00692F15" w:rsidP="00720B94">
      <w:pPr>
        <w:spacing w:line="276" w:lineRule="auto"/>
        <w:rPr>
          <w:rFonts w:eastAsia="Arial" w:cs="Arial"/>
          <w:i/>
          <w:iCs/>
          <w:sz w:val="20"/>
          <w:szCs w:val="20"/>
        </w:rPr>
      </w:pPr>
    </w:p>
    <w:p w14:paraId="0EC4960C" w14:textId="77777777" w:rsidR="00942D4C" w:rsidRPr="00720B94" w:rsidRDefault="00942D4C" w:rsidP="00720B94">
      <w:pPr>
        <w:spacing w:line="276" w:lineRule="auto"/>
        <w:rPr>
          <w:rFonts w:eastAsia="Arial" w:cs="Arial"/>
          <w:i/>
          <w:iCs/>
          <w:sz w:val="20"/>
          <w:szCs w:val="20"/>
        </w:rPr>
      </w:pPr>
    </w:p>
    <w:p w14:paraId="5059BF48" w14:textId="77777777" w:rsidR="00DE7182" w:rsidRPr="00720B94" w:rsidRDefault="00DE7182" w:rsidP="00720B94">
      <w:pPr>
        <w:pStyle w:val="Heading3"/>
      </w:pPr>
      <w:bookmarkStart w:id="89" w:name="_Summary_of_Biosafety"/>
      <w:bookmarkStart w:id="90" w:name="_Toc192509390"/>
      <w:bookmarkEnd w:id="89"/>
      <w:r w:rsidRPr="00720B94">
        <w:lastRenderedPageBreak/>
        <w:t>Summary of Biosafety Levels (BSLs)</w:t>
      </w:r>
      <w:bookmarkEnd w:id="90"/>
    </w:p>
    <w:tbl>
      <w:tblPr>
        <w:tblStyle w:val="TableGrid"/>
        <w:tblW w:w="11250" w:type="dxa"/>
        <w:tblInd w:w="-635" w:type="dxa"/>
        <w:tblLook w:val="04A0" w:firstRow="1" w:lastRow="0" w:firstColumn="1" w:lastColumn="0" w:noHBand="0" w:noVBand="1"/>
      </w:tblPr>
      <w:tblGrid>
        <w:gridCol w:w="1752"/>
        <w:gridCol w:w="2194"/>
        <w:gridCol w:w="2195"/>
        <w:gridCol w:w="2194"/>
        <w:gridCol w:w="2915"/>
      </w:tblGrid>
      <w:tr w:rsidR="00DE7182" w:rsidRPr="00720B94" w14:paraId="5B0E386D" w14:textId="77777777" w:rsidTr="00FE67CD">
        <w:tc>
          <w:tcPr>
            <w:tcW w:w="1752" w:type="dxa"/>
            <w:vAlign w:val="bottom"/>
          </w:tcPr>
          <w:p w14:paraId="1E0C1456" w14:textId="77777777" w:rsidR="00DE7182" w:rsidRPr="00720B94" w:rsidRDefault="00DE7182" w:rsidP="00720B94">
            <w:pPr>
              <w:spacing w:line="276" w:lineRule="auto"/>
              <w:jc w:val="center"/>
              <w:rPr>
                <w:b/>
                <w:bCs/>
                <w:sz w:val="18"/>
                <w:szCs w:val="18"/>
              </w:rPr>
            </w:pPr>
            <w:r w:rsidRPr="00720B94">
              <w:rPr>
                <w:b/>
                <w:bCs/>
                <w:sz w:val="18"/>
                <w:szCs w:val="18"/>
              </w:rPr>
              <w:t>Biosafety Level (BSL)</w:t>
            </w:r>
          </w:p>
        </w:tc>
        <w:tc>
          <w:tcPr>
            <w:tcW w:w="2194" w:type="dxa"/>
            <w:vAlign w:val="bottom"/>
          </w:tcPr>
          <w:p w14:paraId="5074DF4A" w14:textId="77777777" w:rsidR="00DE7182" w:rsidRPr="00720B94" w:rsidRDefault="00DE7182" w:rsidP="00720B94">
            <w:pPr>
              <w:spacing w:line="276" w:lineRule="auto"/>
              <w:jc w:val="center"/>
              <w:rPr>
                <w:b/>
                <w:bCs/>
                <w:sz w:val="18"/>
                <w:szCs w:val="18"/>
              </w:rPr>
            </w:pPr>
            <w:r w:rsidRPr="00720B94">
              <w:rPr>
                <w:b/>
                <w:bCs/>
                <w:sz w:val="18"/>
                <w:szCs w:val="18"/>
              </w:rPr>
              <w:t>Agents</w:t>
            </w:r>
          </w:p>
        </w:tc>
        <w:tc>
          <w:tcPr>
            <w:tcW w:w="2195" w:type="dxa"/>
            <w:vAlign w:val="bottom"/>
          </w:tcPr>
          <w:p w14:paraId="2EA6EEA1" w14:textId="77777777" w:rsidR="00DE7182" w:rsidRPr="00720B94" w:rsidRDefault="00DE7182" w:rsidP="00720B94">
            <w:pPr>
              <w:spacing w:line="276" w:lineRule="auto"/>
              <w:jc w:val="center"/>
              <w:rPr>
                <w:b/>
                <w:bCs/>
                <w:sz w:val="18"/>
                <w:szCs w:val="18"/>
              </w:rPr>
            </w:pPr>
            <w:r w:rsidRPr="00720B94">
              <w:rPr>
                <w:b/>
                <w:bCs/>
                <w:sz w:val="18"/>
                <w:szCs w:val="18"/>
              </w:rPr>
              <w:t>Special Practices</w:t>
            </w:r>
            <w:r w:rsidRPr="00720B94">
              <w:rPr>
                <w:rStyle w:val="FootnoteReference"/>
                <w:b/>
                <w:bCs/>
                <w:sz w:val="18"/>
                <w:szCs w:val="18"/>
              </w:rPr>
              <w:footnoteReference w:id="2"/>
            </w:r>
          </w:p>
        </w:tc>
        <w:tc>
          <w:tcPr>
            <w:tcW w:w="2194" w:type="dxa"/>
            <w:vAlign w:val="bottom"/>
          </w:tcPr>
          <w:p w14:paraId="551D5AAC" w14:textId="77777777" w:rsidR="00DE7182" w:rsidRPr="00720B94" w:rsidRDefault="00DE7182" w:rsidP="00720B94">
            <w:pPr>
              <w:spacing w:line="276" w:lineRule="auto"/>
              <w:jc w:val="center"/>
              <w:rPr>
                <w:b/>
                <w:bCs/>
                <w:sz w:val="18"/>
                <w:szCs w:val="18"/>
              </w:rPr>
            </w:pPr>
            <w:r w:rsidRPr="00720B94">
              <w:rPr>
                <w:b/>
                <w:bCs/>
                <w:sz w:val="18"/>
                <w:szCs w:val="18"/>
              </w:rPr>
              <w:t>Primary Barrier &amp; PPE</w:t>
            </w:r>
          </w:p>
        </w:tc>
        <w:tc>
          <w:tcPr>
            <w:tcW w:w="2915" w:type="dxa"/>
            <w:vAlign w:val="bottom"/>
          </w:tcPr>
          <w:p w14:paraId="622C5D90" w14:textId="77777777" w:rsidR="00DE7182" w:rsidRPr="00720B94" w:rsidRDefault="00DE7182" w:rsidP="00720B94">
            <w:pPr>
              <w:spacing w:line="276" w:lineRule="auto"/>
              <w:jc w:val="center"/>
              <w:rPr>
                <w:b/>
                <w:bCs/>
                <w:sz w:val="18"/>
                <w:szCs w:val="18"/>
              </w:rPr>
            </w:pPr>
            <w:r w:rsidRPr="00720B94">
              <w:rPr>
                <w:b/>
                <w:bCs/>
                <w:sz w:val="18"/>
                <w:szCs w:val="18"/>
              </w:rPr>
              <w:t>Facilities (Secondary Barriers)</w:t>
            </w:r>
          </w:p>
        </w:tc>
      </w:tr>
      <w:tr w:rsidR="00DE7182" w:rsidRPr="00720B94" w14:paraId="04A9DDAF" w14:textId="77777777" w:rsidTr="00FE67CD">
        <w:tc>
          <w:tcPr>
            <w:tcW w:w="1752" w:type="dxa"/>
          </w:tcPr>
          <w:p w14:paraId="4B9782A4" w14:textId="77777777" w:rsidR="00DE7182" w:rsidRPr="00720B94" w:rsidRDefault="00DE7182" w:rsidP="00720B94">
            <w:pPr>
              <w:spacing w:line="276" w:lineRule="auto"/>
              <w:jc w:val="center"/>
              <w:rPr>
                <w:sz w:val="18"/>
                <w:szCs w:val="18"/>
              </w:rPr>
            </w:pPr>
            <w:r w:rsidRPr="00720B94">
              <w:rPr>
                <w:sz w:val="18"/>
                <w:szCs w:val="18"/>
              </w:rPr>
              <w:t>1</w:t>
            </w:r>
          </w:p>
        </w:tc>
        <w:tc>
          <w:tcPr>
            <w:tcW w:w="2194" w:type="dxa"/>
          </w:tcPr>
          <w:p w14:paraId="0E7BADA4" w14:textId="77777777" w:rsidR="00DE7182" w:rsidRPr="00720B94" w:rsidRDefault="00DE7182" w:rsidP="00720B94">
            <w:pPr>
              <w:spacing w:line="276" w:lineRule="auto"/>
              <w:rPr>
                <w:sz w:val="18"/>
                <w:szCs w:val="18"/>
              </w:rPr>
            </w:pPr>
            <w:r w:rsidRPr="00720B94">
              <w:rPr>
                <w:sz w:val="18"/>
                <w:szCs w:val="18"/>
              </w:rPr>
              <w:t>Well-characterized agents not known to consistently cause disease in immunocompetent adult humans and present minimal potential hazard to laboratory personnel and the environment</w:t>
            </w:r>
          </w:p>
        </w:tc>
        <w:tc>
          <w:tcPr>
            <w:tcW w:w="2195" w:type="dxa"/>
          </w:tcPr>
          <w:p w14:paraId="39C11ACF" w14:textId="77777777" w:rsidR="00DE7182" w:rsidRPr="00720B94" w:rsidRDefault="00DE7182" w:rsidP="00720B94">
            <w:pPr>
              <w:spacing w:line="276" w:lineRule="auto"/>
              <w:rPr>
                <w:sz w:val="18"/>
                <w:szCs w:val="18"/>
              </w:rPr>
            </w:pPr>
            <w:r w:rsidRPr="00720B94">
              <w:rPr>
                <w:sz w:val="18"/>
                <w:szCs w:val="18"/>
              </w:rPr>
              <w:t>Standard microbiological practices</w:t>
            </w:r>
          </w:p>
        </w:tc>
        <w:tc>
          <w:tcPr>
            <w:tcW w:w="2194" w:type="dxa"/>
          </w:tcPr>
          <w:p w14:paraId="402E53D0" w14:textId="77777777" w:rsidR="00DE7182" w:rsidRPr="00720B94" w:rsidRDefault="00DE7182" w:rsidP="00720B94">
            <w:pPr>
              <w:spacing w:line="276" w:lineRule="auto"/>
              <w:rPr>
                <w:sz w:val="18"/>
                <w:szCs w:val="18"/>
              </w:rPr>
            </w:pPr>
            <w:r w:rsidRPr="00720B94">
              <w:rPr>
                <w:sz w:val="18"/>
                <w:szCs w:val="18"/>
              </w:rPr>
              <w:t>No primary barriers required; protective laboratory clothing; protective face, eyewear, as needed</w:t>
            </w:r>
          </w:p>
        </w:tc>
        <w:tc>
          <w:tcPr>
            <w:tcW w:w="2915" w:type="dxa"/>
          </w:tcPr>
          <w:p w14:paraId="4C521985" w14:textId="77777777" w:rsidR="00DE7182" w:rsidRPr="00720B94" w:rsidRDefault="00DE7182" w:rsidP="00720B94">
            <w:pPr>
              <w:spacing w:line="276" w:lineRule="auto"/>
              <w:rPr>
                <w:sz w:val="18"/>
                <w:szCs w:val="18"/>
              </w:rPr>
            </w:pPr>
            <w:r w:rsidRPr="00720B94">
              <w:rPr>
                <w:sz w:val="18"/>
                <w:szCs w:val="18"/>
              </w:rPr>
              <w:t>Laboratory doors; sink for handwashing; laboratory bench; windows fitted with screens; lighting adequate for all activities</w:t>
            </w:r>
          </w:p>
        </w:tc>
      </w:tr>
      <w:tr w:rsidR="00DE7182" w:rsidRPr="00720B94" w14:paraId="03314D0F" w14:textId="77777777" w:rsidTr="00FE67CD">
        <w:tc>
          <w:tcPr>
            <w:tcW w:w="1752" w:type="dxa"/>
          </w:tcPr>
          <w:p w14:paraId="03AA384D" w14:textId="77777777" w:rsidR="00DE7182" w:rsidRPr="00720B94" w:rsidRDefault="00DE7182" w:rsidP="00720B94">
            <w:pPr>
              <w:spacing w:line="276" w:lineRule="auto"/>
              <w:jc w:val="center"/>
              <w:rPr>
                <w:sz w:val="18"/>
                <w:szCs w:val="18"/>
              </w:rPr>
            </w:pPr>
            <w:r w:rsidRPr="00720B94">
              <w:rPr>
                <w:sz w:val="18"/>
                <w:szCs w:val="18"/>
              </w:rPr>
              <w:t>2</w:t>
            </w:r>
          </w:p>
        </w:tc>
        <w:tc>
          <w:tcPr>
            <w:tcW w:w="2194" w:type="dxa"/>
          </w:tcPr>
          <w:p w14:paraId="343E9E84" w14:textId="77777777" w:rsidR="00DE7182" w:rsidRPr="00720B94" w:rsidRDefault="00DE7182" w:rsidP="00720B94">
            <w:pPr>
              <w:spacing w:line="276" w:lineRule="auto"/>
              <w:rPr>
                <w:sz w:val="18"/>
                <w:szCs w:val="18"/>
              </w:rPr>
            </w:pPr>
            <w:r w:rsidRPr="00720B94">
              <w:rPr>
                <w:sz w:val="18"/>
                <w:szCs w:val="18"/>
              </w:rPr>
              <w:t>Agents associated with human disease and pose moderate hazards to personnel and the environment</w:t>
            </w:r>
          </w:p>
        </w:tc>
        <w:tc>
          <w:tcPr>
            <w:tcW w:w="2195" w:type="dxa"/>
          </w:tcPr>
          <w:p w14:paraId="6153FECD" w14:textId="77777777" w:rsidR="00DE7182" w:rsidRPr="00720B94" w:rsidRDefault="00DE7182" w:rsidP="00720B94">
            <w:pPr>
              <w:spacing w:line="276" w:lineRule="auto"/>
              <w:rPr>
                <w:sz w:val="18"/>
                <w:szCs w:val="18"/>
              </w:rPr>
            </w:pPr>
            <w:r w:rsidRPr="00720B94">
              <w:rPr>
                <w:sz w:val="18"/>
                <w:szCs w:val="18"/>
              </w:rPr>
              <w:t>Limited access; occupational medical services including medical evaluation, surveillance, and treatment, as appropriate; all procedures that may generate an aerosol or splash conducted in a biosafety cabinet (BSC); decontamination process needed for laboratory equipment</w:t>
            </w:r>
          </w:p>
        </w:tc>
        <w:tc>
          <w:tcPr>
            <w:tcW w:w="2194" w:type="dxa"/>
          </w:tcPr>
          <w:p w14:paraId="6E62D7EF" w14:textId="77777777" w:rsidR="00DE7182" w:rsidRPr="00720B94" w:rsidRDefault="00DE7182" w:rsidP="00720B94">
            <w:pPr>
              <w:spacing w:line="276" w:lineRule="auto"/>
              <w:rPr>
                <w:sz w:val="18"/>
                <w:szCs w:val="18"/>
              </w:rPr>
            </w:pPr>
            <w:r w:rsidRPr="00720B94">
              <w:rPr>
                <w:sz w:val="18"/>
                <w:szCs w:val="18"/>
              </w:rPr>
              <w:t>BSCs or other primary containment device used for manipulations of agents that may cause splashes or aerosols; protective laboratory clothing; other PPE, including respiratory protection, as needed</w:t>
            </w:r>
          </w:p>
        </w:tc>
        <w:tc>
          <w:tcPr>
            <w:tcW w:w="2915" w:type="dxa"/>
          </w:tcPr>
          <w:p w14:paraId="6102E761" w14:textId="77777777" w:rsidR="00DE7182" w:rsidRPr="00720B94" w:rsidRDefault="00DE7182" w:rsidP="00720B94">
            <w:pPr>
              <w:spacing w:line="276" w:lineRule="auto"/>
              <w:rPr>
                <w:sz w:val="18"/>
                <w:szCs w:val="18"/>
              </w:rPr>
            </w:pPr>
            <w:r w:rsidRPr="00720B94">
              <w:rPr>
                <w:sz w:val="18"/>
                <w:szCs w:val="18"/>
              </w:rPr>
              <w:t xml:space="preserve">Self-closing </w:t>
            </w:r>
            <w:proofErr w:type="gramStart"/>
            <w:r w:rsidRPr="00720B94">
              <w:rPr>
                <w:sz w:val="18"/>
                <w:szCs w:val="18"/>
              </w:rPr>
              <w:t>doors;</w:t>
            </w:r>
            <w:proofErr w:type="gramEnd"/>
            <w:r w:rsidRPr="00720B94">
              <w:rPr>
                <w:sz w:val="18"/>
                <w:szCs w:val="18"/>
              </w:rPr>
              <w:t xml:space="preserve"> sink located near exit; windows sealed or fitted with screens; autoclave available</w:t>
            </w:r>
          </w:p>
          <w:p w14:paraId="4773624F" w14:textId="77777777" w:rsidR="00DE7182" w:rsidRPr="00720B94" w:rsidRDefault="00DE7182" w:rsidP="00720B94">
            <w:pPr>
              <w:rPr>
                <w:sz w:val="18"/>
                <w:szCs w:val="18"/>
              </w:rPr>
            </w:pPr>
          </w:p>
          <w:p w14:paraId="308F4405" w14:textId="77777777" w:rsidR="00DE7182" w:rsidRPr="00720B94" w:rsidRDefault="00DE7182" w:rsidP="00720B94">
            <w:pPr>
              <w:jc w:val="center"/>
              <w:rPr>
                <w:sz w:val="18"/>
                <w:szCs w:val="18"/>
              </w:rPr>
            </w:pPr>
          </w:p>
        </w:tc>
      </w:tr>
      <w:tr w:rsidR="00DE7182" w:rsidRPr="00720B94" w14:paraId="5EE24AAA" w14:textId="77777777" w:rsidTr="00FE67CD">
        <w:tc>
          <w:tcPr>
            <w:tcW w:w="1752" w:type="dxa"/>
          </w:tcPr>
          <w:p w14:paraId="1565F8BE" w14:textId="77777777" w:rsidR="00DE7182" w:rsidRPr="00720B94" w:rsidRDefault="00DE7182" w:rsidP="00720B94">
            <w:pPr>
              <w:spacing w:line="276" w:lineRule="auto"/>
              <w:jc w:val="center"/>
              <w:rPr>
                <w:sz w:val="18"/>
                <w:szCs w:val="18"/>
              </w:rPr>
            </w:pPr>
            <w:r w:rsidRPr="00720B94">
              <w:rPr>
                <w:sz w:val="18"/>
                <w:szCs w:val="18"/>
              </w:rPr>
              <w:t>3</w:t>
            </w:r>
          </w:p>
        </w:tc>
        <w:tc>
          <w:tcPr>
            <w:tcW w:w="2194" w:type="dxa"/>
          </w:tcPr>
          <w:p w14:paraId="04043EA9" w14:textId="77777777" w:rsidR="00DE7182" w:rsidRPr="00720B94" w:rsidRDefault="00DE7182" w:rsidP="00720B94">
            <w:pPr>
              <w:spacing w:line="276" w:lineRule="auto"/>
              <w:rPr>
                <w:sz w:val="18"/>
                <w:szCs w:val="18"/>
              </w:rPr>
            </w:pPr>
            <w:r w:rsidRPr="00720B94">
              <w:rPr>
                <w:sz w:val="18"/>
                <w:szCs w:val="18"/>
              </w:rPr>
              <w:t>Indigenous or exotic agents; may cause serious or potentially lethal disease through the inhalation route of exposure</w:t>
            </w:r>
          </w:p>
        </w:tc>
        <w:tc>
          <w:tcPr>
            <w:tcW w:w="2195" w:type="dxa"/>
          </w:tcPr>
          <w:p w14:paraId="31E49543" w14:textId="77777777" w:rsidR="00DE7182" w:rsidRPr="00720B94" w:rsidRDefault="00DE7182" w:rsidP="00720B94">
            <w:pPr>
              <w:spacing w:line="276" w:lineRule="auto"/>
              <w:rPr>
                <w:sz w:val="18"/>
                <w:szCs w:val="18"/>
              </w:rPr>
            </w:pPr>
            <w:r w:rsidRPr="00720B94">
              <w:rPr>
                <w:sz w:val="18"/>
                <w:szCs w:val="18"/>
              </w:rPr>
              <w:t>Access limited to those with need to enter; viable material removed from laboratory in primary and secondary containers; opened only in BSL-3 or ABSL-3 laboratories; all procedures with infectious materials performed in a BSC</w:t>
            </w:r>
          </w:p>
        </w:tc>
        <w:tc>
          <w:tcPr>
            <w:tcW w:w="2194" w:type="dxa"/>
          </w:tcPr>
          <w:p w14:paraId="293F0A33" w14:textId="77777777" w:rsidR="00DE7182" w:rsidRPr="00720B94" w:rsidRDefault="00DE7182" w:rsidP="00720B94">
            <w:pPr>
              <w:spacing w:line="276" w:lineRule="auto"/>
              <w:rPr>
                <w:sz w:val="18"/>
                <w:szCs w:val="18"/>
              </w:rPr>
            </w:pPr>
            <w:r w:rsidRPr="00720B94">
              <w:rPr>
                <w:sz w:val="18"/>
                <w:szCs w:val="18"/>
              </w:rPr>
              <w:t>BSCs for all procedures with viable agents; solid front gowns, scrubs, or coveralls; two pairs of gloves, when appropriate; protective eyewear, respiratory protection, as needed</w:t>
            </w:r>
          </w:p>
        </w:tc>
        <w:tc>
          <w:tcPr>
            <w:tcW w:w="2915" w:type="dxa"/>
          </w:tcPr>
          <w:p w14:paraId="72771EB7" w14:textId="77777777" w:rsidR="00DE7182" w:rsidRPr="00720B94" w:rsidRDefault="00DE7182" w:rsidP="00720B94">
            <w:pPr>
              <w:spacing w:line="276" w:lineRule="auto"/>
              <w:rPr>
                <w:sz w:val="18"/>
                <w:szCs w:val="18"/>
              </w:rPr>
            </w:pPr>
            <w:r w:rsidRPr="00720B94">
              <w:rPr>
                <w:sz w:val="18"/>
                <w:szCs w:val="18"/>
              </w:rPr>
              <w:t>Physical separation from access corridors; access through two consecutive self-closing doors; hands-free sink near exit; windows are sealed; ducted air ventilation system with negative airflow into laboratory; autoclave available, preferably in laboratory</w:t>
            </w:r>
          </w:p>
        </w:tc>
      </w:tr>
      <w:tr w:rsidR="00DE7182" w:rsidRPr="00720B94" w14:paraId="38A344A5" w14:textId="77777777" w:rsidTr="00FE67CD">
        <w:tc>
          <w:tcPr>
            <w:tcW w:w="1752" w:type="dxa"/>
          </w:tcPr>
          <w:p w14:paraId="2A574316" w14:textId="77777777" w:rsidR="00DE7182" w:rsidRPr="00720B94" w:rsidRDefault="00DE7182" w:rsidP="00720B94">
            <w:pPr>
              <w:spacing w:line="276" w:lineRule="auto"/>
              <w:jc w:val="center"/>
              <w:rPr>
                <w:sz w:val="18"/>
                <w:szCs w:val="18"/>
              </w:rPr>
            </w:pPr>
            <w:r w:rsidRPr="00720B94">
              <w:rPr>
                <w:sz w:val="18"/>
                <w:szCs w:val="18"/>
              </w:rPr>
              <w:t>4</w:t>
            </w:r>
          </w:p>
        </w:tc>
        <w:tc>
          <w:tcPr>
            <w:tcW w:w="2194" w:type="dxa"/>
          </w:tcPr>
          <w:p w14:paraId="70B568F9" w14:textId="77777777" w:rsidR="00DE7182" w:rsidRPr="00720B94" w:rsidRDefault="00DE7182" w:rsidP="00720B94">
            <w:pPr>
              <w:spacing w:line="276" w:lineRule="auto"/>
              <w:rPr>
                <w:sz w:val="18"/>
                <w:szCs w:val="18"/>
              </w:rPr>
            </w:pPr>
            <w:r w:rsidRPr="00720B94">
              <w:rPr>
                <w:sz w:val="18"/>
                <w:szCs w:val="18"/>
              </w:rPr>
              <w:t>Dangerous and exotic agents that pose high individual risk of aerosol-transmitted laboratory infections and life-threatening disease that are frequently fatal, for which there are no vaccines or treatments; and related agents with unknown risk of transmission</w:t>
            </w:r>
          </w:p>
        </w:tc>
        <w:tc>
          <w:tcPr>
            <w:tcW w:w="2195" w:type="dxa"/>
          </w:tcPr>
          <w:p w14:paraId="7A890B52" w14:textId="77777777" w:rsidR="00DE7182" w:rsidRPr="00720B94" w:rsidRDefault="00DE7182" w:rsidP="00720B94">
            <w:pPr>
              <w:spacing w:line="276" w:lineRule="auto"/>
              <w:rPr>
                <w:sz w:val="18"/>
                <w:szCs w:val="18"/>
              </w:rPr>
            </w:pPr>
            <w:r w:rsidRPr="00720B94">
              <w:rPr>
                <w:sz w:val="18"/>
                <w:szCs w:val="18"/>
              </w:rPr>
              <w:t>Clothing change before entry; daily inspections of essential containment and life support systems; all wastes decontaminated prior to removal from laboratory; shower on exit</w:t>
            </w:r>
          </w:p>
        </w:tc>
        <w:tc>
          <w:tcPr>
            <w:tcW w:w="2194" w:type="dxa"/>
          </w:tcPr>
          <w:p w14:paraId="76843429" w14:textId="77777777" w:rsidR="00DE7182" w:rsidRPr="00720B94" w:rsidRDefault="00DE7182" w:rsidP="00720B94">
            <w:pPr>
              <w:spacing w:line="276" w:lineRule="auto"/>
              <w:rPr>
                <w:sz w:val="18"/>
                <w:szCs w:val="18"/>
              </w:rPr>
            </w:pPr>
            <w:r w:rsidRPr="00720B94">
              <w:rPr>
                <w:sz w:val="18"/>
                <w:szCs w:val="18"/>
              </w:rPr>
              <w:t>BSCs for all procedures with viable agents; solid front gowns, scrubs, or coveralls; gloves; full-body, air-supplied, positive-pressure suit</w:t>
            </w:r>
          </w:p>
        </w:tc>
        <w:tc>
          <w:tcPr>
            <w:tcW w:w="2915" w:type="dxa"/>
          </w:tcPr>
          <w:p w14:paraId="48D1EDF9" w14:textId="77777777" w:rsidR="00DE7182" w:rsidRPr="00720B94" w:rsidRDefault="00DE7182" w:rsidP="00720B94">
            <w:pPr>
              <w:spacing w:line="276" w:lineRule="auto"/>
              <w:rPr>
                <w:sz w:val="18"/>
                <w:szCs w:val="18"/>
              </w:rPr>
            </w:pPr>
            <w:r w:rsidRPr="00720B94">
              <w:rPr>
                <w:sz w:val="18"/>
                <w:szCs w:val="18"/>
              </w:rPr>
              <w:t>Entry sequence; entry through airlock with airtight doors; walls, floors, ceilings form sealed internal shell; dedicated, non-recirculating ventilation system required; double-door, pass-through autoclave required</w:t>
            </w:r>
          </w:p>
        </w:tc>
      </w:tr>
    </w:tbl>
    <w:p w14:paraId="060C7F1B" w14:textId="3C46D2FC" w:rsidR="00DE7182" w:rsidRPr="00720B94" w:rsidRDefault="00DE7182" w:rsidP="00720B94">
      <w:pPr>
        <w:spacing w:line="276" w:lineRule="auto"/>
        <w:rPr>
          <w:sz w:val="20"/>
          <w:szCs w:val="20"/>
        </w:rPr>
      </w:pPr>
      <w:r w:rsidRPr="00720B94">
        <w:rPr>
          <w:i/>
          <w:iCs/>
          <w:sz w:val="20"/>
          <w:szCs w:val="20"/>
        </w:rPr>
        <w:t xml:space="preserve">Source: </w:t>
      </w:r>
      <w:r w:rsidRPr="00720B94">
        <w:rPr>
          <w:sz w:val="20"/>
          <w:szCs w:val="20"/>
        </w:rPr>
        <w:t>CDC</w:t>
      </w:r>
      <w:r w:rsidRPr="00720B94">
        <w:rPr>
          <w:i/>
          <w:iCs/>
          <w:sz w:val="20"/>
          <w:szCs w:val="20"/>
        </w:rPr>
        <w:t xml:space="preserve"> </w:t>
      </w:r>
      <w:hyperlink r:id="rId171" w:history="1">
        <w:r w:rsidRPr="00717676">
          <w:rPr>
            <w:rStyle w:val="Hyperlink"/>
            <w:i/>
            <w:iCs/>
            <w:color w:val="007D89" w:themeColor="accent3" w:themeShade="BF"/>
            <w:sz w:val="20"/>
            <w:szCs w:val="20"/>
          </w:rPr>
          <w:t>BMBL</w:t>
        </w:r>
      </w:hyperlink>
      <w:r w:rsidRPr="00720B94">
        <w:rPr>
          <w:sz w:val="20"/>
          <w:szCs w:val="20"/>
        </w:rPr>
        <w:t xml:space="preserve">, Section IV, Table 1. Summary of Laboratory Biosafety Levels, p. 68-69 </w:t>
      </w:r>
    </w:p>
    <w:p w14:paraId="6EE39AFF" w14:textId="77777777" w:rsidR="00FE67CD" w:rsidRPr="00720B94" w:rsidRDefault="00FE67CD" w:rsidP="00720B94">
      <w:pPr>
        <w:spacing w:line="276" w:lineRule="auto"/>
        <w:rPr>
          <w:rStyle w:val="Heading1Char"/>
          <w:b/>
          <w:bCs/>
        </w:rPr>
      </w:pPr>
      <w:bookmarkStart w:id="91" w:name="_Toc192509391"/>
    </w:p>
    <w:p w14:paraId="254317BA" w14:textId="25EC2211" w:rsidR="00837D90" w:rsidRPr="00720B94" w:rsidRDefault="00837D90" w:rsidP="00720B94">
      <w:pPr>
        <w:spacing w:line="276" w:lineRule="auto"/>
        <w:rPr>
          <w:b/>
          <w:bCs/>
          <w:sz w:val="28"/>
          <w:szCs w:val="28"/>
        </w:rPr>
      </w:pPr>
      <w:r w:rsidRPr="00720B94">
        <w:rPr>
          <w:rStyle w:val="Heading1Char"/>
          <w:b/>
          <w:bCs/>
        </w:rPr>
        <w:lastRenderedPageBreak/>
        <w:t>Appendix C</w:t>
      </w:r>
      <w:bookmarkEnd w:id="91"/>
      <w:r w:rsidR="00D138EC" w:rsidRPr="00720B94">
        <w:rPr>
          <w:b/>
          <w:bCs/>
          <w:sz w:val="28"/>
          <w:szCs w:val="28"/>
        </w:rPr>
        <w:t xml:space="preserve"> </w:t>
      </w:r>
      <w:r w:rsidR="00D138EC" w:rsidRPr="00720B94">
        <w:rPr>
          <w:rStyle w:val="Heading1Char"/>
        </w:rPr>
        <w:t>– Practices &amp; Procedures: BSL3 Manual Requirements</w:t>
      </w:r>
      <w:r w:rsidR="00A436E4" w:rsidRPr="00720B94">
        <w:rPr>
          <w:sz w:val="28"/>
          <w:szCs w:val="28"/>
        </w:rPr>
        <w:t xml:space="preserve"> </w:t>
      </w:r>
      <w:r w:rsidR="00A436E4" w:rsidRPr="00720B94">
        <w:rPr>
          <w:i/>
          <w:iCs/>
          <w:sz w:val="28"/>
          <w:szCs w:val="28"/>
        </w:rPr>
        <w:t>(see pg. 1</w:t>
      </w:r>
      <w:r w:rsidR="00AC2088" w:rsidRPr="00720B94">
        <w:rPr>
          <w:i/>
          <w:iCs/>
          <w:sz w:val="28"/>
          <w:szCs w:val="28"/>
        </w:rPr>
        <w:t>9</w:t>
      </w:r>
      <w:r w:rsidR="00A436E4" w:rsidRPr="00720B94">
        <w:rPr>
          <w:i/>
          <w:iCs/>
          <w:sz w:val="28"/>
          <w:szCs w:val="28"/>
        </w:rPr>
        <w:t>)</w:t>
      </w:r>
    </w:p>
    <w:p w14:paraId="1BC02781" w14:textId="77777777" w:rsidR="00D138EC" w:rsidRPr="00720B94" w:rsidRDefault="00D138EC" w:rsidP="0092380E">
      <w:pPr>
        <w:pStyle w:val="ListParagraph"/>
        <w:numPr>
          <w:ilvl w:val="0"/>
          <w:numId w:val="3"/>
        </w:numPr>
        <w:rPr>
          <w:rFonts w:cs="Arial"/>
          <w:sz w:val="22"/>
          <w:szCs w:val="22"/>
        </w:rPr>
      </w:pPr>
      <w:r w:rsidRPr="00720B94">
        <w:rPr>
          <w:rFonts w:cs="Arial"/>
          <w:sz w:val="22"/>
          <w:szCs w:val="22"/>
        </w:rPr>
        <w:t>Title, table of contents</w:t>
      </w:r>
    </w:p>
    <w:p w14:paraId="35B850F0" w14:textId="77777777" w:rsidR="00D138EC" w:rsidRPr="00720B94" w:rsidRDefault="00D138EC" w:rsidP="0092380E">
      <w:pPr>
        <w:pStyle w:val="ListParagraph"/>
        <w:numPr>
          <w:ilvl w:val="0"/>
          <w:numId w:val="3"/>
        </w:numPr>
        <w:rPr>
          <w:rFonts w:cs="Arial"/>
          <w:sz w:val="22"/>
          <w:szCs w:val="22"/>
        </w:rPr>
      </w:pPr>
      <w:r w:rsidRPr="00720B94">
        <w:rPr>
          <w:rFonts w:cs="Arial"/>
          <w:sz w:val="22"/>
          <w:szCs w:val="22"/>
        </w:rPr>
        <w:t>Emergency contacts</w:t>
      </w:r>
    </w:p>
    <w:p w14:paraId="7B05CF31" w14:textId="77777777" w:rsidR="00D138EC" w:rsidRPr="00720B94" w:rsidRDefault="00D138EC" w:rsidP="0092380E">
      <w:pPr>
        <w:pStyle w:val="ListParagraph"/>
        <w:numPr>
          <w:ilvl w:val="0"/>
          <w:numId w:val="3"/>
        </w:numPr>
        <w:rPr>
          <w:rFonts w:cs="Arial"/>
          <w:sz w:val="22"/>
          <w:szCs w:val="22"/>
        </w:rPr>
      </w:pPr>
      <w:r w:rsidRPr="00720B94">
        <w:rPr>
          <w:rFonts w:cs="Arial"/>
          <w:sz w:val="22"/>
          <w:szCs w:val="22"/>
        </w:rPr>
        <w:t xml:space="preserve">Revision history and Record Keeping </w:t>
      </w:r>
    </w:p>
    <w:p w14:paraId="28EA79FF" w14:textId="77777777" w:rsidR="00D138EC" w:rsidRPr="00720B94" w:rsidRDefault="00D138EC" w:rsidP="0092380E">
      <w:pPr>
        <w:pStyle w:val="ListParagraph"/>
        <w:numPr>
          <w:ilvl w:val="1"/>
          <w:numId w:val="3"/>
        </w:numPr>
        <w:rPr>
          <w:rFonts w:cs="Arial"/>
          <w:sz w:val="22"/>
          <w:szCs w:val="22"/>
        </w:rPr>
      </w:pPr>
      <w:r w:rsidRPr="00720B94">
        <w:rPr>
          <w:rFonts w:cs="Arial"/>
          <w:sz w:val="22"/>
          <w:szCs w:val="22"/>
        </w:rPr>
        <w:t xml:space="preserve">Specific changes made, who made the changes and date </w:t>
      </w:r>
    </w:p>
    <w:p w14:paraId="4656F464" w14:textId="77777777" w:rsidR="00D138EC" w:rsidRPr="00720B94" w:rsidRDefault="00D138EC" w:rsidP="0092380E">
      <w:pPr>
        <w:pStyle w:val="ListParagraph"/>
        <w:numPr>
          <w:ilvl w:val="1"/>
          <w:numId w:val="3"/>
        </w:numPr>
        <w:rPr>
          <w:rFonts w:cs="Arial"/>
          <w:sz w:val="22"/>
          <w:szCs w:val="22"/>
        </w:rPr>
      </w:pPr>
      <w:r w:rsidRPr="00720B94">
        <w:rPr>
          <w:rFonts w:cs="Arial"/>
          <w:sz w:val="22"/>
          <w:szCs w:val="22"/>
        </w:rPr>
        <w:t xml:space="preserve">Review dates (e.g., IBC review and annual review) </w:t>
      </w:r>
    </w:p>
    <w:p w14:paraId="10EA887B" w14:textId="77777777" w:rsidR="00D138EC" w:rsidRPr="00720B94" w:rsidRDefault="00D138EC" w:rsidP="0092380E">
      <w:pPr>
        <w:pStyle w:val="ListParagraph"/>
        <w:numPr>
          <w:ilvl w:val="0"/>
          <w:numId w:val="3"/>
        </w:numPr>
        <w:rPr>
          <w:rFonts w:cs="Arial"/>
          <w:sz w:val="22"/>
          <w:szCs w:val="22"/>
        </w:rPr>
      </w:pPr>
      <w:r w:rsidRPr="00720B94">
        <w:rPr>
          <w:rFonts w:cs="Arial"/>
          <w:sz w:val="22"/>
          <w:szCs w:val="22"/>
        </w:rPr>
        <w:t xml:space="preserve">Facility Design and Specifications </w:t>
      </w:r>
    </w:p>
    <w:p w14:paraId="10829C98" w14:textId="77777777" w:rsidR="00D138EC" w:rsidRPr="00720B94" w:rsidRDefault="00D138EC" w:rsidP="0092380E">
      <w:pPr>
        <w:pStyle w:val="ListParagraph"/>
        <w:numPr>
          <w:ilvl w:val="1"/>
          <w:numId w:val="3"/>
        </w:numPr>
        <w:rPr>
          <w:rFonts w:cs="Arial"/>
          <w:sz w:val="22"/>
          <w:szCs w:val="22"/>
        </w:rPr>
      </w:pPr>
      <w:r w:rsidRPr="00720B94">
        <w:rPr>
          <w:rFonts w:cs="Arial"/>
          <w:sz w:val="22"/>
          <w:szCs w:val="22"/>
        </w:rPr>
        <w:t xml:space="preserve">Number and location of rooms </w:t>
      </w:r>
    </w:p>
    <w:p w14:paraId="7DBE38C0" w14:textId="77777777" w:rsidR="00D138EC" w:rsidRPr="00720B94" w:rsidRDefault="00D138EC" w:rsidP="0092380E">
      <w:pPr>
        <w:pStyle w:val="ListParagraph"/>
        <w:numPr>
          <w:ilvl w:val="1"/>
          <w:numId w:val="3"/>
        </w:numPr>
        <w:rPr>
          <w:rFonts w:cs="Arial"/>
          <w:sz w:val="22"/>
          <w:szCs w:val="22"/>
        </w:rPr>
      </w:pPr>
      <w:r w:rsidRPr="00720B94">
        <w:rPr>
          <w:rFonts w:cs="Arial"/>
          <w:sz w:val="22"/>
          <w:szCs w:val="22"/>
        </w:rPr>
        <w:t xml:space="preserve">Engineering controls (e.g., HEPA filters, exhaust, air handling systems, pressure gauges) </w:t>
      </w:r>
    </w:p>
    <w:p w14:paraId="05940D2C" w14:textId="77777777" w:rsidR="00D138EC" w:rsidRPr="00720B94" w:rsidRDefault="00D138EC" w:rsidP="0092380E">
      <w:pPr>
        <w:pStyle w:val="ListParagraph"/>
        <w:numPr>
          <w:ilvl w:val="1"/>
          <w:numId w:val="3"/>
        </w:numPr>
        <w:rPr>
          <w:rFonts w:cs="Arial"/>
          <w:sz w:val="22"/>
          <w:szCs w:val="22"/>
        </w:rPr>
      </w:pPr>
      <w:r w:rsidRPr="00720B94">
        <w:rPr>
          <w:rFonts w:cs="Arial"/>
          <w:sz w:val="22"/>
          <w:szCs w:val="22"/>
        </w:rPr>
        <w:t xml:space="preserve">Generator for power outages </w:t>
      </w:r>
    </w:p>
    <w:p w14:paraId="1BCA085C" w14:textId="77777777" w:rsidR="00D138EC" w:rsidRPr="00720B94" w:rsidRDefault="00D138EC" w:rsidP="0092380E">
      <w:pPr>
        <w:pStyle w:val="ListParagraph"/>
        <w:numPr>
          <w:ilvl w:val="1"/>
          <w:numId w:val="3"/>
        </w:numPr>
        <w:rPr>
          <w:rFonts w:cs="Arial"/>
          <w:sz w:val="22"/>
          <w:szCs w:val="22"/>
        </w:rPr>
      </w:pPr>
      <w:r w:rsidRPr="00720B94">
        <w:rPr>
          <w:rFonts w:cs="Arial"/>
          <w:sz w:val="22"/>
          <w:szCs w:val="22"/>
        </w:rPr>
        <w:t xml:space="preserve">Security description (e.g., fingerprint scanners, retina scanners, ID card scanners, high security keys) </w:t>
      </w:r>
    </w:p>
    <w:p w14:paraId="30AF6DD1" w14:textId="77777777" w:rsidR="00D138EC" w:rsidRPr="00720B94" w:rsidRDefault="00D138EC" w:rsidP="0092380E">
      <w:pPr>
        <w:pStyle w:val="ListParagraph"/>
        <w:numPr>
          <w:ilvl w:val="1"/>
          <w:numId w:val="3"/>
        </w:numPr>
        <w:rPr>
          <w:rFonts w:cs="Arial"/>
          <w:sz w:val="22"/>
          <w:szCs w:val="22"/>
        </w:rPr>
      </w:pPr>
      <w:r w:rsidRPr="00720B94">
        <w:rPr>
          <w:rFonts w:cs="Arial"/>
          <w:sz w:val="22"/>
          <w:szCs w:val="22"/>
        </w:rPr>
        <w:t xml:space="preserve">Waste collection system (e.g., Effluent Decontamination System (EDS)) </w:t>
      </w:r>
    </w:p>
    <w:p w14:paraId="5514ADD6" w14:textId="77777777" w:rsidR="00D138EC" w:rsidRPr="00720B94" w:rsidRDefault="00D138EC" w:rsidP="0092380E">
      <w:pPr>
        <w:pStyle w:val="ListParagraph"/>
        <w:numPr>
          <w:ilvl w:val="0"/>
          <w:numId w:val="3"/>
        </w:numPr>
        <w:rPr>
          <w:rFonts w:cs="Arial"/>
          <w:sz w:val="22"/>
          <w:szCs w:val="22"/>
        </w:rPr>
      </w:pPr>
      <w:r w:rsidRPr="00720B94">
        <w:rPr>
          <w:rFonts w:cs="Arial"/>
          <w:sz w:val="22"/>
          <w:szCs w:val="22"/>
        </w:rPr>
        <w:t xml:space="preserve">Facility Reverification </w:t>
      </w:r>
    </w:p>
    <w:p w14:paraId="155DCC74" w14:textId="77777777" w:rsidR="00D138EC" w:rsidRPr="00720B94" w:rsidRDefault="00D138EC" w:rsidP="0092380E">
      <w:pPr>
        <w:pStyle w:val="ListParagraph"/>
        <w:numPr>
          <w:ilvl w:val="1"/>
          <w:numId w:val="3"/>
        </w:numPr>
        <w:rPr>
          <w:rFonts w:cs="Arial"/>
          <w:sz w:val="22"/>
          <w:szCs w:val="22"/>
        </w:rPr>
      </w:pPr>
      <w:r w:rsidRPr="00720B94">
        <w:rPr>
          <w:rFonts w:cs="Arial"/>
          <w:sz w:val="22"/>
          <w:szCs w:val="22"/>
        </w:rPr>
        <w:t xml:space="preserve">Annual certifications or performance testing (e.g., BSC, Fume Hood, HVAC, HEPA filters) </w:t>
      </w:r>
    </w:p>
    <w:p w14:paraId="4A792C39" w14:textId="77777777" w:rsidR="00D138EC" w:rsidRPr="00720B94" w:rsidRDefault="00D138EC" w:rsidP="0092380E">
      <w:pPr>
        <w:pStyle w:val="ListParagraph"/>
        <w:numPr>
          <w:ilvl w:val="1"/>
          <w:numId w:val="3"/>
        </w:numPr>
        <w:rPr>
          <w:rFonts w:cs="Arial"/>
          <w:sz w:val="22"/>
          <w:szCs w:val="22"/>
        </w:rPr>
      </w:pPr>
      <w:r w:rsidRPr="00720B94">
        <w:rPr>
          <w:rFonts w:cs="Arial"/>
          <w:sz w:val="22"/>
          <w:szCs w:val="22"/>
        </w:rPr>
        <w:t xml:space="preserve">Description of procedures performed during reverification (e.g., preventative maintenance of equipment, work stopped, materials secured, biohazard trash removed, decontamination of surfaces performed) </w:t>
      </w:r>
    </w:p>
    <w:p w14:paraId="25A25562" w14:textId="77777777" w:rsidR="00D138EC" w:rsidRPr="00720B94" w:rsidRDefault="00D138EC" w:rsidP="0092380E">
      <w:pPr>
        <w:pStyle w:val="ListParagraph"/>
        <w:numPr>
          <w:ilvl w:val="1"/>
          <w:numId w:val="3"/>
        </w:numPr>
        <w:rPr>
          <w:rFonts w:cs="Arial"/>
          <w:sz w:val="22"/>
          <w:szCs w:val="22"/>
        </w:rPr>
      </w:pPr>
      <w:r w:rsidRPr="00720B94">
        <w:rPr>
          <w:rFonts w:cs="Arial"/>
          <w:sz w:val="22"/>
          <w:szCs w:val="22"/>
        </w:rPr>
        <w:t xml:space="preserve">Describe record keeping (e.g., EH&amp;S keeps records of facility reverification) </w:t>
      </w:r>
    </w:p>
    <w:p w14:paraId="5FB25FCD" w14:textId="77777777" w:rsidR="00D138EC" w:rsidRPr="00720B94" w:rsidRDefault="00D138EC" w:rsidP="0092380E">
      <w:pPr>
        <w:pStyle w:val="ListParagraph"/>
        <w:numPr>
          <w:ilvl w:val="0"/>
          <w:numId w:val="3"/>
        </w:numPr>
        <w:rPr>
          <w:rFonts w:cs="Arial"/>
          <w:sz w:val="22"/>
          <w:szCs w:val="22"/>
        </w:rPr>
      </w:pPr>
      <w:r w:rsidRPr="00720B94">
        <w:rPr>
          <w:rFonts w:cs="Arial"/>
          <w:sz w:val="22"/>
          <w:szCs w:val="22"/>
        </w:rPr>
        <w:t xml:space="preserve">Facility Decontamination </w:t>
      </w:r>
    </w:p>
    <w:p w14:paraId="59121516" w14:textId="77777777" w:rsidR="00D138EC" w:rsidRPr="00720B94" w:rsidRDefault="00D138EC" w:rsidP="0092380E">
      <w:pPr>
        <w:pStyle w:val="ListParagraph"/>
        <w:numPr>
          <w:ilvl w:val="1"/>
          <w:numId w:val="3"/>
        </w:numPr>
        <w:rPr>
          <w:rFonts w:cs="Arial"/>
          <w:sz w:val="22"/>
          <w:szCs w:val="22"/>
        </w:rPr>
      </w:pPr>
      <w:r w:rsidRPr="00720B94">
        <w:rPr>
          <w:rFonts w:cs="Arial"/>
          <w:sz w:val="22"/>
          <w:szCs w:val="22"/>
        </w:rPr>
        <w:t xml:space="preserve">Yearly requirements </w:t>
      </w:r>
    </w:p>
    <w:p w14:paraId="25BFD020" w14:textId="77777777" w:rsidR="00D138EC" w:rsidRPr="00720B94" w:rsidRDefault="00D138EC" w:rsidP="0092380E">
      <w:pPr>
        <w:pStyle w:val="ListParagraph"/>
        <w:numPr>
          <w:ilvl w:val="1"/>
          <w:numId w:val="3"/>
        </w:numPr>
        <w:rPr>
          <w:rFonts w:cs="Arial"/>
          <w:sz w:val="22"/>
          <w:szCs w:val="22"/>
        </w:rPr>
      </w:pPr>
      <w:r w:rsidRPr="00720B94">
        <w:rPr>
          <w:rFonts w:cs="Arial"/>
          <w:sz w:val="22"/>
          <w:szCs w:val="22"/>
        </w:rPr>
        <w:t xml:space="preserve">At the end of facility use </w:t>
      </w:r>
    </w:p>
    <w:p w14:paraId="4AA01B04" w14:textId="77777777" w:rsidR="00D138EC" w:rsidRPr="00720B94" w:rsidRDefault="00D138EC" w:rsidP="0092380E">
      <w:pPr>
        <w:pStyle w:val="ListParagraph"/>
        <w:numPr>
          <w:ilvl w:val="1"/>
          <w:numId w:val="3"/>
        </w:numPr>
        <w:rPr>
          <w:rFonts w:cs="Arial"/>
          <w:sz w:val="22"/>
          <w:szCs w:val="22"/>
        </w:rPr>
      </w:pPr>
      <w:r w:rsidRPr="00720B94">
        <w:rPr>
          <w:rFonts w:cs="Arial"/>
          <w:sz w:val="22"/>
          <w:szCs w:val="22"/>
        </w:rPr>
        <w:t xml:space="preserve">When repairs are needed </w:t>
      </w:r>
    </w:p>
    <w:p w14:paraId="7B39358D" w14:textId="77777777" w:rsidR="00D138EC" w:rsidRPr="00720B94" w:rsidRDefault="00D138EC" w:rsidP="0092380E">
      <w:pPr>
        <w:pStyle w:val="ListParagraph"/>
        <w:numPr>
          <w:ilvl w:val="0"/>
          <w:numId w:val="3"/>
        </w:numPr>
        <w:rPr>
          <w:rFonts w:cs="Arial"/>
          <w:sz w:val="22"/>
          <w:szCs w:val="22"/>
        </w:rPr>
      </w:pPr>
      <w:r w:rsidRPr="00720B94">
        <w:rPr>
          <w:rFonts w:cs="Arial"/>
          <w:sz w:val="22"/>
          <w:szCs w:val="22"/>
        </w:rPr>
        <w:t xml:space="preserve">Biosafety Level 3 (BSL3) Description: (BMBL, these elements may be covered in other sections) </w:t>
      </w:r>
    </w:p>
    <w:p w14:paraId="5CC85EE7" w14:textId="77777777" w:rsidR="00D138EC" w:rsidRPr="00720B94" w:rsidRDefault="00D138EC" w:rsidP="0092380E">
      <w:pPr>
        <w:pStyle w:val="ListParagraph"/>
        <w:numPr>
          <w:ilvl w:val="1"/>
          <w:numId w:val="3"/>
        </w:numPr>
        <w:rPr>
          <w:rFonts w:cs="Arial"/>
          <w:sz w:val="22"/>
          <w:szCs w:val="22"/>
        </w:rPr>
      </w:pPr>
      <w:r w:rsidRPr="00720B94">
        <w:rPr>
          <w:rFonts w:cs="Arial"/>
          <w:sz w:val="22"/>
          <w:szCs w:val="22"/>
        </w:rPr>
        <w:t xml:space="preserve">Standard Microbiological Practices </w:t>
      </w:r>
    </w:p>
    <w:p w14:paraId="0DEDA75A" w14:textId="77777777" w:rsidR="00D138EC" w:rsidRPr="00720B94" w:rsidRDefault="00D138EC" w:rsidP="0092380E">
      <w:pPr>
        <w:pStyle w:val="ListParagraph"/>
        <w:numPr>
          <w:ilvl w:val="1"/>
          <w:numId w:val="3"/>
        </w:numPr>
        <w:rPr>
          <w:rFonts w:cs="Arial"/>
          <w:sz w:val="22"/>
          <w:szCs w:val="22"/>
        </w:rPr>
      </w:pPr>
      <w:r w:rsidRPr="00720B94">
        <w:rPr>
          <w:rFonts w:cs="Arial"/>
          <w:sz w:val="22"/>
          <w:szCs w:val="22"/>
        </w:rPr>
        <w:t xml:space="preserve">Special practices (e.g., describe special regulations for non-research related plants, animals) </w:t>
      </w:r>
    </w:p>
    <w:p w14:paraId="7139DC98" w14:textId="77777777" w:rsidR="00D138EC" w:rsidRPr="00720B94" w:rsidRDefault="00D138EC" w:rsidP="0092380E">
      <w:pPr>
        <w:pStyle w:val="ListParagraph"/>
        <w:numPr>
          <w:ilvl w:val="1"/>
          <w:numId w:val="3"/>
        </w:numPr>
        <w:rPr>
          <w:rFonts w:cs="Arial"/>
          <w:sz w:val="22"/>
          <w:szCs w:val="22"/>
        </w:rPr>
      </w:pPr>
      <w:r w:rsidRPr="00720B94">
        <w:rPr>
          <w:rFonts w:cs="Arial"/>
          <w:sz w:val="22"/>
          <w:szCs w:val="22"/>
        </w:rPr>
        <w:t xml:space="preserve">Safety Equipment </w:t>
      </w:r>
    </w:p>
    <w:p w14:paraId="53D09633" w14:textId="77777777" w:rsidR="00D138EC" w:rsidRPr="00720B94" w:rsidRDefault="00D138EC" w:rsidP="0092380E">
      <w:pPr>
        <w:pStyle w:val="ListParagraph"/>
        <w:numPr>
          <w:ilvl w:val="1"/>
          <w:numId w:val="3"/>
        </w:numPr>
        <w:rPr>
          <w:rFonts w:cs="Arial"/>
          <w:sz w:val="22"/>
          <w:szCs w:val="22"/>
        </w:rPr>
      </w:pPr>
      <w:r w:rsidRPr="00720B94">
        <w:rPr>
          <w:rFonts w:cs="Arial"/>
          <w:sz w:val="22"/>
          <w:szCs w:val="22"/>
        </w:rPr>
        <w:t xml:space="preserve">Laboratory Facilities </w:t>
      </w:r>
    </w:p>
    <w:p w14:paraId="041EFA6C" w14:textId="77777777" w:rsidR="00D138EC" w:rsidRPr="00720B94" w:rsidRDefault="00D138EC" w:rsidP="0092380E">
      <w:pPr>
        <w:pStyle w:val="ListParagraph"/>
        <w:numPr>
          <w:ilvl w:val="0"/>
          <w:numId w:val="3"/>
        </w:numPr>
        <w:rPr>
          <w:rFonts w:cs="Arial"/>
          <w:sz w:val="22"/>
          <w:szCs w:val="22"/>
        </w:rPr>
      </w:pPr>
      <w:r w:rsidRPr="00720B94">
        <w:rPr>
          <w:rFonts w:cs="Arial"/>
          <w:sz w:val="22"/>
          <w:szCs w:val="22"/>
        </w:rPr>
        <w:t xml:space="preserve">Animal Biosafety Level 3 (ABSL3) Description: (BMBL, these elements may be covered in other sections) </w:t>
      </w:r>
    </w:p>
    <w:p w14:paraId="3379B72F" w14:textId="77777777" w:rsidR="00D138EC" w:rsidRPr="00720B94" w:rsidRDefault="00D138EC" w:rsidP="0092380E">
      <w:pPr>
        <w:pStyle w:val="ListParagraph"/>
        <w:numPr>
          <w:ilvl w:val="1"/>
          <w:numId w:val="3"/>
        </w:numPr>
        <w:rPr>
          <w:rFonts w:cs="Arial"/>
          <w:sz w:val="22"/>
          <w:szCs w:val="22"/>
        </w:rPr>
      </w:pPr>
      <w:r w:rsidRPr="00720B94">
        <w:rPr>
          <w:rFonts w:cs="Arial"/>
          <w:sz w:val="22"/>
          <w:szCs w:val="22"/>
        </w:rPr>
        <w:t xml:space="preserve">Standard Microbiological Practices </w:t>
      </w:r>
    </w:p>
    <w:p w14:paraId="5F755785" w14:textId="77777777" w:rsidR="00D138EC" w:rsidRPr="00720B94" w:rsidRDefault="00D138EC" w:rsidP="0092380E">
      <w:pPr>
        <w:pStyle w:val="ListParagraph"/>
        <w:numPr>
          <w:ilvl w:val="1"/>
          <w:numId w:val="3"/>
        </w:numPr>
        <w:rPr>
          <w:rFonts w:cs="Arial"/>
          <w:sz w:val="22"/>
          <w:szCs w:val="22"/>
        </w:rPr>
      </w:pPr>
      <w:r w:rsidRPr="00720B94">
        <w:rPr>
          <w:rFonts w:cs="Arial"/>
          <w:sz w:val="22"/>
          <w:szCs w:val="22"/>
        </w:rPr>
        <w:t xml:space="preserve">Special practices </w:t>
      </w:r>
    </w:p>
    <w:p w14:paraId="33AB742A" w14:textId="77777777" w:rsidR="00D138EC" w:rsidRPr="00720B94" w:rsidRDefault="00D138EC" w:rsidP="0092380E">
      <w:pPr>
        <w:pStyle w:val="ListParagraph"/>
        <w:numPr>
          <w:ilvl w:val="1"/>
          <w:numId w:val="3"/>
        </w:numPr>
        <w:rPr>
          <w:rFonts w:cs="Arial"/>
          <w:sz w:val="22"/>
          <w:szCs w:val="22"/>
        </w:rPr>
      </w:pPr>
      <w:r w:rsidRPr="00720B94">
        <w:rPr>
          <w:rFonts w:cs="Arial"/>
          <w:sz w:val="22"/>
          <w:szCs w:val="22"/>
        </w:rPr>
        <w:t xml:space="preserve">Safety Equipment </w:t>
      </w:r>
    </w:p>
    <w:p w14:paraId="539449D8" w14:textId="77777777" w:rsidR="00D138EC" w:rsidRPr="00720B94" w:rsidRDefault="00D138EC" w:rsidP="0092380E">
      <w:pPr>
        <w:pStyle w:val="ListParagraph"/>
        <w:numPr>
          <w:ilvl w:val="1"/>
          <w:numId w:val="3"/>
        </w:numPr>
        <w:rPr>
          <w:rFonts w:cs="Arial"/>
          <w:sz w:val="22"/>
          <w:szCs w:val="22"/>
        </w:rPr>
      </w:pPr>
      <w:r w:rsidRPr="00720B94">
        <w:rPr>
          <w:rFonts w:cs="Arial"/>
          <w:sz w:val="22"/>
          <w:szCs w:val="22"/>
        </w:rPr>
        <w:t xml:space="preserve">Laboratory Facilities </w:t>
      </w:r>
    </w:p>
    <w:p w14:paraId="7AE1D475" w14:textId="77777777" w:rsidR="00D138EC" w:rsidRPr="00720B94" w:rsidRDefault="00D138EC" w:rsidP="0092380E">
      <w:pPr>
        <w:pStyle w:val="ListParagraph"/>
        <w:numPr>
          <w:ilvl w:val="0"/>
          <w:numId w:val="3"/>
        </w:numPr>
        <w:rPr>
          <w:rFonts w:cs="Arial"/>
          <w:sz w:val="22"/>
          <w:szCs w:val="22"/>
        </w:rPr>
      </w:pPr>
      <w:r w:rsidRPr="00720B94">
        <w:rPr>
          <w:rFonts w:cs="Arial"/>
          <w:sz w:val="22"/>
          <w:szCs w:val="22"/>
        </w:rPr>
        <w:t xml:space="preserve">Personnel Requirements </w:t>
      </w:r>
    </w:p>
    <w:p w14:paraId="44A08969" w14:textId="77777777" w:rsidR="00D138EC" w:rsidRPr="00720B94" w:rsidRDefault="00D138EC" w:rsidP="0092380E">
      <w:pPr>
        <w:pStyle w:val="ListParagraph"/>
        <w:numPr>
          <w:ilvl w:val="1"/>
          <w:numId w:val="3"/>
        </w:numPr>
        <w:rPr>
          <w:rFonts w:cs="Arial"/>
          <w:sz w:val="22"/>
          <w:szCs w:val="22"/>
        </w:rPr>
      </w:pPr>
      <w:r w:rsidRPr="00720B94">
        <w:rPr>
          <w:rFonts w:cs="Arial"/>
          <w:sz w:val="22"/>
          <w:szCs w:val="22"/>
        </w:rPr>
        <w:t xml:space="preserve">Training </w:t>
      </w:r>
    </w:p>
    <w:p w14:paraId="5DC45331" w14:textId="77777777" w:rsidR="00D138EC" w:rsidRPr="00720B94" w:rsidRDefault="00D138EC" w:rsidP="0092380E">
      <w:pPr>
        <w:pStyle w:val="ListParagraph"/>
        <w:numPr>
          <w:ilvl w:val="2"/>
          <w:numId w:val="3"/>
        </w:numPr>
        <w:rPr>
          <w:rFonts w:cs="Arial"/>
          <w:sz w:val="22"/>
          <w:szCs w:val="22"/>
        </w:rPr>
      </w:pPr>
      <w:r w:rsidRPr="00720B94">
        <w:rPr>
          <w:rFonts w:cs="Arial"/>
          <w:sz w:val="22"/>
          <w:szCs w:val="22"/>
        </w:rPr>
        <w:t xml:space="preserve">Describe training procedures </w:t>
      </w:r>
    </w:p>
    <w:p w14:paraId="4FB854AB" w14:textId="77777777" w:rsidR="00D138EC" w:rsidRPr="00720B94" w:rsidRDefault="00D138EC" w:rsidP="0092380E">
      <w:pPr>
        <w:pStyle w:val="ListParagraph"/>
        <w:numPr>
          <w:ilvl w:val="2"/>
          <w:numId w:val="3"/>
        </w:numPr>
        <w:rPr>
          <w:rFonts w:cs="Arial"/>
          <w:sz w:val="22"/>
          <w:szCs w:val="22"/>
        </w:rPr>
      </w:pPr>
      <w:r w:rsidRPr="00720B94">
        <w:rPr>
          <w:rFonts w:cs="Arial"/>
          <w:sz w:val="22"/>
          <w:szCs w:val="22"/>
        </w:rPr>
        <w:t xml:space="preserve">Documentation of personnel proficiency </w:t>
      </w:r>
    </w:p>
    <w:p w14:paraId="6D95041A" w14:textId="77777777" w:rsidR="00D138EC" w:rsidRPr="00720B94" w:rsidRDefault="00D138EC" w:rsidP="0092380E">
      <w:pPr>
        <w:pStyle w:val="ListParagraph"/>
        <w:numPr>
          <w:ilvl w:val="2"/>
          <w:numId w:val="3"/>
        </w:numPr>
        <w:rPr>
          <w:rFonts w:cs="Arial"/>
          <w:sz w:val="22"/>
          <w:szCs w:val="22"/>
        </w:rPr>
      </w:pPr>
      <w:r w:rsidRPr="00720B94">
        <w:rPr>
          <w:rFonts w:cs="Arial"/>
          <w:sz w:val="22"/>
          <w:szCs w:val="22"/>
        </w:rPr>
        <w:t xml:space="preserve">Documentation of training/notification of BSL3 manual/research activity changes </w:t>
      </w:r>
    </w:p>
    <w:p w14:paraId="08CB4D70" w14:textId="77777777" w:rsidR="00D138EC" w:rsidRPr="00720B94" w:rsidRDefault="00D138EC" w:rsidP="0092380E">
      <w:pPr>
        <w:pStyle w:val="ListParagraph"/>
        <w:numPr>
          <w:ilvl w:val="1"/>
          <w:numId w:val="3"/>
        </w:numPr>
        <w:rPr>
          <w:rFonts w:cs="Arial"/>
          <w:sz w:val="22"/>
          <w:szCs w:val="22"/>
        </w:rPr>
      </w:pPr>
      <w:r w:rsidRPr="00720B94">
        <w:rPr>
          <w:rFonts w:cs="Arial"/>
          <w:sz w:val="22"/>
          <w:szCs w:val="22"/>
        </w:rPr>
        <w:t>Any applicable background checks, clearances, evaluations</w:t>
      </w:r>
    </w:p>
    <w:p w14:paraId="7A667C0E" w14:textId="77777777" w:rsidR="00D138EC" w:rsidRPr="00720B94" w:rsidRDefault="00D138EC" w:rsidP="0092380E">
      <w:pPr>
        <w:pStyle w:val="ListParagraph"/>
        <w:numPr>
          <w:ilvl w:val="1"/>
          <w:numId w:val="3"/>
        </w:numPr>
        <w:rPr>
          <w:rFonts w:cs="Arial"/>
          <w:sz w:val="22"/>
          <w:szCs w:val="22"/>
        </w:rPr>
      </w:pPr>
      <w:r w:rsidRPr="00720B94">
        <w:rPr>
          <w:rFonts w:cs="Arial"/>
          <w:sz w:val="22"/>
          <w:szCs w:val="22"/>
        </w:rPr>
        <w:t xml:space="preserve">Understanding of hazards </w:t>
      </w:r>
    </w:p>
    <w:p w14:paraId="48B21208" w14:textId="77777777" w:rsidR="00D138EC" w:rsidRPr="00720B94" w:rsidRDefault="00D138EC" w:rsidP="0092380E">
      <w:pPr>
        <w:pStyle w:val="ListParagraph"/>
        <w:numPr>
          <w:ilvl w:val="2"/>
          <w:numId w:val="3"/>
        </w:numPr>
        <w:rPr>
          <w:rFonts w:cs="Arial"/>
          <w:sz w:val="22"/>
          <w:szCs w:val="22"/>
        </w:rPr>
      </w:pPr>
      <w:r w:rsidRPr="00720B94">
        <w:rPr>
          <w:rFonts w:cs="Arial"/>
          <w:sz w:val="22"/>
          <w:szCs w:val="22"/>
        </w:rPr>
        <w:t>Microbes</w:t>
      </w:r>
    </w:p>
    <w:p w14:paraId="726A9AF0" w14:textId="77777777" w:rsidR="00D138EC" w:rsidRPr="00720B94" w:rsidRDefault="00D138EC" w:rsidP="0092380E">
      <w:pPr>
        <w:pStyle w:val="ListParagraph"/>
        <w:numPr>
          <w:ilvl w:val="3"/>
          <w:numId w:val="3"/>
        </w:numPr>
        <w:rPr>
          <w:rFonts w:cs="Arial"/>
          <w:sz w:val="22"/>
          <w:szCs w:val="22"/>
        </w:rPr>
      </w:pPr>
      <w:r w:rsidRPr="00720B94">
        <w:rPr>
          <w:rFonts w:cs="Arial"/>
          <w:sz w:val="22"/>
          <w:szCs w:val="22"/>
        </w:rPr>
        <w:t xml:space="preserve">List agent(s) and describe brief history, host range, route of transmission, biosafety level practices recommended, genetic manipulation performed on the agent(s) (how that affects the risk assessment), other important information to understand the risk of manipulating the agent(s) </w:t>
      </w:r>
    </w:p>
    <w:p w14:paraId="7EC6E7D0" w14:textId="77777777" w:rsidR="00D138EC" w:rsidRPr="00720B94" w:rsidRDefault="00D138EC" w:rsidP="0092380E">
      <w:pPr>
        <w:pStyle w:val="ListParagraph"/>
        <w:numPr>
          <w:ilvl w:val="3"/>
          <w:numId w:val="3"/>
        </w:numPr>
        <w:rPr>
          <w:rFonts w:cs="Arial"/>
          <w:sz w:val="22"/>
          <w:szCs w:val="22"/>
        </w:rPr>
      </w:pPr>
      <w:r w:rsidRPr="00720B94">
        <w:rPr>
          <w:rFonts w:cs="Arial"/>
          <w:sz w:val="22"/>
          <w:szCs w:val="22"/>
        </w:rPr>
        <w:t xml:space="preserve">May also develop a laboratory-specific medical response sheet </w:t>
      </w:r>
    </w:p>
    <w:p w14:paraId="2FB815DE" w14:textId="77777777" w:rsidR="00D138EC" w:rsidRPr="00720B94" w:rsidRDefault="00D138EC" w:rsidP="0092380E">
      <w:pPr>
        <w:pStyle w:val="ListParagraph"/>
        <w:numPr>
          <w:ilvl w:val="3"/>
          <w:numId w:val="3"/>
        </w:numPr>
        <w:rPr>
          <w:rFonts w:cs="Arial"/>
          <w:sz w:val="22"/>
          <w:szCs w:val="22"/>
        </w:rPr>
      </w:pPr>
      <w:r w:rsidRPr="00720B94">
        <w:rPr>
          <w:rFonts w:cs="Arial"/>
          <w:sz w:val="22"/>
          <w:szCs w:val="22"/>
        </w:rPr>
        <w:t xml:space="preserve">May also develop a pathogen specific data sheet </w:t>
      </w:r>
    </w:p>
    <w:p w14:paraId="442BB080" w14:textId="77777777" w:rsidR="00D138EC" w:rsidRPr="00720B94" w:rsidRDefault="00D138EC" w:rsidP="0092380E">
      <w:pPr>
        <w:pStyle w:val="ListParagraph"/>
        <w:numPr>
          <w:ilvl w:val="2"/>
          <w:numId w:val="3"/>
        </w:numPr>
        <w:rPr>
          <w:rFonts w:cs="Arial"/>
          <w:sz w:val="22"/>
          <w:szCs w:val="22"/>
        </w:rPr>
      </w:pPr>
      <w:r w:rsidRPr="00720B94">
        <w:rPr>
          <w:rFonts w:cs="Arial"/>
          <w:sz w:val="22"/>
          <w:szCs w:val="22"/>
        </w:rPr>
        <w:t xml:space="preserve">Other biological hazards (e.g., toxins, cell lines, etc.) </w:t>
      </w:r>
    </w:p>
    <w:p w14:paraId="5B1F09F2" w14:textId="77777777" w:rsidR="00D138EC" w:rsidRPr="00720B94" w:rsidRDefault="00D138EC" w:rsidP="0092380E">
      <w:pPr>
        <w:pStyle w:val="ListParagraph"/>
        <w:numPr>
          <w:ilvl w:val="2"/>
          <w:numId w:val="3"/>
        </w:numPr>
        <w:rPr>
          <w:rFonts w:cs="Arial"/>
          <w:sz w:val="22"/>
          <w:szCs w:val="22"/>
        </w:rPr>
      </w:pPr>
      <w:r w:rsidRPr="00720B94">
        <w:rPr>
          <w:rFonts w:cs="Arial"/>
          <w:sz w:val="22"/>
          <w:szCs w:val="22"/>
        </w:rPr>
        <w:lastRenderedPageBreak/>
        <w:t xml:space="preserve">Procedural hazards </w:t>
      </w:r>
    </w:p>
    <w:p w14:paraId="50CD74E3" w14:textId="77777777" w:rsidR="00D138EC" w:rsidRPr="00720B94" w:rsidRDefault="00D138EC" w:rsidP="0092380E">
      <w:pPr>
        <w:pStyle w:val="ListParagraph"/>
        <w:numPr>
          <w:ilvl w:val="2"/>
          <w:numId w:val="3"/>
        </w:numPr>
        <w:rPr>
          <w:rFonts w:cs="Arial"/>
          <w:sz w:val="22"/>
          <w:szCs w:val="22"/>
        </w:rPr>
      </w:pPr>
      <w:r w:rsidRPr="00720B94">
        <w:rPr>
          <w:rFonts w:cs="Arial"/>
          <w:sz w:val="22"/>
          <w:szCs w:val="22"/>
        </w:rPr>
        <w:t xml:space="preserve">Other hazards </w:t>
      </w:r>
    </w:p>
    <w:p w14:paraId="7509F87C" w14:textId="77777777" w:rsidR="00D138EC" w:rsidRPr="00720B94" w:rsidRDefault="00D138EC" w:rsidP="0092380E">
      <w:pPr>
        <w:pStyle w:val="ListParagraph"/>
        <w:numPr>
          <w:ilvl w:val="1"/>
          <w:numId w:val="3"/>
        </w:numPr>
        <w:rPr>
          <w:rFonts w:cs="Arial"/>
          <w:sz w:val="22"/>
          <w:szCs w:val="22"/>
        </w:rPr>
      </w:pPr>
      <w:r w:rsidRPr="00720B94">
        <w:rPr>
          <w:rFonts w:cs="Arial"/>
          <w:sz w:val="22"/>
          <w:szCs w:val="22"/>
        </w:rPr>
        <w:t xml:space="preserve">Understanding health and medical requirements </w:t>
      </w:r>
    </w:p>
    <w:p w14:paraId="1A8EACF4" w14:textId="77777777" w:rsidR="00D138EC" w:rsidRPr="00720B94" w:rsidRDefault="00D138EC" w:rsidP="0092380E">
      <w:pPr>
        <w:pStyle w:val="ListParagraph"/>
        <w:numPr>
          <w:ilvl w:val="1"/>
          <w:numId w:val="3"/>
        </w:numPr>
        <w:rPr>
          <w:rFonts w:cs="Arial"/>
          <w:sz w:val="22"/>
          <w:szCs w:val="22"/>
        </w:rPr>
      </w:pPr>
      <w:r w:rsidRPr="00720B94">
        <w:rPr>
          <w:rFonts w:cs="Arial"/>
          <w:sz w:val="22"/>
          <w:szCs w:val="22"/>
        </w:rPr>
        <w:t xml:space="preserve">Describe fit testing of respirators (testing, medical clearance, refer to detailed SOP for respirator use) </w:t>
      </w:r>
    </w:p>
    <w:p w14:paraId="6E8DC283" w14:textId="77777777" w:rsidR="00D138EC" w:rsidRPr="00720B94" w:rsidRDefault="00D138EC" w:rsidP="0092380E">
      <w:pPr>
        <w:pStyle w:val="ListParagraph"/>
        <w:numPr>
          <w:ilvl w:val="1"/>
          <w:numId w:val="3"/>
        </w:numPr>
        <w:rPr>
          <w:rFonts w:cs="Arial"/>
          <w:sz w:val="22"/>
          <w:szCs w:val="22"/>
        </w:rPr>
      </w:pPr>
      <w:r w:rsidRPr="00720B94">
        <w:rPr>
          <w:rFonts w:cs="Arial"/>
          <w:sz w:val="22"/>
          <w:szCs w:val="22"/>
        </w:rPr>
        <w:t xml:space="preserve">Understand and comply with any agent specific programs (quarantine, allergy etc.) </w:t>
      </w:r>
    </w:p>
    <w:p w14:paraId="4F6C0C6E" w14:textId="77777777" w:rsidR="00D138EC" w:rsidRPr="00720B94" w:rsidRDefault="00D138EC" w:rsidP="0092380E">
      <w:pPr>
        <w:pStyle w:val="ListParagraph"/>
        <w:numPr>
          <w:ilvl w:val="0"/>
          <w:numId w:val="3"/>
        </w:numPr>
        <w:rPr>
          <w:rFonts w:cs="Arial"/>
          <w:sz w:val="22"/>
          <w:szCs w:val="22"/>
        </w:rPr>
      </w:pPr>
      <w:r w:rsidRPr="00720B94">
        <w:rPr>
          <w:rFonts w:cs="Arial"/>
          <w:sz w:val="22"/>
          <w:szCs w:val="22"/>
        </w:rPr>
        <w:t xml:space="preserve">Service Personnel and Visitor Requirements </w:t>
      </w:r>
    </w:p>
    <w:p w14:paraId="7F25C713" w14:textId="77777777" w:rsidR="00D138EC" w:rsidRPr="00720B94" w:rsidRDefault="00D138EC" w:rsidP="0092380E">
      <w:pPr>
        <w:pStyle w:val="ListParagraph"/>
        <w:numPr>
          <w:ilvl w:val="1"/>
          <w:numId w:val="3"/>
        </w:numPr>
        <w:rPr>
          <w:rFonts w:cs="Arial"/>
          <w:sz w:val="22"/>
          <w:szCs w:val="22"/>
        </w:rPr>
      </w:pPr>
      <w:r w:rsidRPr="00720B94">
        <w:rPr>
          <w:rFonts w:cs="Arial"/>
          <w:sz w:val="22"/>
          <w:szCs w:val="22"/>
        </w:rPr>
        <w:t xml:space="preserve">Escorting </w:t>
      </w:r>
    </w:p>
    <w:p w14:paraId="6753326A" w14:textId="77777777" w:rsidR="00D138EC" w:rsidRPr="00720B94" w:rsidRDefault="00D138EC" w:rsidP="0092380E">
      <w:pPr>
        <w:pStyle w:val="ListParagraph"/>
        <w:numPr>
          <w:ilvl w:val="1"/>
          <w:numId w:val="3"/>
        </w:numPr>
        <w:rPr>
          <w:rFonts w:cs="Arial"/>
          <w:sz w:val="22"/>
          <w:szCs w:val="22"/>
        </w:rPr>
      </w:pPr>
      <w:r w:rsidRPr="00720B94">
        <w:rPr>
          <w:rFonts w:cs="Arial"/>
          <w:sz w:val="22"/>
          <w:szCs w:val="22"/>
        </w:rPr>
        <w:t xml:space="preserve">Use of PPE </w:t>
      </w:r>
    </w:p>
    <w:p w14:paraId="7DC1F8ED" w14:textId="77777777" w:rsidR="00D138EC" w:rsidRPr="00720B94" w:rsidRDefault="00D138EC" w:rsidP="0092380E">
      <w:pPr>
        <w:pStyle w:val="ListParagraph"/>
        <w:numPr>
          <w:ilvl w:val="1"/>
          <w:numId w:val="3"/>
        </w:numPr>
        <w:rPr>
          <w:rFonts w:cs="Arial"/>
          <w:sz w:val="22"/>
          <w:szCs w:val="22"/>
        </w:rPr>
      </w:pPr>
      <w:r w:rsidRPr="00720B94">
        <w:rPr>
          <w:rFonts w:cs="Arial"/>
          <w:sz w:val="22"/>
          <w:szCs w:val="22"/>
        </w:rPr>
        <w:t xml:space="preserve">Visitor training (e.g., hazard communication) </w:t>
      </w:r>
    </w:p>
    <w:p w14:paraId="157795EF" w14:textId="77777777" w:rsidR="00D138EC" w:rsidRPr="00720B94" w:rsidRDefault="00D138EC" w:rsidP="0092380E">
      <w:pPr>
        <w:pStyle w:val="ListParagraph"/>
        <w:numPr>
          <w:ilvl w:val="1"/>
          <w:numId w:val="3"/>
        </w:numPr>
        <w:rPr>
          <w:rFonts w:cs="Arial"/>
          <w:sz w:val="22"/>
          <w:szCs w:val="22"/>
        </w:rPr>
      </w:pPr>
      <w:r w:rsidRPr="00720B94">
        <w:rPr>
          <w:rFonts w:cs="Arial"/>
          <w:sz w:val="22"/>
          <w:szCs w:val="22"/>
        </w:rPr>
        <w:t xml:space="preserve">Visitor log </w:t>
      </w:r>
    </w:p>
    <w:p w14:paraId="27BFB2CA" w14:textId="77777777" w:rsidR="00D138EC" w:rsidRPr="00720B94" w:rsidRDefault="00D138EC" w:rsidP="0092380E">
      <w:pPr>
        <w:pStyle w:val="ListParagraph"/>
        <w:numPr>
          <w:ilvl w:val="1"/>
          <w:numId w:val="3"/>
        </w:numPr>
        <w:rPr>
          <w:rFonts w:cs="Arial"/>
          <w:sz w:val="22"/>
          <w:szCs w:val="22"/>
        </w:rPr>
      </w:pPr>
      <w:r w:rsidRPr="00720B94">
        <w:rPr>
          <w:rFonts w:cs="Arial"/>
          <w:sz w:val="22"/>
          <w:szCs w:val="22"/>
        </w:rPr>
        <w:t xml:space="preserve">Vaccination requirements </w:t>
      </w:r>
    </w:p>
    <w:p w14:paraId="003AB55F" w14:textId="77777777" w:rsidR="00D138EC" w:rsidRPr="00720B94" w:rsidRDefault="00D138EC" w:rsidP="0092380E">
      <w:pPr>
        <w:pStyle w:val="ListParagraph"/>
        <w:numPr>
          <w:ilvl w:val="0"/>
          <w:numId w:val="3"/>
        </w:numPr>
        <w:rPr>
          <w:rFonts w:cs="Arial"/>
          <w:sz w:val="22"/>
          <w:szCs w:val="22"/>
        </w:rPr>
      </w:pPr>
      <w:r w:rsidRPr="00720B94">
        <w:rPr>
          <w:rFonts w:cs="Arial"/>
          <w:sz w:val="22"/>
          <w:szCs w:val="22"/>
        </w:rPr>
        <w:t xml:space="preserve">Health and Medical Monitoring </w:t>
      </w:r>
    </w:p>
    <w:p w14:paraId="674CA3A6" w14:textId="77777777" w:rsidR="00D138EC" w:rsidRPr="00720B94" w:rsidRDefault="00D138EC" w:rsidP="0092380E">
      <w:pPr>
        <w:pStyle w:val="ListParagraph"/>
        <w:numPr>
          <w:ilvl w:val="1"/>
          <w:numId w:val="3"/>
        </w:numPr>
        <w:rPr>
          <w:rFonts w:cs="Arial"/>
          <w:sz w:val="22"/>
          <w:szCs w:val="22"/>
        </w:rPr>
      </w:pPr>
      <w:r w:rsidRPr="00720B94">
        <w:rPr>
          <w:rFonts w:cs="Arial"/>
          <w:sz w:val="22"/>
          <w:szCs w:val="22"/>
        </w:rPr>
        <w:t xml:space="preserve">Depending on the agent, certain restrictions, vaccinations or monitoring may need to be in place for BSL3 work. </w:t>
      </w:r>
    </w:p>
    <w:p w14:paraId="022F029C" w14:textId="77777777" w:rsidR="00D138EC" w:rsidRPr="00720B94" w:rsidRDefault="00D138EC" w:rsidP="0092380E">
      <w:pPr>
        <w:pStyle w:val="ListParagraph"/>
        <w:numPr>
          <w:ilvl w:val="1"/>
          <w:numId w:val="3"/>
        </w:numPr>
        <w:rPr>
          <w:rFonts w:cs="Arial"/>
          <w:sz w:val="22"/>
          <w:szCs w:val="22"/>
        </w:rPr>
      </w:pPr>
      <w:r w:rsidRPr="00720B94">
        <w:rPr>
          <w:rFonts w:cs="Arial"/>
          <w:sz w:val="22"/>
          <w:szCs w:val="22"/>
        </w:rPr>
        <w:t xml:space="preserve">Outline as applicable to your agent (e.g., symptoms for each agent, reporting, what to do when you are sick, emergency procedures, contact numbers, testing requirements) </w:t>
      </w:r>
    </w:p>
    <w:p w14:paraId="6083BA5D" w14:textId="77777777" w:rsidR="00D138EC" w:rsidRPr="00720B94" w:rsidRDefault="00D138EC" w:rsidP="0092380E">
      <w:pPr>
        <w:pStyle w:val="ListParagraph"/>
        <w:numPr>
          <w:ilvl w:val="1"/>
          <w:numId w:val="3"/>
        </w:numPr>
        <w:rPr>
          <w:rFonts w:cs="Arial"/>
          <w:sz w:val="22"/>
          <w:szCs w:val="22"/>
        </w:rPr>
      </w:pPr>
      <w:r w:rsidRPr="00720B94">
        <w:rPr>
          <w:rFonts w:cs="Arial"/>
          <w:sz w:val="22"/>
          <w:szCs w:val="22"/>
        </w:rPr>
        <w:t xml:space="preserve">List types of accidental exposure: </w:t>
      </w:r>
    </w:p>
    <w:p w14:paraId="38917B9F" w14:textId="77777777" w:rsidR="00D138EC" w:rsidRPr="00720B94" w:rsidRDefault="00D138EC" w:rsidP="0092380E">
      <w:pPr>
        <w:pStyle w:val="ListParagraph"/>
        <w:numPr>
          <w:ilvl w:val="2"/>
          <w:numId w:val="3"/>
        </w:numPr>
        <w:rPr>
          <w:rFonts w:cs="Arial"/>
          <w:sz w:val="22"/>
          <w:szCs w:val="22"/>
        </w:rPr>
      </w:pPr>
      <w:r w:rsidRPr="00720B94">
        <w:rPr>
          <w:rFonts w:cs="Arial"/>
          <w:sz w:val="22"/>
          <w:szCs w:val="22"/>
        </w:rPr>
        <w:t xml:space="preserve">Needle stick </w:t>
      </w:r>
    </w:p>
    <w:p w14:paraId="40405A94" w14:textId="77777777" w:rsidR="00D138EC" w:rsidRPr="00720B94" w:rsidRDefault="00D138EC" w:rsidP="0092380E">
      <w:pPr>
        <w:pStyle w:val="ListParagraph"/>
        <w:numPr>
          <w:ilvl w:val="2"/>
          <w:numId w:val="3"/>
        </w:numPr>
        <w:rPr>
          <w:rFonts w:cs="Arial"/>
          <w:sz w:val="22"/>
          <w:szCs w:val="22"/>
        </w:rPr>
      </w:pPr>
      <w:r w:rsidRPr="00720B94">
        <w:rPr>
          <w:rFonts w:cs="Arial"/>
          <w:sz w:val="22"/>
          <w:szCs w:val="22"/>
        </w:rPr>
        <w:t xml:space="preserve">Animal bite </w:t>
      </w:r>
    </w:p>
    <w:p w14:paraId="7FDFB51B" w14:textId="77777777" w:rsidR="00D138EC" w:rsidRPr="00720B94" w:rsidRDefault="00D138EC" w:rsidP="0092380E">
      <w:pPr>
        <w:pStyle w:val="ListParagraph"/>
        <w:numPr>
          <w:ilvl w:val="2"/>
          <w:numId w:val="3"/>
        </w:numPr>
        <w:rPr>
          <w:rFonts w:cs="Arial"/>
          <w:sz w:val="22"/>
          <w:szCs w:val="22"/>
        </w:rPr>
      </w:pPr>
      <w:r w:rsidRPr="00720B94">
        <w:rPr>
          <w:rFonts w:cs="Arial"/>
          <w:sz w:val="22"/>
          <w:szCs w:val="22"/>
        </w:rPr>
        <w:t xml:space="preserve">Break in PPE </w:t>
      </w:r>
    </w:p>
    <w:p w14:paraId="4433C8BD" w14:textId="77777777" w:rsidR="00D138EC" w:rsidRPr="00720B94" w:rsidRDefault="00D138EC" w:rsidP="0092380E">
      <w:pPr>
        <w:pStyle w:val="ListParagraph"/>
        <w:numPr>
          <w:ilvl w:val="2"/>
          <w:numId w:val="3"/>
        </w:numPr>
        <w:rPr>
          <w:rFonts w:cs="Arial"/>
          <w:sz w:val="22"/>
          <w:szCs w:val="22"/>
        </w:rPr>
      </w:pPr>
      <w:r w:rsidRPr="00720B94">
        <w:rPr>
          <w:rFonts w:cs="Arial"/>
          <w:sz w:val="22"/>
          <w:szCs w:val="22"/>
        </w:rPr>
        <w:t>Broken vessel outside BSC v. unknown exposure with symptoms</w:t>
      </w:r>
    </w:p>
    <w:p w14:paraId="11A8E549" w14:textId="77777777" w:rsidR="00D138EC" w:rsidRPr="00720B94" w:rsidRDefault="00D138EC" w:rsidP="0092380E">
      <w:pPr>
        <w:pStyle w:val="ListParagraph"/>
        <w:numPr>
          <w:ilvl w:val="0"/>
          <w:numId w:val="3"/>
        </w:numPr>
        <w:rPr>
          <w:rFonts w:cs="Arial"/>
          <w:sz w:val="22"/>
          <w:szCs w:val="22"/>
        </w:rPr>
      </w:pPr>
      <w:r w:rsidRPr="00720B94">
        <w:rPr>
          <w:rFonts w:cs="Arial"/>
          <w:sz w:val="22"/>
          <w:szCs w:val="22"/>
        </w:rPr>
        <w:t xml:space="preserve">Laboratory Research Practices </w:t>
      </w:r>
    </w:p>
    <w:p w14:paraId="1770E735" w14:textId="77777777" w:rsidR="00D138EC" w:rsidRPr="00720B94" w:rsidRDefault="00D138EC" w:rsidP="0092380E">
      <w:pPr>
        <w:pStyle w:val="ListParagraph"/>
        <w:numPr>
          <w:ilvl w:val="1"/>
          <w:numId w:val="3"/>
        </w:numPr>
        <w:rPr>
          <w:rFonts w:cs="Arial"/>
          <w:sz w:val="22"/>
          <w:szCs w:val="22"/>
        </w:rPr>
      </w:pPr>
      <w:r w:rsidRPr="00720B94">
        <w:rPr>
          <w:rFonts w:cs="Arial"/>
          <w:sz w:val="22"/>
          <w:szCs w:val="22"/>
        </w:rPr>
        <w:t xml:space="preserve">List specific practices beyond the already required inherent BSL1 and BSL2 practices required to work at BSL3 </w:t>
      </w:r>
    </w:p>
    <w:p w14:paraId="61628CE1" w14:textId="77777777" w:rsidR="00D138EC" w:rsidRPr="00720B94" w:rsidRDefault="00D138EC" w:rsidP="0092380E">
      <w:pPr>
        <w:pStyle w:val="ListParagraph"/>
        <w:numPr>
          <w:ilvl w:val="1"/>
          <w:numId w:val="3"/>
        </w:numPr>
        <w:rPr>
          <w:rFonts w:cs="Arial"/>
          <w:sz w:val="22"/>
          <w:szCs w:val="22"/>
        </w:rPr>
      </w:pPr>
      <w:r w:rsidRPr="00720B94">
        <w:rPr>
          <w:rFonts w:cs="Arial"/>
          <w:sz w:val="22"/>
          <w:szCs w:val="22"/>
        </w:rPr>
        <w:t xml:space="preserve">Describe any special practices for: specific agents (e.g., agent A may not be handled when agent B is being handled); activities performed outside of containment (e.g., use of specialized equipment) </w:t>
      </w:r>
    </w:p>
    <w:p w14:paraId="1CC38F86" w14:textId="77777777" w:rsidR="00D138EC" w:rsidRPr="00720B94" w:rsidRDefault="00D138EC" w:rsidP="0092380E">
      <w:pPr>
        <w:pStyle w:val="ListParagraph"/>
        <w:numPr>
          <w:ilvl w:val="1"/>
          <w:numId w:val="3"/>
        </w:numPr>
        <w:rPr>
          <w:rFonts w:cs="Arial"/>
          <w:sz w:val="22"/>
          <w:szCs w:val="22"/>
        </w:rPr>
      </w:pPr>
      <w:r w:rsidRPr="00720B94">
        <w:rPr>
          <w:rFonts w:cs="Arial"/>
          <w:sz w:val="22"/>
          <w:szCs w:val="22"/>
        </w:rPr>
        <w:t xml:space="preserve">Cleaning and maintaining equipment and surfaces (e.g., frequency, disinfectant exposure time and concentration, eye wash maintenance) </w:t>
      </w:r>
    </w:p>
    <w:p w14:paraId="1565BDDB" w14:textId="77777777" w:rsidR="00D138EC" w:rsidRPr="00720B94" w:rsidRDefault="00D138EC" w:rsidP="0092380E">
      <w:pPr>
        <w:pStyle w:val="ListParagraph"/>
        <w:numPr>
          <w:ilvl w:val="1"/>
          <w:numId w:val="3"/>
        </w:numPr>
        <w:rPr>
          <w:rFonts w:cs="Arial"/>
          <w:sz w:val="22"/>
          <w:szCs w:val="22"/>
        </w:rPr>
      </w:pPr>
      <w:r w:rsidRPr="00720B94">
        <w:rPr>
          <w:rFonts w:cs="Arial"/>
          <w:sz w:val="22"/>
          <w:szCs w:val="22"/>
        </w:rPr>
        <w:t xml:space="preserve">Describe animal experimental procedures or summarize and reference specific standard operating procedures (SOPs) (cleaning, housing, monitoring, PPE, who performs tasks) </w:t>
      </w:r>
    </w:p>
    <w:p w14:paraId="7B313A8B" w14:textId="77777777" w:rsidR="00D138EC" w:rsidRPr="00720B94" w:rsidRDefault="00D138EC" w:rsidP="0092380E">
      <w:pPr>
        <w:pStyle w:val="ListParagraph"/>
        <w:numPr>
          <w:ilvl w:val="1"/>
          <w:numId w:val="3"/>
        </w:numPr>
        <w:rPr>
          <w:rFonts w:cs="Arial"/>
          <w:sz w:val="22"/>
          <w:szCs w:val="22"/>
        </w:rPr>
      </w:pPr>
      <w:r w:rsidRPr="00720B94">
        <w:rPr>
          <w:rFonts w:cs="Arial"/>
          <w:sz w:val="22"/>
          <w:szCs w:val="22"/>
        </w:rPr>
        <w:t xml:space="preserve">Procedures for waste removal </w:t>
      </w:r>
    </w:p>
    <w:p w14:paraId="2A9FEB58" w14:textId="77777777" w:rsidR="00D138EC" w:rsidRPr="00720B94" w:rsidRDefault="00D138EC" w:rsidP="0092380E">
      <w:pPr>
        <w:pStyle w:val="ListParagraph"/>
        <w:numPr>
          <w:ilvl w:val="1"/>
          <w:numId w:val="3"/>
        </w:numPr>
        <w:rPr>
          <w:rFonts w:cs="Arial"/>
          <w:sz w:val="22"/>
          <w:szCs w:val="22"/>
        </w:rPr>
      </w:pPr>
      <w:r w:rsidRPr="00720B94">
        <w:rPr>
          <w:rFonts w:cs="Arial"/>
          <w:sz w:val="22"/>
          <w:szCs w:val="22"/>
        </w:rPr>
        <w:t>Record keeping</w:t>
      </w:r>
    </w:p>
    <w:p w14:paraId="54146AC1" w14:textId="77777777" w:rsidR="00D138EC" w:rsidRPr="00720B94" w:rsidRDefault="00D138EC" w:rsidP="0092380E">
      <w:pPr>
        <w:pStyle w:val="ListParagraph"/>
        <w:numPr>
          <w:ilvl w:val="0"/>
          <w:numId w:val="3"/>
        </w:numPr>
        <w:rPr>
          <w:rFonts w:cs="Arial"/>
          <w:sz w:val="22"/>
          <w:szCs w:val="22"/>
        </w:rPr>
      </w:pPr>
      <w:r w:rsidRPr="00720B94">
        <w:rPr>
          <w:rFonts w:cs="Arial"/>
          <w:sz w:val="22"/>
          <w:szCs w:val="22"/>
        </w:rPr>
        <w:t xml:space="preserve">Decontamination of Laboratory Waste </w:t>
      </w:r>
    </w:p>
    <w:p w14:paraId="2E505B83" w14:textId="77777777" w:rsidR="00D138EC" w:rsidRPr="00720B94" w:rsidRDefault="00D138EC" w:rsidP="0092380E">
      <w:pPr>
        <w:pStyle w:val="ListParagraph"/>
        <w:numPr>
          <w:ilvl w:val="1"/>
          <w:numId w:val="3"/>
        </w:numPr>
        <w:rPr>
          <w:rFonts w:cs="Arial"/>
          <w:sz w:val="22"/>
          <w:szCs w:val="22"/>
        </w:rPr>
      </w:pPr>
      <w:r w:rsidRPr="00720B94">
        <w:rPr>
          <w:rFonts w:cs="Arial"/>
          <w:sz w:val="22"/>
          <w:szCs w:val="22"/>
        </w:rPr>
        <w:t xml:space="preserve">Autoclave use </w:t>
      </w:r>
    </w:p>
    <w:p w14:paraId="5BD36B8F" w14:textId="77777777" w:rsidR="00D138EC" w:rsidRPr="00720B94" w:rsidRDefault="00D138EC" w:rsidP="0092380E">
      <w:pPr>
        <w:pStyle w:val="ListParagraph"/>
        <w:numPr>
          <w:ilvl w:val="1"/>
          <w:numId w:val="3"/>
        </w:numPr>
        <w:rPr>
          <w:rFonts w:cs="Arial"/>
          <w:sz w:val="22"/>
          <w:szCs w:val="22"/>
        </w:rPr>
      </w:pPr>
      <w:r w:rsidRPr="00720B94">
        <w:rPr>
          <w:rFonts w:cs="Arial"/>
          <w:sz w:val="22"/>
          <w:szCs w:val="22"/>
        </w:rPr>
        <w:t xml:space="preserve">Documentation </w:t>
      </w:r>
    </w:p>
    <w:p w14:paraId="58D224EA" w14:textId="77777777" w:rsidR="00D138EC" w:rsidRPr="00720B94" w:rsidRDefault="00D138EC" w:rsidP="0092380E">
      <w:pPr>
        <w:pStyle w:val="ListParagraph"/>
        <w:numPr>
          <w:ilvl w:val="1"/>
          <w:numId w:val="3"/>
        </w:numPr>
        <w:rPr>
          <w:rFonts w:cs="Arial"/>
          <w:sz w:val="22"/>
          <w:szCs w:val="22"/>
        </w:rPr>
      </w:pPr>
      <w:r w:rsidRPr="00720B94">
        <w:rPr>
          <w:rFonts w:cs="Arial"/>
          <w:sz w:val="22"/>
          <w:szCs w:val="22"/>
        </w:rPr>
        <w:t xml:space="preserve">Efficacy testing </w:t>
      </w:r>
    </w:p>
    <w:p w14:paraId="10DF084A" w14:textId="77777777" w:rsidR="00D138EC" w:rsidRPr="00720B94" w:rsidRDefault="00D138EC" w:rsidP="0092380E">
      <w:pPr>
        <w:pStyle w:val="ListParagraph"/>
        <w:numPr>
          <w:ilvl w:val="1"/>
          <w:numId w:val="3"/>
        </w:numPr>
        <w:rPr>
          <w:rFonts w:cs="Arial"/>
          <w:sz w:val="22"/>
          <w:szCs w:val="22"/>
        </w:rPr>
      </w:pPr>
      <w:r w:rsidRPr="00720B94">
        <w:rPr>
          <w:rFonts w:cs="Arial"/>
          <w:sz w:val="22"/>
          <w:szCs w:val="22"/>
        </w:rPr>
        <w:t xml:space="preserve">Equipment decontamination (large and small) procedures </w:t>
      </w:r>
    </w:p>
    <w:p w14:paraId="574DCC35" w14:textId="77777777" w:rsidR="00D138EC" w:rsidRPr="00720B94" w:rsidRDefault="00D138EC" w:rsidP="0092380E">
      <w:pPr>
        <w:pStyle w:val="ListParagraph"/>
        <w:numPr>
          <w:ilvl w:val="1"/>
          <w:numId w:val="3"/>
        </w:numPr>
        <w:rPr>
          <w:rFonts w:cs="Arial"/>
          <w:sz w:val="22"/>
          <w:szCs w:val="22"/>
        </w:rPr>
      </w:pPr>
      <w:r w:rsidRPr="00720B94">
        <w:rPr>
          <w:rFonts w:cs="Arial"/>
          <w:sz w:val="22"/>
          <w:szCs w:val="22"/>
        </w:rPr>
        <w:t xml:space="preserve">Animal waste decontamination (cages, waste, bedding, animals) </w:t>
      </w:r>
    </w:p>
    <w:p w14:paraId="5E9FF87A" w14:textId="77777777" w:rsidR="00D138EC" w:rsidRPr="00720B94" w:rsidRDefault="00D138EC" w:rsidP="0092380E">
      <w:pPr>
        <w:pStyle w:val="ListParagraph"/>
        <w:numPr>
          <w:ilvl w:val="1"/>
          <w:numId w:val="3"/>
        </w:numPr>
        <w:rPr>
          <w:rFonts w:cs="Arial"/>
          <w:sz w:val="22"/>
          <w:szCs w:val="22"/>
        </w:rPr>
      </w:pPr>
      <w:r w:rsidRPr="00720B94">
        <w:rPr>
          <w:rFonts w:cs="Arial"/>
          <w:sz w:val="22"/>
          <w:szCs w:val="22"/>
        </w:rPr>
        <w:t xml:space="preserve">Sharps disposal </w:t>
      </w:r>
    </w:p>
    <w:p w14:paraId="3A0C3763" w14:textId="77777777" w:rsidR="00D138EC" w:rsidRPr="00720B94" w:rsidRDefault="00D138EC" w:rsidP="0092380E">
      <w:pPr>
        <w:pStyle w:val="ListParagraph"/>
        <w:numPr>
          <w:ilvl w:val="0"/>
          <w:numId w:val="3"/>
        </w:numPr>
        <w:rPr>
          <w:rFonts w:cs="Arial"/>
          <w:sz w:val="22"/>
          <w:szCs w:val="22"/>
        </w:rPr>
      </w:pPr>
      <w:r w:rsidRPr="00720B94">
        <w:rPr>
          <w:rFonts w:cs="Arial"/>
          <w:sz w:val="22"/>
          <w:szCs w:val="22"/>
        </w:rPr>
        <w:t xml:space="preserve">Emergency Response </w:t>
      </w:r>
    </w:p>
    <w:p w14:paraId="01B5AD5B" w14:textId="77777777" w:rsidR="00D138EC" w:rsidRPr="00720B94" w:rsidRDefault="00D138EC" w:rsidP="0092380E">
      <w:pPr>
        <w:pStyle w:val="ListParagraph"/>
        <w:numPr>
          <w:ilvl w:val="1"/>
          <w:numId w:val="3"/>
        </w:numPr>
        <w:rPr>
          <w:rFonts w:cs="Arial"/>
          <w:sz w:val="22"/>
          <w:szCs w:val="22"/>
        </w:rPr>
      </w:pPr>
      <w:r w:rsidRPr="00720B94">
        <w:rPr>
          <w:rFonts w:cs="Arial"/>
          <w:sz w:val="22"/>
          <w:szCs w:val="22"/>
        </w:rPr>
        <w:t xml:space="preserve">Detail spill protocols (inside and outside of containment) </w:t>
      </w:r>
    </w:p>
    <w:p w14:paraId="31C82E1D" w14:textId="77777777" w:rsidR="00D138EC" w:rsidRPr="00720B94" w:rsidRDefault="00D138EC" w:rsidP="0092380E">
      <w:pPr>
        <w:pStyle w:val="ListParagraph"/>
        <w:numPr>
          <w:ilvl w:val="1"/>
          <w:numId w:val="3"/>
        </w:numPr>
        <w:rPr>
          <w:rFonts w:cs="Arial"/>
          <w:sz w:val="22"/>
          <w:szCs w:val="22"/>
        </w:rPr>
      </w:pPr>
      <w:r w:rsidRPr="00720B94">
        <w:rPr>
          <w:rFonts w:cs="Arial"/>
          <w:sz w:val="22"/>
          <w:szCs w:val="22"/>
        </w:rPr>
        <w:t xml:space="preserve">List emergency contacts and reporting procedures </w:t>
      </w:r>
    </w:p>
    <w:p w14:paraId="679DCEE6" w14:textId="77777777" w:rsidR="00D138EC" w:rsidRPr="00720B94" w:rsidRDefault="00D138EC" w:rsidP="0092380E">
      <w:pPr>
        <w:pStyle w:val="ListParagraph"/>
        <w:numPr>
          <w:ilvl w:val="1"/>
          <w:numId w:val="3"/>
        </w:numPr>
        <w:rPr>
          <w:rFonts w:cs="Arial"/>
          <w:sz w:val="22"/>
          <w:szCs w:val="22"/>
        </w:rPr>
      </w:pPr>
      <w:r w:rsidRPr="00720B94">
        <w:rPr>
          <w:rFonts w:cs="Arial"/>
          <w:sz w:val="22"/>
          <w:szCs w:val="22"/>
        </w:rPr>
        <w:t xml:space="preserve">Exposure procedures </w:t>
      </w:r>
    </w:p>
    <w:p w14:paraId="2C173F86" w14:textId="77777777" w:rsidR="00D138EC" w:rsidRPr="00720B94" w:rsidRDefault="00D138EC" w:rsidP="0092380E">
      <w:pPr>
        <w:pStyle w:val="ListParagraph"/>
        <w:numPr>
          <w:ilvl w:val="1"/>
          <w:numId w:val="3"/>
        </w:numPr>
        <w:rPr>
          <w:rFonts w:cs="Arial"/>
          <w:sz w:val="22"/>
          <w:szCs w:val="22"/>
        </w:rPr>
      </w:pPr>
      <w:r w:rsidRPr="00720B94">
        <w:rPr>
          <w:rFonts w:cs="Arial"/>
          <w:sz w:val="22"/>
          <w:szCs w:val="22"/>
        </w:rPr>
        <w:t xml:space="preserve">Breech of containment </w:t>
      </w:r>
    </w:p>
    <w:p w14:paraId="12ECB5B9" w14:textId="77777777" w:rsidR="00D138EC" w:rsidRPr="00720B94" w:rsidRDefault="00D138EC" w:rsidP="0092380E">
      <w:pPr>
        <w:pStyle w:val="ListParagraph"/>
        <w:numPr>
          <w:ilvl w:val="1"/>
          <w:numId w:val="3"/>
        </w:numPr>
        <w:rPr>
          <w:rFonts w:cs="Arial"/>
          <w:sz w:val="22"/>
          <w:szCs w:val="22"/>
        </w:rPr>
      </w:pPr>
      <w:r w:rsidRPr="00720B94">
        <w:rPr>
          <w:rFonts w:cs="Arial"/>
          <w:sz w:val="22"/>
          <w:szCs w:val="22"/>
        </w:rPr>
        <w:t xml:space="preserve">Health Emergency/Fire/Weather Emergency </w:t>
      </w:r>
    </w:p>
    <w:p w14:paraId="1E043CF8" w14:textId="77777777" w:rsidR="00D138EC" w:rsidRPr="00720B94" w:rsidRDefault="00D138EC" w:rsidP="0092380E">
      <w:pPr>
        <w:pStyle w:val="ListParagraph"/>
        <w:numPr>
          <w:ilvl w:val="1"/>
          <w:numId w:val="3"/>
        </w:numPr>
        <w:rPr>
          <w:rFonts w:cs="Arial"/>
          <w:sz w:val="22"/>
          <w:szCs w:val="22"/>
        </w:rPr>
      </w:pPr>
      <w:r w:rsidRPr="00720B94">
        <w:rPr>
          <w:rFonts w:cs="Arial"/>
          <w:sz w:val="22"/>
          <w:szCs w:val="22"/>
        </w:rPr>
        <w:t xml:space="preserve">Theft/missing agents </w:t>
      </w:r>
    </w:p>
    <w:p w14:paraId="23A3C9DE" w14:textId="77777777" w:rsidR="00D138EC" w:rsidRPr="00720B94" w:rsidRDefault="00D138EC" w:rsidP="0092380E">
      <w:pPr>
        <w:pStyle w:val="ListParagraph"/>
        <w:numPr>
          <w:ilvl w:val="0"/>
          <w:numId w:val="3"/>
        </w:numPr>
        <w:rPr>
          <w:rFonts w:cs="Arial"/>
          <w:sz w:val="22"/>
          <w:szCs w:val="22"/>
        </w:rPr>
      </w:pPr>
      <w:r w:rsidRPr="00720B94">
        <w:rPr>
          <w:rFonts w:cs="Arial"/>
          <w:sz w:val="22"/>
          <w:szCs w:val="22"/>
        </w:rPr>
        <w:t xml:space="preserve">Removal of equipment from the BSL3 area (e.g., maintenance, repair, replacement) </w:t>
      </w:r>
    </w:p>
    <w:p w14:paraId="5D83FFF8" w14:textId="77777777" w:rsidR="00D138EC" w:rsidRPr="00720B94" w:rsidRDefault="00D138EC" w:rsidP="0092380E">
      <w:pPr>
        <w:pStyle w:val="ListParagraph"/>
        <w:numPr>
          <w:ilvl w:val="1"/>
          <w:numId w:val="3"/>
        </w:numPr>
        <w:rPr>
          <w:rFonts w:cs="Arial"/>
          <w:sz w:val="22"/>
          <w:szCs w:val="22"/>
        </w:rPr>
      </w:pPr>
      <w:r w:rsidRPr="00720B94">
        <w:rPr>
          <w:rFonts w:cs="Arial"/>
          <w:sz w:val="22"/>
          <w:szCs w:val="22"/>
        </w:rPr>
        <w:t xml:space="preserve">Detail decontamination procedures and documentation </w:t>
      </w:r>
    </w:p>
    <w:p w14:paraId="2BFFC162" w14:textId="77777777" w:rsidR="00D138EC" w:rsidRPr="00720B94" w:rsidRDefault="00D138EC" w:rsidP="0092380E">
      <w:pPr>
        <w:pStyle w:val="ListParagraph"/>
        <w:numPr>
          <w:ilvl w:val="0"/>
          <w:numId w:val="3"/>
        </w:numPr>
        <w:rPr>
          <w:rFonts w:cs="Arial"/>
          <w:sz w:val="22"/>
          <w:szCs w:val="22"/>
        </w:rPr>
      </w:pPr>
      <w:r w:rsidRPr="00720B94">
        <w:rPr>
          <w:rFonts w:cs="Arial"/>
          <w:sz w:val="22"/>
          <w:szCs w:val="22"/>
        </w:rPr>
        <w:t xml:space="preserve">Material Intake and Removal Procedures </w:t>
      </w:r>
    </w:p>
    <w:p w14:paraId="0DAAA2D9" w14:textId="77777777" w:rsidR="00D138EC" w:rsidRPr="00720B94" w:rsidRDefault="00D138EC" w:rsidP="0092380E">
      <w:pPr>
        <w:pStyle w:val="ListParagraph"/>
        <w:numPr>
          <w:ilvl w:val="1"/>
          <w:numId w:val="3"/>
        </w:numPr>
        <w:rPr>
          <w:rFonts w:cs="Arial"/>
          <w:sz w:val="22"/>
          <w:szCs w:val="22"/>
        </w:rPr>
      </w:pPr>
      <w:r w:rsidRPr="00720B94">
        <w:rPr>
          <w:rFonts w:cs="Arial"/>
          <w:sz w:val="22"/>
          <w:szCs w:val="22"/>
        </w:rPr>
        <w:t xml:space="preserve">Shipping and receiving requirements/training </w:t>
      </w:r>
    </w:p>
    <w:p w14:paraId="663614EE" w14:textId="77777777" w:rsidR="00D138EC" w:rsidRPr="00720B94" w:rsidRDefault="00D138EC" w:rsidP="0092380E">
      <w:pPr>
        <w:pStyle w:val="ListParagraph"/>
        <w:numPr>
          <w:ilvl w:val="1"/>
          <w:numId w:val="3"/>
        </w:numPr>
        <w:rPr>
          <w:rFonts w:cs="Arial"/>
          <w:sz w:val="22"/>
          <w:szCs w:val="22"/>
        </w:rPr>
      </w:pPr>
      <w:r w:rsidRPr="00720B94">
        <w:rPr>
          <w:rFonts w:cs="Arial"/>
          <w:sz w:val="22"/>
          <w:szCs w:val="22"/>
        </w:rPr>
        <w:t xml:space="preserve">Documentation (inactivation, confirmation, validations, assurances) </w:t>
      </w:r>
    </w:p>
    <w:p w14:paraId="43CDCDD8" w14:textId="77777777" w:rsidR="00D138EC" w:rsidRPr="00720B94" w:rsidRDefault="00D138EC" w:rsidP="0092380E">
      <w:pPr>
        <w:pStyle w:val="ListParagraph"/>
        <w:numPr>
          <w:ilvl w:val="1"/>
          <w:numId w:val="3"/>
        </w:numPr>
        <w:rPr>
          <w:rFonts w:cs="Arial"/>
          <w:sz w:val="22"/>
          <w:szCs w:val="22"/>
        </w:rPr>
      </w:pPr>
      <w:r w:rsidRPr="00720B94">
        <w:rPr>
          <w:rFonts w:cs="Arial"/>
          <w:sz w:val="22"/>
          <w:szCs w:val="22"/>
        </w:rPr>
        <w:lastRenderedPageBreak/>
        <w:t xml:space="preserve">Permit requirements </w:t>
      </w:r>
    </w:p>
    <w:p w14:paraId="495EBA13" w14:textId="77777777" w:rsidR="00D138EC" w:rsidRPr="00720B94" w:rsidRDefault="00D138EC" w:rsidP="0092380E">
      <w:pPr>
        <w:pStyle w:val="ListParagraph"/>
        <w:numPr>
          <w:ilvl w:val="0"/>
          <w:numId w:val="3"/>
        </w:numPr>
        <w:rPr>
          <w:rFonts w:cs="Arial"/>
          <w:sz w:val="22"/>
          <w:szCs w:val="22"/>
        </w:rPr>
      </w:pPr>
      <w:r w:rsidRPr="00720B94">
        <w:rPr>
          <w:rFonts w:cs="Arial"/>
          <w:sz w:val="22"/>
          <w:szCs w:val="22"/>
        </w:rPr>
        <w:t xml:space="preserve">Pest Control </w:t>
      </w:r>
    </w:p>
    <w:p w14:paraId="5215463D" w14:textId="77777777" w:rsidR="00D138EC" w:rsidRPr="00720B94" w:rsidRDefault="00D138EC" w:rsidP="0092380E">
      <w:pPr>
        <w:pStyle w:val="ListParagraph"/>
        <w:numPr>
          <w:ilvl w:val="1"/>
          <w:numId w:val="3"/>
        </w:numPr>
        <w:rPr>
          <w:rFonts w:cs="Arial"/>
          <w:sz w:val="22"/>
          <w:szCs w:val="22"/>
        </w:rPr>
      </w:pPr>
      <w:r w:rsidRPr="00720B94">
        <w:rPr>
          <w:rFonts w:cs="Arial"/>
          <w:sz w:val="22"/>
          <w:szCs w:val="22"/>
        </w:rPr>
        <w:t xml:space="preserve">Insect and Pest Control Program written and in place </w:t>
      </w:r>
    </w:p>
    <w:p w14:paraId="15347C1D" w14:textId="77777777" w:rsidR="00D138EC" w:rsidRPr="00720B94" w:rsidRDefault="00D138EC" w:rsidP="0092380E">
      <w:pPr>
        <w:pStyle w:val="ListParagraph"/>
        <w:numPr>
          <w:ilvl w:val="1"/>
          <w:numId w:val="3"/>
        </w:numPr>
        <w:rPr>
          <w:rFonts w:cs="Arial"/>
          <w:sz w:val="22"/>
          <w:szCs w:val="22"/>
        </w:rPr>
      </w:pPr>
      <w:r w:rsidRPr="00720B94">
        <w:rPr>
          <w:rFonts w:cs="Arial"/>
          <w:sz w:val="22"/>
          <w:szCs w:val="22"/>
        </w:rPr>
        <w:t xml:space="preserve">Describe regulation requirements </w:t>
      </w:r>
    </w:p>
    <w:p w14:paraId="198A11DF" w14:textId="77777777" w:rsidR="00D138EC" w:rsidRPr="00720B94" w:rsidRDefault="00D138EC" w:rsidP="0092380E">
      <w:pPr>
        <w:pStyle w:val="ListParagraph"/>
        <w:numPr>
          <w:ilvl w:val="0"/>
          <w:numId w:val="3"/>
        </w:numPr>
        <w:rPr>
          <w:rFonts w:cs="Arial"/>
          <w:sz w:val="22"/>
          <w:szCs w:val="22"/>
        </w:rPr>
      </w:pPr>
      <w:r w:rsidRPr="00720B94">
        <w:rPr>
          <w:rFonts w:cs="Arial"/>
          <w:sz w:val="22"/>
          <w:szCs w:val="22"/>
        </w:rPr>
        <w:t xml:space="preserve">Appendices: </w:t>
      </w:r>
    </w:p>
    <w:p w14:paraId="60DC475D" w14:textId="77777777" w:rsidR="00D138EC" w:rsidRPr="00720B94" w:rsidRDefault="00D138EC" w:rsidP="0092380E">
      <w:pPr>
        <w:pStyle w:val="ListParagraph"/>
        <w:numPr>
          <w:ilvl w:val="1"/>
          <w:numId w:val="3"/>
        </w:numPr>
        <w:rPr>
          <w:rFonts w:cs="Arial"/>
          <w:sz w:val="22"/>
          <w:szCs w:val="22"/>
        </w:rPr>
      </w:pPr>
      <w:r w:rsidRPr="00720B94">
        <w:rPr>
          <w:rFonts w:cs="Arial"/>
          <w:sz w:val="22"/>
          <w:szCs w:val="22"/>
        </w:rPr>
        <w:t xml:space="preserve">Relevant SOPs </w:t>
      </w:r>
    </w:p>
    <w:p w14:paraId="7DAAB331" w14:textId="77777777" w:rsidR="00D138EC" w:rsidRPr="00720B94" w:rsidRDefault="00D138EC" w:rsidP="0092380E">
      <w:pPr>
        <w:pStyle w:val="ListParagraph"/>
        <w:numPr>
          <w:ilvl w:val="1"/>
          <w:numId w:val="3"/>
        </w:numPr>
        <w:rPr>
          <w:rFonts w:cs="Arial"/>
          <w:sz w:val="22"/>
          <w:szCs w:val="22"/>
        </w:rPr>
      </w:pPr>
      <w:r w:rsidRPr="00720B94">
        <w:rPr>
          <w:rFonts w:cs="Arial"/>
          <w:sz w:val="22"/>
          <w:szCs w:val="22"/>
        </w:rPr>
        <w:t xml:space="preserve">Facility map </w:t>
      </w:r>
    </w:p>
    <w:p w14:paraId="18A95B09" w14:textId="77777777" w:rsidR="00D138EC" w:rsidRPr="00720B94" w:rsidRDefault="00D138EC" w:rsidP="0092380E">
      <w:pPr>
        <w:pStyle w:val="ListParagraph"/>
        <w:numPr>
          <w:ilvl w:val="1"/>
          <w:numId w:val="3"/>
        </w:numPr>
        <w:rPr>
          <w:rFonts w:cs="Arial"/>
          <w:sz w:val="22"/>
          <w:szCs w:val="22"/>
        </w:rPr>
      </w:pPr>
      <w:r w:rsidRPr="00720B94">
        <w:rPr>
          <w:rFonts w:cs="Arial"/>
          <w:sz w:val="22"/>
          <w:szCs w:val="22"/>
        </w:rPr>
        <w:t xml:space="preserve">Consent forms </w:t>
      </w:r>
    </w:p>
    <w:p w14:paraId="3416220A" w14:textId="77777777" w:rsidR="00D138EC" w:rsidRPr="00720B94" w:rsidRDefault="00D138EC" w:rsidP="0092380E">
      <w:pPr>
        <w:pStyle w:val="ListParagraph"/>
        <w:numPr>
          <w:ilvl w:val="1"/>
          <w:numId w:val="3"/>
        </w:numPr>
        <w:rPr>
          <w:rFonts w:cs="Arial"/>
          <w:sz w:val="22"/>
          <w:szCs w:val="22"/>
        </w:rPr>
      </w:pPr>
      <w:r w:rsidRPr="00720B94">
        <w:rPr>
          <w:rFonts w:cs="Arial"/>
          <w:sz w:val="22"/>
          <w:szCs w:val="22"/>
        </w:rPr>
        <w:t xml:space="preserve">Training forms </w:t>
      </w:r>
    </w:p>
    <w:p w14:paraId="5024B532" w14:textId="77777777" w:rsidR="00D138EC" w:rsidRPr="00720B94" w:rsidRDefault="00D138EC" w:rsidP="0092380E">
      <w:pPr>
        <w:pStyle w:val="ListParagraph"/>
        <w:numPr>
          <w:ilvl w:val="1"/>
          <w:numId w:val="3"/>
        </w:numPr>
        <w:rPr>
          <w:rFonts w:cs="Arial"/>
          <w:sz w:val="22"/>
          <w:szCs w:val="22"/>
        </w:rPr>
      </w:pPr>
      <w:r w:rsidRPr="00720B94">
        <w:rPr>
          <w:rFonts w:cs="Arial"/>
          <w:sz w:val="22"/>
          <w:szCs w:val="22"/>
        </w:rPr>
        <w:t xml:space="preserve">List of approved users </w:t>
      </w:r>
    </w:p>
    <w:p w14:paraId="2B4817A8" w14:textId="77777777" w:rsidR="00D138EC" w:rsidRPr="00720B94" w:rsidRDefault="00D138EC" w:rsidP="0092380E">
      <w:pPr>
        <w:pStyle w:val="ListParagraph"/>
        <w:numPr>
          <w:ilvl w:val="1"/>
          <w:numId w:val="3"/>
        </w:numPr>
        <w:rPr>
          <w:rFonts w:cs="Arial"/>
          <w:sz w:val="22"/>
          <w:szCs w:val="22"/>
        </w:rPr>
      </w:pPr>
      <w:r w:rsidRPr="00720B94">
        <w:rPr>
          <w:rFonts w:cs="Arial"/>
          <w:sz w:val="22"/>
          <w:szCs w:val="22"/>
        </w:rPr>
        <w:t xml:space="preserve">Entry and exit </w:t>
      </w:r>
    </w:p>
    <w:p w14:paraId="07C04F5E" w14:textId="77777777" w:rsidR="00D138EC" w:rsidRPr="00720B94" w:rsidRDefault="00D138EC" w:rsidP="0092380E">
      <w:pPr>
        <w:pStyle w:val="ListParagraph"/>
        <w:numPr>
          <w:ilvl w:val="1"/>
          <w:numId w:val="3"/>
        </w:numPr>
        <w:rPr>
          <w:rFonts w:cs="Arial"/>
          <w:sz w:val="22"/>
          <w:szCs w:val="22"/>
        </w:rPr>
      </w:pPr>
      <w:r w:rsidRPr="00720B94">
        <w:rPr>
          <w:rFonts w:cs="Arial"/>
          <w:sz w:val="22"/>
          <w:szCs w:val="22"/>
        </w:rPr>
        <w:t xml:space="preserve">PPE donning and doffing </w:t>
      </w:r>
    </w:p>
    <w:p w14:paraId="77B179A0" w14:textId="77777777" w:rsidR="00D138EC" w:rsidRPr="00720B94" w:rsidRDefault="00D138EC" w:rsidP="0092380E">
      <w:pPr>
        <w:pStyle w:val="ListParagraph"/>
        <w:numPr>
          <w:ilvl w:val="1"/>
          <w:numId w:val="3"/>
        </w:numPr>
        <w:rPr>
          <w:rFonts w:cs="Arial"/>
          <w:sz w:val="22"/>
          <w:szCs w:val="22"/>
        </w:rPr>
      </w:pPr>
      <w:r w:rsidRPr="00720B94">
        <w:rPr>
          <w:rFonts w:cs="Arial"/>
          <w:sz w:val="22"/>
          <w:szCs w:val="22"/>
        </w:rPr>
        <w:t xml:space="preserve">Inactivation of infectious materials </w:t>
      </w:r>
    </w:p>
    <w:p w14:paraId="6E93DCF8" w14:textId="77777777" w:rsidR="00D138EC" w:rsidRPr="00720B94" w:rsidRDefault="00D138EC" w:rsidP="0092380E">
      <w:pPr>
        <w:pStyle w:val="ListParagraph"/>
        <w:numPr>
          <w:ilvl w:val="1"/>
          <w:numId w:val="3"/>
        </w:numPr>
        <w:rPr>
          <w:rFonts w:cs="Arial"/>
          <w:sz w:val="22"/>
          <w:szCs w:val="22"/>
        </w:rPr>
      </w:pPr>
      <w:r w:rsidRPr="00720B94">
        <w:rPr>
          <w:rFonts w:cs="Arial"/>
          <w:sz w:val="22"/>
          <w:szCs w:val="22"/>
        </w:rPr>
        <w:t xml:space="preserve">Infectious waste disposal </w:t>
      </w:r>
    </w:p>
    <w:p w14:paraId="3990FB06" w14:textId="77777777" w:rsidR="00D138EC" w:rsidRPr="00720B94" w:rsidRDefault="00D138EC" w:rsidP="0092380E">
      <w:pPr>
        <w:pStyle w:val="ListParagraph"/>
        <w:numPr>
          <w:ilvl w:val="1"/>
          <w:numId w:val="3"/>
        </w:numPr>
        <w:rPr>
          <w:rFonts w:cs="Arial"/>
          <w:sz w:val="22"/>
          <w:szCs w:val="22"/>
        </w:rPr>
      </w:pPr>
      <w:r w:rsidRPr="00720B94">
        <w:rPr>
          <w:rFonts w:cs="Arial"/>
          <w:sz w:val="22"/>
          <w:szCs w:val="22"/>
        </w:rPr>
        <w:t xml:space="preserve">Decontamination of BSC and items in BSC </w:t>
      </w:r>
    </w:p>
    <w:p w14:paraId="09FAE26F" w14:textId="77777777" w:rsidR="00D138EC" w:rsidRPr="00720B94" w:rsidRDefault="00D138EC" w:rsidP="0092380E">
      <w:pPr>
        <w:pStyle w:val="ListParagraph"/>
        <w:numPr>
          <w:ilvl w:val="1"/>
          <w:numId w:val="3"/>
        </w:numPr>
        <w:rPr>
          <w:rFonts w:cs="Arial"/>
          <w:sz w:val="22"/>
          <w:szCs w:val="22"/>
        </w:rPr>
      </w:pPr>
      <w:r w:rsidRPr="00720B94">
        <w:rPr>
          <w:rFonts w:cs="Arial"/>
          <w:sz w:val="22"/>
          <w:szCs w:val="22"/>
        </w:rPr>
        <w:t xml:space="preserve">Trash disposal </w:t>
      </w:r>
    </w:p>
    <w:p w14:paraId="78CD7A36" w14:textId="77777777" w:rsidR="00D138EC" w:rsidRPr="00720B94" w:rsidRDefault="00D138EC" w:rsidP="0092380E">
      <w:pPr>
        <w:pStyle w:val="ListParagraph"/>
        <w:numPr>
          <w:ilvl w:val="1"/>
          <w:numId w:val="3"/>
        </w:numPr>
        <w:rPr>
          <w:rFonts w:cs="Arial"/>
          <w:sz w:val="22"/>
          <w:szCs w:val="22"/>
        </w:rPr>
      </w:pPr>
      <w:r w:rsidRPr="00720B94">
        <w:rPr>
          <w:rFonts w:cs="Arial"/>
          <w:sz w:val="22"/>
          <w:szCs w:val="22"/>
        </w:rPr>
        <w:t xml:space="preserve">Record keeping </w:t>
      </w:r>
    </w:p>
    <w:p w14:paraId="7DD66B2A" w14:textId="77777777" w:rsidR="00D138EC" w:rsidRPr="00720B94" w:rsidRDefault="00D138EC" w:rsidP="0092380E">
      <w:pPr>
        <w:pStyle w:val="ListParagraph"/>
        <w:numPr>
          <w:ilvl w:val="1"/>
          <w:numId w:val="3"/>
        </w:numPr>
        <w:rPr>
          <w:rFonts w:cs="Arial"/>
          <w:sz w:val="22"/>
          <w:szCs w:val="22"/>
        </w:rPr>
      </w:pPr>
      <w:r w:rsidRPr="00720B94">
        <w:rPr>
          <w:rFonts w:cs="Arial"/>
          <w:sz w:val="22"/>
          <w:szCs w:val="22"/>
        </w:rPr>
        <w:t xml:space="preserve">Additional information as needed or per IBC </w:t>
      </w:r>
    </w:p>
    <w:p w14:paraId="25DA2CB6" w14:textId="77777777" w:rsidR="00D138EC" w:rsidRPr="00720B94" w:rsidRDefault="00D138EC" w:rsidP="0092380E">
      <w:pPr>
        <w:pStyle w:val="ListParagraph"/>
        <w:numPr>
          <w:ilvl w:val="1"/>
          <w:numId w:val="3"/>
        </w:numPr>
        <w:rPr>
          <w:rFonts w:cs="Arial"/>
          <w:sz w:val="22"/>
          <w:szCs w:val="22"/>
        </w:rPr>
      </w:pPr>
      <w:r w:rsidRPr="00720B94">
        <w:rPr>
          <w:rFonts w:cs="Arial"/>
          <w:sz w:val="22"/>
          <w:szCs w:val="22"/>
        </w:rPr>
        <w:t>Chart on risk assessment for specific activities (e.g., deviation from typical BMBL practices)</w:t>
      </w:r>
    </w:p>
    <w:p w14:paraId="3574887E" w14:textId="77777777" w:rsidR="00D138EC" w:rsidRPr="00720B94" w:rsidRDefault="00D138EC" w:rsidP="00720B94">
      <w:pPr>
        <w:spacing w:line="276" w:lineRule="auto"/>
        <w:rPr>
          <w:b/>
          <w:bCs/>
          <w:sz w:val="28"/>
          <w:szCs w:val="28"/>
        </w:rPr>
      </w:pPr>
    </w:p>
    <w:p w14:paraId="31A709BB" w14:textId="77777777" w:rsidR="00692F15" w:rsidRPr="00720B94" w:rsidRDefault="00692F15" w:rsidP="00720B94">
      <w:pPr>
        <w:spacing w:line="276" w:lineRule="auto"/>
        <w:rPr>
          <w:b/>
          <w:bCs/>
          <w:sz w:val="28"/>
          <w:szCs w:val="28"/>
        </w:rPr>
      </w:pPr>
    </w:p>
    <w:p w14:paraId="0DAC5FD5" w14:textId="77777777" w:rsidR="00692F15" w:rsidRPr="00720B94" w:rsidRDefault="00692F15" w:rsidP="00720B94">
      <w:pPr>
        <w:spacing w:line="276" w:lineRule="auto"/>
        <w:rPr>
          <w:b/>
          <w:bCs/>
          <w:sz w:val="28"/>
          <w:szCs w:val="28"/>
        </w:rPr>
      </w:pPr>
    </w:p>
    <w:p w14:paraId="78312D29" w14:textId="77777777" w:rsidR="00692F15" w:rsidRPr="00720B94" w:rsidRDefault="00692F15" w:rsidP="00720B94">
      <w:pPr>
        <w:spacing w:line="276" w:lineRule="auto"/>
        <w:rPr>
          <w:b/>
          <w:bCs/>
          <w:sz w:val="28"/>
          <w:szCs w:val="28"/>
        </w:rPr>
      </w:pPr>
    </w:p>
    <w:p w14:paraId="2C2D886C" w14:textId="77777777" w:rsidR="00692F15" w:rsidRPr="00720B94" w:rsidRDefault="00692F15" w:rsidP="00720B94">
      <w:pPr>
        <w:spacing w:line="276" w:lineRule="auto"/>
        <w:rPr>
          <w:b/>
          <w:bCs/>
          <w:sz w:val="28"/>
          <w:szCs w:val="28"/>
        </w:rPr>
      </w:pPr>
    </w:p>
    <w:p w14:paraId="085EDFFC" w14:textId="77777777" w:rsidR="00692F15" w:rsidRPr="00720B94" w:rsidRDefault="00692F15" w:rsidP="00720B94">
      <w:pPr>
        <w:spacing w:line="276" w:lineRule="auto"/>
        <w:rPr>
          <w:b/>
          <w:bCs/>
          <w:sz w:val="28"/>
          <w:szCs w:val="28"/>
        </w:rPr>
      </w:pPr>
    </w:p>
    <w:p w14:paraId="7801EBCA" w14:textId="77777777" w:rsidR="00692F15" w:rsidRPr="00720B94" w:rsidRDefault="00692F15" w:rsidP="00720B94">
      <w:pPr>
        <w:spacing w:line="276" w:lineRule="auto"/>
        <w:rPr>
          <w:b/>
          <w:bCs/>
          <w:sz w:val="28"/>
          <w:szCs w:val="28"/>
        </w:rPr>
      </w:pPr>
    </w:p>
    <w:p w14:paraId="5CCC9AD3" w14:textId="77777777" w:rsidR="00692F15" w:rsidRPr="00720B94" w:rsidRDefault="00692F15" w:rsidP="00720B94">
      <w:pPr>
        <w:spacing w:line="276" w:lineRule="auto"/>
        <w:rPr>
          <w:b/>
          <w:bCs/>
          <w:sz w:val="28"/>
          <w:szCs w:val="28"/>
        </w:rPr>
      </w:pPr>
    </w:p>
    <w:p w14:paraId="66961C9D" w14:textId="77777777" w:rsidR="00692F15" w:rsidRPr="00720B94" w:rsidRDefault="00692F15" w:rsidP="00720B94">
      <w:pPr>
        <w:spacing w:line="276" w:lineRule="auto"/>
        <w:rPr>
          <w:b/>
          <w:bCs/>
          <w:sz w:val="28"/>
          <w:szCs w:val="28"/>
        </w:rPr>
      </w:pPr>
    </w:p>
    <w:p w14:paraId="2243E6FF" w14:textId="77777777" w:rsidR="00692F15" w:rsidRPr="00720B94" w:rsidRDefault="00692F15" w:rsidP="00720B94">
      <w:pPr>
        <w:spacing w:line="276" w:lineRule="auto"/>
        <w:rPr>
          <w:b/>
          <w:bCs/>
          <w:sz w:val="28"/>
          <w:szCs w:val="28"/>
        </w:rPr>
      </w:pPr>
    </w:p>
    <w:p w14:paraId="2D7541B1" w14:textId="77777777" w:rsidR="00692F15" w:rsidRPr="00720B94" w:rsidRDefault="00692F15" w:rsidP="00720B94">
      <w:pPr>
        <w:spacing w:line="276" w:lineRule="auto"/>
        <w:rPr>
          <w:b/>
          <w:bCs/>
          <w:sz w:val="28"/>
          <w:szCs w:val="28"/>
        </w:rPr>
      </w:pPr>
    </w:p>
    <w:p w14:paraId="0F237CFB" w14:textId="77777777" w:rsidR="00692F15" w:rsidRPr="00720B94" w:rsidRDefault="00692F15" w:rsidP="00720B94">
      <w:pPr>
        <w:spacing w:line="276" w:lineRule="auto"/>
        <w:rPr>
          <w:b/>
          <w:bCs/>
          <w:sz w:val="28"/>
          <w:szCs w:val="28"/>
        </w:rPr>
      </w:pPr>
    </w:p>
    <w:p w14:paraId="0F3C7F7B" w14:textId="77777777" w:rsidR="00692F15" w:rsidRPr="00720B94" w:rsidRDefault="00692F15" w:rsidP="00720B94">
      <w:pPr>
        <w:spacing w:line="276" w:lineRule="auto"/>
        <w:rPr>
          <w:b/>
          <w:bCs/>
          <w:sz w:val="28"/>
          <w:szCs w:val="28"/>
        </w:rPr>
      </w:pPr>
    </w:p>
    <w:p w14:paraId="77DEAE79" w14:textId="77777777" w:rsidR="00692F15" w:rsidRPr="00720B94" w:rsidRDefault="00692F15" w:rsidP="00720B94">
      <w:pPr>
        <w:spacing w:line="276" w:lineRule="auto"/>
        <w:rPr>
          <w:b/>
          <w:bCs/>
          <w:sz w:val="28"/>
          <w:szCs w:val="28"/>
        </w:rPr>
      </w:pPr>
    </w:p>
    <w:p w14:paraId="620035DA" w14:textId="77777777" w:rsidR="00692F15" w:rsidRPr="00720B94" w:rsidRDefault="00692F15" w:rsidP="00720B94">
      <w:pPr>
        <w:spacing w:line="276" w:lineRule="auto"/>
        <w:rPr>
          <w:b/>
          <w:bCs/>
          <w:sz w:val="28"/>
          <w:szCs w:val="28"/>
        </w:rPr>
      </w:pPr>
    </w:p>
    <w:p w14:paraId="06CBA8AE" w14:textId="77777777" w:rsidR="00692F15" w:rsidRPr="00720B94" w:rsidRDefault="00692F15" w:rsidP="00720B94">
      <w:pPr>
        <w:spacing w:line="276" w:lineRule="auto"/>
        <w:rPr>
          <w:b/>
          <w:bCs/>
          <w:sz w:val="28"/>
          <w:szCs w:val="28"/>
        </w:rPr>
      </w:pPr>
    </w:p>
    <w:p w14:paraId="3CBF8E3A" w14:textId="56A5BBB3" w:rsidR="00D138EC" w:rsidRPr="00720B94" w:rsidRDefault="00D138EC" w:rsidP="00720B94">
      <w:pPr>
        <w:spacing w:line="276" w:lineRule="auto"/>
        <w:rPr>
          <w:b/>
          <w:bCs/>
          <w:sz w:val="28"/>
          <w:szCs w:val="28"/>
        </w:rPr>
      </w:pPr>
      <w:bookmarkStart w:id="92" w:name="_Toc192509392"/>
      <w:r w:rsidRPr="00720B94">
        <w:rPr>
          <w:rStyle w:val="Heading1Char"/>
          <w:b/>
          <w:bCs/>
        </w:rPr>
        <w:lastRenderedPageBreak/>
        <w:t>Appendix D</w:t>
      </w:r>
      <w:bookmarkEnd w:id="92"/>
      <w:r w:rsidR="00410405" w:rsidRPr="00720B94">
        <w:rPr>
          <w:b/>
          <w:bCs/>
          <w:sz w:val="28"/>
          <w:szCs w:val="28"/>
        </w:rPr>
        <w:t xml:space="preserve"> </w:t>
      </w:r>
      <w:r w:rsidR="00692F15" w:rsidRPr="00720B94">
        <w:rPr>
          <w:rStyle w:val="Heading1Char"/>
        </w:rPr>
        <w:t>– Summary of Safety Practices: Biosafety Level 1-3</w:t>
      </w:r>
      <w:r w:rsidR="00A436E4" w:rsidRPr="00720B94">
        <w:rPr>
          <w:sz w:val="28"/>
          <w:szCs w:val="28"/>
        </w:rPr>
        <w:t xml:space="preserve"> </w:t>
      </w:r>
      <w:r w:rsidR="00A436E4" w:rsidRPr="00720B94">
        <w:rPr>
          <w:i/>
          <w:iCs/>
          <w:sz w:val="28"/>
          <w:szCs w:val="28"/>
        </w:rPr>
        <w:t xml:space="preserve">(see pg. </w:t>
      </w:r>
      <w:r w:rsidR="00AC2088" w:rsidRPr="00720B94">
        <w:rPr>
          <w:i/>
          <w:iCs/>
          <w:sz w:val="28"/>
          <w:szCs w:val="28"/>
        </w:rPr>
        <w:t>20</w:t>
      </w:r>
      <w:r w:rsidR="00A436E4" w:rsidRPr="00720B94">
        <w:rPr>
          <w:i/>
          <w:iCs/>
          <w:sz w:val="28"/>
          <w:szCs w:val="28"/>
        </w:rPr>
        <w:t>)</w:t>
      </w:r>
    </w:p>
    <w:tbl>
      <w:tblPr>
        <w:tblStyle w:val="TableGrid"/>
        <w:tblW w:w="0" w:type="auto"/>
        <w:tblLook w:val="04A0" w:firstRow="1" w:lastRow="0" w:firstColumn="1" w:lastColumn="0" w:noHBand="0" w:noVBand="1"/>
      </w:tblPr>
      <w:tblGrid>
        <w:gridCol w:w="6027"/>
        <w:gridCol w:w="1146"/>
        <w:gridCol w:w="1146"/>
        <w:gridCol w:w="1031"/>
      </w:tblGrid>
      <w:tr w:rsidR="00717676" w:rsidRPr="00720B94" w14:paraId="10B68A47" w14:textId="77777777" w:rsidTr="00AA2645">
        <w:tc>
          <w:tcPr>
            <w:tcW w:w="6027" w:type="dxa"/>
          </w:tcPr>
          <w:p w14:paraId="3F5F0A70" w14:textId="22F98F1E" w:rsidR="00717676" w:rsidRPr="00717676" w:rsidRDefault="00717676" w:rsidP="00717676">
            <w:pPr>
              <w:rPr>
                <w:b/>
                <w:bCs/>
              </w:rPr>
            </w:pPr>
            <w:r w:rsidRPr="00717676">
              <w:rPr>
                <w:b/>
                <w:bCs/>
              </w:rPr>
              <w:t>Before Entering</w:t>
            </w:r>
          </w:p>
        </w:tc>
        <w:tc>
          <w:tcPr>
            <w:tcW w:w="1146" w:type="dxa"/>
          </w:tcPr>
          <w:p w14:paraId="3C20505E" w14:textId="5EC51FBB" w:rsidR="00717676" w:rsidRPr="00720B94" w:rsidRDefault="00717676" w:rsidP="00717676">
            <w:pPr>
              <w:jc w:val="center"/>
            </w:pPr>
            <w:r w:rsidRPr="00720B94">
              <w:rPr>
                <w:b/>
                <w:bCs/>
              </w:rPr>
              <w:t>BSL 1</w:t>
            </w:r>
          </w:p>
        </w:tc>
        <w:tc>
          <w:tcPr>
            <w:tcW w:w="1146" w:type="dxa"/>
          </w:tcPr>
          <w:p w14:paraId="3EB7EC48" w14:textId="1FBF69D3" w:rsidR="00717676" w:rsidRPr="00720B94" w:rsidRDefault="00717676" w:rsidP="00717676">
            <w:pPr>
              <w:jc w:val="center"/>
            </w:pPr>
            <w:r w:rsidRPr="00720B94">
              <w:rPr>
                <w:b/>
                <w:bCs/>
              </w:rPr>
              <w:t>BSL 2</w:t>
            </w:r>
          </w:p>
        </w:tc>
        <w:tc>
          <w:tcPr>
            <w:tcW w:w="1031" w:type="dxa"/>
          </w:tcPr>
          <w:p w14:paraId="30F06099" w14:textId="22EC8140" w:rsidR="00717676" w:rsidRPr="00720B94" w:rsidRDefault="00717676" w:rsidP="00717676">
            <w:pPr>
              <w:jc w:val="center"/>
            </w:pPr>
            <w:r w:rsidRPr="00720B94">
              <w:rPr>
                <w:b/>
                <w:bCs/>
              </w:rPr>
              <w:t>BSL 3</w:t>
            </w:r>
          </w:p>
        </w:tc>
      </w:tr>
      <w:tr w:rsidR="00717676" w:rsidRPr="00720B94" w14:paraId="3FB0C214" w14:textId="77777777" w:rsidTr="004D3D3C">
        <w:tc>
          <w:tcPr>
            <w:tcW w:w="6027" w:type="dxa"/>
          </w:tcPr>
          <w:p w14:paraId="769324A9" w14:textId="27F3C89E" w:rsidR="00717676" w:rsidRPr="00720B94" w:rsidRDefault="00717676" w:rsidP="00717676">
            <w:r w:rsidRPr="00720B94">
              <w:t xml:space="preserve">Access to the laboratory is controlled. </w:t>
            </w:r>
          </w:p>
        </w:tc>
        <w:tc>
          <w:tcPr>
            <w:tcW w:w="1146" w:type="dxa"/>
            <w:vAlign w:val="center"/>
          </w:tcPr>
          <w:p w14:paraId="05F26CFF" w14:textId="4E640B7F" w:rsidR="00717676" w:rsidRPr="00720B94" w:rsidRDefault="00717676" w:rsidP="00717676">
            <w:pPr>
              <w:jc w:val="center"/>
            </w:pPr>
            <w:r w:rsidRPr="00720B94">
              <w:t>Yes</w:t>
            </w:r>
          </w:p>
        </w:tc>
        <w:tc>
          <w:tcPr>
            <w:tcW w:w="1146" w:type="dxa"/>
            <w:vAlign w:val="center"/>
          </w:tcPr>
          <w:p w14:paraId="404C2105" w14:textId="6F19E685" w:rsidR="00717676" w:rsidRPr="00720B94" w:rsidRDefault="00717676" w:rsidP="00717676">
            <w:pPr>
              <w:jc w:val="center"/>
            </w:pPr>
            <w:r w:rsidRPr="00720B94">
              <w:t>Yes</w:t>
            </w:r>
          </w:p>
        </w:tc>
        <w:tc>
          <w:tcPr>
            <w:tcW w:w="1031" w:type="dxa"/>
            <w:vAlign w:val="center"/>
          </w:tcPr>
          <w:p w14:paraId="439B8100" w14:textId="4FAD5EEC" w:rsidR="00717676" w:rsidRPr="00720B94" w:rsidRDefault="00717676" w:rsidP="00717676">
            <w:pPr>
              <w:jc w:val="center"/>
            </w:pPr>
            <w:r w:rsidRPr="00720B94">
              <w:t>Yes</w:t>
            </w:r>
          </w:p>
        </w:tc>
      </w:tr>
      <w:tr w:rsidR="00717676" w:rsidRPr="00720B94" w14:paraId="2D6C9963" w14:textId="77777777" w:rsidTr="004D3D3C">
        <w:tc>
          <w:tcPr>
            <w:tcW w:w="6027" w:type="dxa"/>
          </w:tcPr>
          <w:p w14:paraId="45E37E37" w14:textId="77777777" w:rsidR="00717676" w:rsidRPr="00720B94" w:rsidRDefault="00717676" w:rsidP="00717676">
            <w:r w:rsidRPr="00720B94">
              <w:t>Doors are kept closed when not entering or exiting.</w:t>
            </w:r>
          </w:p>
        </w:tc>
        <w:tc>
          <w:tcPr>
            <w:tcW w:w="1146" w:type="dxa"/>
            <w:vAlign w:val="center"/>
          </w:tcPr>
          <w:p w14:paraId="436DD534" w14:textId="77777777" w:rsidR="00717676" w:rsidRPr="00720B94" w:rsidRDefault="00717676" w:rsidP="00717676">
            <w:pPr>
              <w:jc w:val="center"/>
            </w:pPr>
            <w:r w:rsidRPr="00720B94">
              <w:t>Yes</w:t>
            </w:r>
          </w:p>
        </w:tc>
        <w:tc>
          <w:tcPr>
            <w:tcW w:w="1146" w:type="dxa"/>
            <w:vAlign w:val="center"/>
          </w:tcPr>
          <w:p w14:paraId="679901D5" w14:textId="77777777" w:rsidR="00717676" w:rsidRPr="00720B94" w:rsidRDefault="00717676" w:rsidP="00717676">
            <w:pPr>
              <w:jc w:val="center"/>
            </w:pPr>
            <w:r w:rsidRPr="00720B94">
              <w:t>Yes</w:t>
            </w:r>
          </w:p>
        </w:tc>
        <w:tc>
          <w:tcPr>
            <w:tcW w:w="1031" w:type="dxa"/>
            <w:vAlign w:val="center"/>
          </w:tcPr>
          <w:p w14:paraId="73E82F54" w14:textId="77777777" w:rsidR="00717676" w:rsidRPr="00720B94" w:rsidRDefault="00717676" w:rsidP="00717676">
            <w:pPr>
              <w:jc w:val="center"/>
            </w:pPr>
            <w:r w:rsidRPr="00720B94">
              <w:t>Yes</w:t>
            </w:r>
          </w:p>
        </w:tc>
      </w:tr>
      <w:tr w:rsidR="00717676" w:rsidRPr="00720B94" w14:paraId="2A34121D" w14:textId="77777777" w:rsidTr="004D3D3C">
        <w:tc>
          <w:tcPr>
            <w:tcW w:w="6027" w:type="dxa"/>
          </w:tcPr>
          <w:p w14:paraId="3A4525C9" w14:textId="77777777" w:rsidR="00717676" w:rsidRPr="00720B94" w:rsidRDefault="00717676" w:rsidP="00717676">
            <w:r w:rsidRPr="00720B94">
              <w:t>Laboratory Emergency Information door card must be posted at the entrance to the laboratory. Reviewed and dated annually for accuracy.</w:t>
            </w:r>
          </w:p>
        </w:tc>
        <w:tc>
          <w:tcPr>
            <w:tcW w:w="1146" w:type="dxa"/>
            <w:vAlign w:val="center"/>
          </w:tcPr>
          <w:p w14:paraId="09C75A0D" w14:textId="77777777" w:rsidR="00717676" w:rsidRPr="00720B94" w:rsidRDefault="00717676" w:rsidP="00717676">
            <w:pPr>
              <w:jc w:val="center"/>
            </w:pPr>
            <w:r w:rsidRPr="00720B94">
              <w:t>Yes</w:t>
            </w:r>
          </w:p>
        </w:tc>
        <w:tc>
          <w:tcPr>
            <w:tcW w:w="1146" w:type="dxa"/>
            <w:vAlign w:val="center"/>
          </w:tcPr>
          <w:p w14:paraId="3FD669E2" w14:textId="77777777" w:rsidR="00717676" w:rsidRPr="00720B94" w:rsidRDefault="00717676" w:rsidP="00717676">
            <w:pPr>
              <w:jc w:val="center"/>
            </w:pPr>
            <w:r w:rsidRPr="00720B94">
              <w:t>Yes</w:t>
            </w:r>
          </w:p>
        </w:tc>
        <w:tc>
          <w:tcPr>
            <w:tcW w:w="1031" w:type="dxa"/>
            <w:vAlign w:val="center"/>
          </w:tcPr>
          <w:p w14:paraId="1FA8CFAE" w14:textId="77777777" w:rsidR="00717676" w:rsidRPr="00720B94" w:rsidRDefault="00717676" w:rsidP="00717676">
            <w:pPr>
              <w:jc w:val="center"/>
            </w:pPr>
            <w:r w:rsidRPr="00720B94">
              <w:t>Yes</w:t>
            </w:r>
          </w:p>
        </w:tc>
      </w:tr>
      <w:tr w:rsidR="00717676" w:rsidRPr="00720B94" w14:paraId="32B6502F" w14:textId="77777777" w:rsidTr="004D3D3C">
        <w:tc>
          <w:tcPr>
            <w:tcW w:w="6027" w:type="dxa"/>
          </w:tcPr>
          <w:p w14:paraId="2AA7BC73" w14:textId="77777777" w:rsidR="00717676" w:rsidRPr="00720B94" w:rsidRDefault="00717676" w:rsidP="00717676">
            <w:r w:rsidRPr="00720B94">
              <w:t>A sign incorporating the universal biohazard symbol must be posted at the entrance to the laboratory. The sign includes the biohazards in use and the name and phone number of the laboratory supervisor or other responsible personnel. Reviewed and dated annually for accuracy.</w:t>
            </w:r>
          </w:p>
        </w:tc>
        <w:tc>
          <w:tcPr>
            <w:tcW w:w="1146" w:type="dxa"/>
            <w:vAlign w:val="center"/>
          </w:tcPr>
          <w:p w14:paraId="7FF5606A" w14:textId="77777777" w:rsidR="00717676" w:rsidRPr="00720B94" w:rsidRDefault="00717676" w:rsidP="00717676">
            <w:pPr>
              <w:jc w:val="center"/>
            </w:pPr>
            <w:r w:rsidRPr="00720B94">
              <w:t>No</w:t>
            </w:r>
          </w:p>
        </w:tc>
        <w:tc>
          <w:tcPr>
            <w:tcW w:w="1146" w:type="dxa"/>
            <w:vAlign w:val="center"/>
          </w:tcPr>
          <w:p w14:paraId="0380BE25" w14:textId="77777777" w:rsidR="00717676" w:rsidRPr="00720B94" w:rsidRDefault="00717676" w:rsidP="00717676">
            <w:pPr>
              <w:jc w:val="center"/>
            </w:pPr>
            <w:r w:rsidRPr="00720B94">
              <w:t>Yes</w:t>
            </w:r>
          </w:p>
        </w:tc>
        <w:tc>
          <w:tcPr>
            <w:tcW w:w="1031" w:type="dxa"/>
            <w:vAlign w:val="center"/>
          </w:tcPr>
          <w:p w14:paraId="7D0B39D3" w14:textId="77777777" w:rsidR="00717676" w:rsidRPr="00720B94" w:rsidRDefault="00717676" w:rsidP="00717676">
            <w:pPr>
              <w:jc w:val="center"/>
            </w:pPr>
            <w:r w:rsidRPr="00720B94">
              <w:t>Yes</w:t>
            </w:r>
          </w:p>
        </w:tc>
      </w:tr>
      <w:tr w:rsidR="00717676" w:rsidRPr="00720B94" w14:paraId="01482AF3" w14:textId="77777777" w:rsidTr="004D3D3C">
        <w:tc>
          <w:tcPr>
            <w:tcW w:w="6027" w:type="dxa"/>
          </w:tcPr>
          <w:p w14:paraId="172EF0B8" w14:textId="77777777" w:rsidR="00717676" w:rsidRPr="00720B94" w:rsidRDefault="00717676" w:rsidP="00717676">
            <w:r w:rsidRPr="00720B94">
              <w:t>Hazards communication: All persons, including visitors and service personnel, entering the lab must be advised of the potential hazards and meet specific entry/exit requirements, such as vaccinations, TB testing or donning and doffing of PPE.</w:t>
            </w:r>
          </w:p>
        </w:tc>
        <w:tc>
          <w:tcPr>
            <w:tcW w:w="1146" w:type="dxa"/>
            <w:vAlign w:val="center"/>
          </w:tcPr>
          <w:p w14:paraId="7ED58DEB" w14:textId="77777777" w:rsidR="00717676" w:rsidRPr="00720B94" w:rsidRDefault="00717676" w:rsidP="00717676">
            <w:pPr>
              <w:jc w:val="center"/>
            </w:pPr>
            <w:r w:rsidRPr="00720B94">
              <w:t>Desirable</w:t>
            </w:r>
          </w:p>
        </w:tc>
        <w:tc>
          <w:tcPr>
            <w:tcW w:w="1146" w:type="dxa"/>
            <w:vAlign w:val="center"/>
          </w:tcPr>
          <w:p w14:paraId="61B270B9" w14:textId="77777777" w:rsidR="00717676" w:rsidRPr="00720B94" w:rsidRDefault="00717676" w:rsidP="00717676">
            <w:pPr>
              <w:jc w:val="center"/>
            </w:pPr>
            <w:r w:rsidRPr="00720B94">
              <w:t>Yes</w:t>
            </w:r>
          </w:p>
        </w:tc>
        <w:tc>
          <w:tcPr>
            <w:tcW w:w="1031" w:type="dxa"/>
            <w:vAlign w:val="center"/>
          </w:tcPr>
          <w:p w14:paraId="159B48E5" w14:textId="77777777" w:rsidR="00717676" w:rsidRPr="00720B94" w:rsidRDefault="00717676" w:rsidP="00717676">
            <w:pPr>
              <w:jc w:val="center"/>
            </w:pPr>
            <w:r w:rsidRPr="00720B94">
              <w:t>Yes</w:t>
            </w:r>
          </w:p>
        </w:tc>
      </w:tr>
      <w:tr w:rsidR="00717676" w:rsidRPr="00720B94" w14:paraId="3C1A29BD" w14:textId="77777777" w:rsidTr="004D3D3C">
        <w:tc>
          <w:tcPr>
            <w:tcW w:w="6027" w:type="dxa"/>
          </w:tcPr>
          <w:p w14:paraId="48A450C4" w14:textId="77777777" w:rsidR="00717676" w:rsidRPr="00720B94" w:rsidRDefault="00717676" w:rsidP="00717676">
            <w:r w:rsidRPr="00720B94">
              <w:t>The laboratory personnel must receive lab specific training regarding hazards, risk mitigation, emergency procedures, and occupational health considerations. Training must be documented. The IBC recommends refresher training at least once per year.</w:t>
            </w:r>
          </w:p>
        </w:tc>
        <w:tc>
          <w:tcPr>
            <w:tcW w:w="1146" w:type="dxa"/>
            <w:vAlign w:val="center"/>
          </w:tcPr>
          <w:p w14:paraId="62BB5AA6" w14:textId="77777777" w:rsidR="00717676" w:rsidRPr="00720B94" w:rsidRDefault="00717676" w:rsidP="00717676">
            <w:pPr>
              <w:jc w:val="center"/>
            </w:pPr>
            <w:r w:rsidRPr="00720B94">
              <w:t>Yes</w:t>
            </w:r>
          </w:p>
        </w:tc>
        <w:tc>
          <w:tcPr>
            <w:tcW w:w="1146" w:type="dxa"/>
            <w:vAlign w:val="center"/>
          </w:tcPr>
          <w:p w14:paraId="489189BD" w14:textId="77777777" w:rsidR="00717676" w:rsidRPr="00720B94" w:rsidRDefault="00717676" w:rsidP="00717676">
            <w:pPr>
              <w:jc w:val="center"/>
            </w:pPr>
            <w:r w:rsidRPr="00720B94">
              <w:t>Yes</w:t>
            </w:r>
          </w:p>
        </w:tc>
        <w:tc>
          <w:tcPr>
            <w:tcW w:w="1031" w:type="dxa"/>
            <w:vAlign w:val="center"/>
          </w:tcPr>
          <w:p w14:paraId="125E0608" w14:textId="77777777" w:rsidR="00717676" w:rsidRPr="00720B94" w:rsidRDefault="00717676" w:rsidP="00717676">
            <w:pPr>
              <w:jc w:val="center"/>
            </w:pPr>
            <w:r w:rsidRPr="00720B94">
              <w:t>Yes</w:t>
            </w:r>
          </w:p>
        </w:tc>
      </w:tr>
      <w:tr w:rsidR="00717676" w:rsidRPr="00720B94" w14:paraId="7EED4810" w14:textId="77777777" w:rsidTr="004D3D3C">
        <w:tc>
          <w:tcPr>
            <w:tcW w:w="6027" w:type="dxa"/>
          </w:tcPr>
          <w:p w14:paraId="52C0006A" w14:textId="77777777" w:rsidR="00717676" w:rsidRPr="00720B94" w:rsidRDefault="00717676" w:rsidP="00717676">
            <w:r w:rsidRPr="00720B94">
              <w:t>Laboratory personnel must be provided medical surveillance, as appropriate, and offered available immunizations for agents handled or potentially present in the laboratory.</w:t>
            </w:r>
          </w:p>
        </w:tc>
        <w:tc>
          <w:tcPr>
            <w:tcW w:w="1146" w:type="dxa"/>
            <w:vAlign w:val="center"/>
          </w:tcPr>
          <w:p w14:paraId="2ADCCAA9" w14:textId="77777777" w:rsidR="00717676" w:rsidRPr="00720B94" w:rsidRDefault="00717676" w:rsidP="00717676">
            <w:pPr>
              <w:jc w:val="center"/>
            </w:pPr>
            <w:r w:rsidRPr="00720B94">
              <w:t>No</w:t>
            </w:r>
          </w:p>
        </w:tc>
        <w:tc>
          <w:tcPr>
            <w:tcW w:w="1146" w:type="dxa"/>
            <w:vAlign w:val="center"/>
          </w:tcPr>
          <w:p w14:paraId="73577B4D" w14:textId="77777777" w:rsidR="00717676" w:rsidRPr="00720B94" w:rsidRDefault="00717676" w:rsidP="00717676">
            <w:pPr>
              <w:jc w:val="center"/>
            </w:pPr>
            <w:r w:rsidRPr="00720B94">
              <w:t>Yes</w:t>
            </w:r>
          </w:p>
        </w:tc>
        <w:tc>
          <w:tcPr>
            <w:tcW w:w="1031" w:type="dxa"/>
            <w:vAlign w:val="center"/>
          </w:tcPr>
          <w:p w14:paraId="7E2224DE" w14:textId="77777777" w:rsidR="00717676" w:rsidRPr="00720B94" w:rsidRDefault="00717676" w:rsidP="00717676">
            <w:pPr>
              <w:jc w:val="center"/>
            </w:pPr>
            <w:r w:rsidRPr="00720B94">
              <w:t>Yes</w:t>
            </w:r>
          </w:p>
        </w:tc>
      </w:tr>
      <w:tr w:rsidR="00717676" w:rsidRPr="00720B94" w14:paraId="093C5540" w14:textId="77777777" w:rsidTr="004D3D3C">
        <w:tc>
          <w:tcPr>
            <w:tcW w:w="6027" w:type="dxa"/>
          </w:tcPr>
          <w:p w14:paraId="6FF291E9" w14:textId="77777777" w:rsidR="00717676" w:rsidRPr="00720B94" w:rsidRDefault="00717676" w:rsidP="00717676">
            <w:r w:rsidRPr="00720B94">
              <w:t>The laboratory supervisor, PI, or designee must ensure that laboratory personnel demonstrate proficiency in standard and special microbiological and/or laboratory techniques/practices before working with all materials/agents.</w:t>
            </w:r>
          </w:p>
        </w:tc>
        <w:tc>
          <w:tcPr>
            <w:tcW w:w="1146" w:type="dxa"/>
            <w:vAlign w:val="center"/>
          </w:tcPr>
          <w:p w14:paraId="47D47A7A" w14:textId="77777777" w:rsidR="00717676" w:rsidRPr="00720B94" w:rsidRDefault="00717676" w:rsidP="00717676">
            <w:pPr>
              <w:jc w:val="center"/>
            </w:pPr>
            <w:r w:rsidRPr="00720B94">
              <w:t>Desirable</w:t>
            </w:r>
          </w:p>
        </w:tc>
        <w:tc>
          <w:tcPr>
            <w:tcW w:w="1146" w:type="dxa"/>
            <w:vAlign w:val="center"/>
          </w:tcPr>
          <w:p w14:paraId="3D6B6446" w14:textId="77777777" w:rsidR="00717676" w:rsidRPr="00720B94" w:rsidRDefault="00717676" w:rsidP="00717676">
            <w:pPr>
              <w:jc w:val="center"/>
            </w:pPr>
            <w:r w:rsidRPr="00720B94">
              <w:t>Yes</w:t>
            </w:r>
          </w:p>
        </w:tc>
        <w:tc>
          <w:tcPr>
            <w:tcW w:w="1031" w:type="dxa"/>
            <w:vAlign w:val="center"/>
          </w:tcPr>
          <w:p w14:paraId="5BF2B5FB" w14:textId="77777777" w:rsidR="00717676" w:rsidRPr="00720B94" w:rsidRDefault="00717676" w:rsidP="00717676">
            <w:pPr>
              <w:jc w:val="center"/>
            </w:pPr>
            <w:r w:rsidRPr="00720B94">
              <w:t>Yes</w:t>
            </w:r>
          </w:p>
        </w:tc>
      </w:tr>
      <w:tr w:rsidR="00717676" w:rsidRPr="00720B94" w14:paraId="0923E7D1" w14:textId="77777777" w:rsidTr="004D3D3C">
        <w:tc>
          <w:tcPr>
            <w:tcW w:w="6027" w:type="dxa"/>
          </w:tcPr>
          <w:p w14:paraId="6A9F1D6A" w14:textId="77777777" w:rsidR="00717676" w:rsidRPr="00720B94" w:rsidRDefault="00717676" w:rsidP="00717676">
            <w:r w:rsidRPr="00720B94">
              <w:t>Animals and plants not associated with the work being performed must not be permitted in the laboratory.</w:t>
            </w:r>
          </w:p>
        </w:tc>
        <w:tc>
          <w:tcPr>
            <w:tcW w:w="1146" w:type="dxa"/>
            <w:vAlign w:val="center"/>
          </w:tcPr>
          <w:p w14:paraId="753848F1" w14:textId="77777777" w:rsidR="00717676" w:rsidRPr="00720B94" w:rsidRDefault="00717676" w:rsidP="00717676">
            <w:pPr>
              <w:jc w:val="center"/>
            </w:pPr>
            <w:r w:rsidRPr="00720B94">
              <w:t>Desirable</w:t>
            </w:r>
          </w:p>
        </w:tc>
        <w:tc>
          <w:tcPr>
            <w:tcW w:w="1146" w:type="dxa"/>
            <w:vAlign w:val="center"/>
          </w:tcPr>
          <w:p w14:paraId="0B5332CD" w14:textId="77777777" w:rsidR="00717676" w:rsidRPr="00720B94" w:rsidRDefault="00717676" w:rsidP="00717676">
            <w:pPr>
              <w:jc w:val="center"/>
            </w:pPr>
            <w:r w:rsidRPr="00720B94">
              <w:t>Yes</w:t>
            </w:r>
          </w:p>
        </w:tc>
        <w:tc>
          <w:tcPr>
            <w:tcW w:w="1031" w:type="dxa"/>
            <w:vAlign w:val="center"/>
          </w:tcPr>
          <w:p w14:paraId="11D08FA8" w14:textId="77777777" w:rsidR="00717676" w:rsidRPr="00720B94" w:rsidRDefault="00717676" w:rsidP="00717676">
            <w:pPr>
              <w:jc w:val="center"/>
            </w:pPr>
            <w:r w:rsidRPr="00720B94">
              <w:t>Yes</w:t>
            </w:r>
          </w:p>
        </w:tc>
      </w:tr>
      <w:tr w:rsidR="00717676" w:rsidRPr="00720B94" w14:paraId="0B771028" w14:textId="77777777" w:rsidTr="004D3D3C">
        <w:tc>
          <w:tcPr>
            <w:tcW w:w="6027" w:type="dxa"/>
          </w:tcPr>
          <w:p w14:paraId="4180F0DA" w14:textId="77777777" w:rsidR="00717676" w:rsidRPr="00720B94" w:rsidRDefault="00717676" w:rsidP="00717676">
            <w:r w:rsidRPr="00720B94">
              <w:t>Practices to reduce cardboard are in place.</w:t>
            </w:r>
          </w:p>
        </w:tc>
        <w:tc>
          <w:tcPr>
            <w:tcW w:w="1146" w:type="dxa"/>
            <w:vAlign w:val="center"/>
          </w:tcPr>
          <w:p w14:paraId="0AA4B051" w14:textId="77777777" w:rsidR="00717676" w:rsidRPr="00720B94" w:rsidRDefault="00717676" w:rsidP="00717676">
            <w:pPr>
              <w:jc w:val="center"/>
            </w:pPr>
            <w:r w:rsidRPr="00720B94">
              <w:t>Desirable</w:t>
            </w:r>
          </w:p>
        </w:tc>
        <w:tc>
          <w:tcPr>
            <w:tcW w:w="1146" w:type="dxa"/>
            <w:vAlign w:val="center"/>
          </w:tcPr>
          <w:p w14:paraId="6B0CD416" w14:textId="77777777" w:rsidR="00717676" w:rsidRPr="00720B94" w:rsidRDefault="00717676" w:rsidP="00717676">
            <w:pPr>
              <w:jc w:val="center"/>
            </w:pPr>
            <w:r w:rsidRPr="00720B94">
              <w:t>Desirable</w:t>
            </w:r>
          </w:p>
        </w:tc>
        <w:tc>
          <w:tcPr>
            <w:tcW w:w="1031" w:type="dxa"/>
            <w:vAlign w:val="center"/>
          </w:tcPr>
          <w:p w14:paraId="663146D4" w14:textId="77777777" w:rsidR="00717676" w:rsidRPr="00720B94" w:rsidRDefault="00717676" w:rsidP="00717676">
            <w:pPr>
              <w:jc w:val="center"/>
            </w:pPr>
            <w:r w:rsidRPr="00720B94">
              <w:t>Yes</w:t>
            </w:r>
          </w:p>
        </w:tc>
      </w:tr>
      <w:tr w:rsidR="00717676" w:rsidRPr="00720B94" w14:paraId="1FB79987" w14:textId="77777777" w:rsidTr="004D3D3C">
        <w:tc>
          <w:tcPr>
            <w:tcW w:w="6027" w:type="dxa"/>
          </w:tcPr>
          <w:p w14:paraId="71B3798A" w14:textId="77777777" w:rsidR="00717676" w:rsidRPr="00720B94" w:rsidRDefault="00717676" w:rsidP="00717676">
            <w:r w:rsidRPr="00720B94">
              <w:t>Practices to reduce pests, mold, fire hazards are in place (e.g., reduce cardboard, reduce clutter).</w:t>
            </w:r>
          </w:p>
        </w:tc>
        <w:tc>
          <w:tcPr>
            <w:tcW w:w="1146" w:type="dxa"/>
            <w:vAlign w:val="center"/>
          </w:tcPr>
          <w:p w14:paraId="0D4A8704" w14:textId="77777777" w:rsidR="00717676" w:rsidRPr="00720B94" w:rsidRDefault="00717676" w:rsidP="00717676">
            <w:pPr>
              <w:jc w:val="center"/>
            </w:pPr>
            <w:r w:rsidRPr="00720B94">
              <w:t>Desirable</w:t>
            </w:r>
          </w:p>
        </w:tc>
        <w:tc>
          <w:tcPr>
            <w:tcW w:w="1146" w:type="dxa"/>
            <w:vAlign w:val="center"/>
          </w:tcPr>
          <w:p w14:paraId="7F2A5CDF" w14:textId="77777777" w:rsidR="00717676" w:rsidRPr="00720B94" w:rsidRDefault="00717676" w:rsidP="00717676">
            <w:pPr>
              <w:jc w:val="center"/>
            </w:pPr>
            <w:r w:rsidRPr="00720B94">
              <w:t>Desirable</w:t>
            </w:r>
          </w:p>
        </w:tc>
        <w:tc>
          <w:tcPr>
            <w:tcW w:w="1031" w:type="dxa"/>
            <w:vAlign w:val="center"/>
          </w:tcPr>
          <w:p w14:paraId="1739CE9A" w14:textId="77777777" w:rsidR="00717676" w:rsidRPr="00720B94" w:rsidRDefault="00717676" w:rsidP="00717676">
            <w:pPr>
              <w:jc w:val="center"/>
            </w:pPr>
            <w:r w:rsidRPr="00720B94">
              <w:t>Yes</w:t>
            </w:r>
          </w:p>
        </w:tc>
      </w:tr>
      <w:tr w:rsidR="00717676" w:rsidRPr="00720B94" w14:paraId="48966ADB" w14:textId="77777777" w:rsidTr="004D3D3C">
        <w:tc>
          <w:tcPr>
            <w:tcW w:w="6027" w:type="dxa"/>
          </w:tcPr>
          <w:p w14:paraId="618990A1" w14:textId="77777777" w:rsidR="00717676" w:rsidRPr="00720B94" w:rsidRDefault="00717676" w:rsidP="00717676">
            <w:r w:rsidRPr="00720B94">
              <w:t>All personnel will don minimal entry PPE as listed in the biosafety protocol prior to entry.</w:t>
            </w:r>
          </w:p>
        </w:tc>
        <w:tc>
          <w:tcPr>
            <w:tcW w:w="1146" w:type="dxa"/>
            <w:vAlign w:val="center"/>
          </w:tcPr>
          <w:p w14:paraId="757E605A" w14:textId="77777777" w:rsidR="00717676" w:rsidRPr="00720B94" w:rsidRDefault="00717676" w:rsidP="00717676">
            <w:pPr>
              <w:jc w:val="center"/>
            </w:pPr>
            <w:r w:rsidRPr="00720B94">
              <w:t>Yes</w:t>
            </w:r>
          </w:p>
        </w:tc>
        <w:tc>
          <w:tcPr>
            <w:tcW w:w="1146" w:type="dxa"/>
            <w:vAlign w:val="center"/>
          </w:tcPr>
          <w:p w14:paraId="0C43642B" w14:textId="77777777" w:rsidR="00717676" w:rsidRPr="00720B94" w:rsidRDefault="00717676" w:rsidP="00717676">
            <w:pPr>
              <w:jc w:val="center"/>
            </w:pPr>
            <w:r w:rsidRPr="00720B94">
              <w:t>Yes</w:t>
            </w:r>
          </w:p>
        </w:tc>
        <w:tc>
          <w:tcPr>
            <w:tcW w:w="1031" w:type="dxa"/>
            <w:vAlign w:val="center"/>
          </w:tcPr>
          <w:p w14:paraId="106688AF" w14:textId="77777777" w:rsidR="00717676" w:rsidRPr="00720B94" w:rsidRDefault="00717676" w:rsidP="00717676">
            <w:pPr>
              <w:jc w:val="center"/>
            </w:pPr>
            <w:r w:rsidRPr="00720B94">
              <w:t>Yes</w:t>
            </w:r>
          </w:p>
        </w:tc>
      </w:tr>
      <w:tr w:rsidR="00717676" w:rsidRPr="00720B94" w14:paraId="20D5BB19" w14:textId="77777777" w:rsidTr="009128C6">
        <w:tc>
          <w:tcPr>
            <w:tcW w:w="6027" w:type="dxa"/>
          </w:tcPr>
          <w:p w14:paraId="290537DC" w14:textId="4AD5FF5D" w:rsidR="00717676" w:rsidRPr="00720B94" w:rsidRDefault="00717676" w:rsidP="00717676">
            <w:r w:rsidRPr="00720B94">
              <w:rPr>
                <w:b/>
                <w:bCs/>
              </w:rPr>
              <w:t>Within Laboratory</w:t>
            </w:r>
          </w:p>
        </w:tc>
        <w:tc>
          <w:tcPr>
            <w:tcW w:w="1146" w:type="dxa"/>
          </w:tcPr>
          <w:p w14:paraId="483CC9B0" w14:textId="7E867D37" w:rsidR="00717676" w:rsidRPr="00720B94" w:rsidRDefault="00717676" w:rsidP="00717676">
            <w:pPr>
              <w:jc w:val="center"/>
            </w:pPr>
            <w:r w:rsidRPr="00720B94">
              <w:rPr>
                <w:b/>
                <w:bCs/>
              </w:rPr>
              <w:t>BSL 1</w:t>
            </w:r>
          </w:p>
        </w:tc>
        <w:tc>
          <w:tcPr>
            <w:tcW w:w="1146" w:type="dxa"/>
          </w:tcPr>
          <w:p w14:paraId="5F124BD0" w14:textId="7BF7DDCE" w:rsidR="00717676" w:rsidRPr="00720B94" w:rsidRDefault="00717676" w:rsidP="00717676">
            <w:pPr>
              <w:jc w:val="center"/>
            </w:pPr>
            <w:r w:rsidRPr="00720B94">
              <w:rPr>
                <w:b/>
                <w:bCs/>
              </w:rPr>
              <w:t>BSL 2</w:t>
            </w:r>
          </w:p>
        </w:tc>
        <w:tc>
          <w:tcPr>
            <w:tcW w:w="1031" w:type="dxa"/>
          </w:tcPr>
          <w:p w14:paraId="5BF35376" w14:textId="30995EF1" w:rsidR="00717676" w:rsidRPr="00720B94" w:rsidRDefault="00717676" w:rsidP="00717676">
            <w:pPr>
              <w:jc w:val="center"/>
            </w:pPr>
            <w:r w:rsidRPr="00720B94">
              <w:rPr>
                <w:b/>
                <w:bCs/>
              </w:rPr>
              <w:t>BSL 3</w:t>
            </w:r>
          </w:p>
        </w:tc>
      </w:tr>
      <w:tr w:rsidR="00717676" w:rsidRPr="00720B94" w14:paraId="38C225D8" w14:textId="77777777" w:rsidTr="004D3D3C">
        <w:tc>
          <w:tcPr>
            <w:tcW w:w="6027" w:type="dxa"/>
          </w:tcPr>
          <w:p w14:paraId="1BF72C5A" w14:textId="71F17480" w:rsidR="00717676" w:rsidRPr="00720B94" w:rsidRDefault="00717676" w:rsidP="00717676">
            <w:r w:rsidRPr="00720B94">
              <w:t>Don extra PPE according to activities being performed.</w:t>
            </w:r>
          </w:p>
        </w:tc>
        <w:tc>
          <w:tcPr>
            <w:tcW w:w="1146" w:type="dxa"/>
            <w:vAlign w:val="center"/>
          </w:tcPr>
          <w:p w14:paraId="746D311D" w14:textId="570F485C" w:rsidR="00717676" w:rsidRPr="00720B94" w:rsidRDefault="00717676" w:rsidP="00717676">
            <w:pPr>
              <w:jc w:val="center"/>
            </w:pPr>
            <w:r w:rsidRPr="00720B94">
              <w:t>Yes</w:t>
            </w:r>
          </w:p>
        </w:tc>
        <w:tc>
          <w:tcPr>
            <w:tcW w:w="1146" w:type="dxa"/>
            <w:vAlign w:val="center"/>
          </w:tcPr>
          <w:p w14:paraId="1C021D20" w14:textId="0057E6FD" w:rsidR="00717676" w:rsidRPr="00720B94" w:rsidRDefault="00717676" w:rsidP="00717676">
            <w:pPr>
              <w:jc w:val="center"/>
            </w:pPr>
            <w:r w:rsidRPr="00720B94">
              <w:t>Yes</w:t>
            </w:r>
          </w:p>
        </w:tc>
        <w:tc>
          <w:tcPr>
            <w:tcW w:w="1031" w:type="dxa"/>
            <w:vAlign w:val="center"/>
          </w:tcPr>
          <w:p w14:paraId="18240435" w14:textId="47452B29" w:rsidR="00717676" w:rsidRPr="00720B94" w:rsidRDefault="00717676" w:rsidP="00717676">
            <w:pPr>
              <w:jc w:val="center"/>
            </w:pPr>
            <w:r w:rsidRPr="00720B94">
              <w:t>Yes</w:t>
            </w:r>
          </w:p>
        </w:tc>
      </w:tr>
      <w:tr w:rsidR="00717676" w:rsidRPr="00720B94" w14:paraId="0EF6455A" w14:textId="77777777" w:rsidTr="004D3D3C">
        <w:tc>
          <w:tcPr>
            <w:tcW w:w="6027" w:type="dxa"/>
          </w:tcPr>
          <w:p w14:paraId="427770C5" w14:textId="77777777" w:rsidR="00717676" w:rsidRPr="00720B94" w:rsidRDefault="00717676" w:rsidP="00717676">
            <w:r w:rsidRPr="00720B94">
              <w:t>Mouth pipetting is prohibited; pipetting devices must be used.</w:t>
            </w:r>
          </w:p>
        </w:tc>
        <w:tc>
          <w:tcPr>
            <w:tcW w:w="1146" w:type="dxa"/>
            <w:vAlign w:val="center"/>
          </w:tcPr>
          <w:p w14:paraId="7B2E025D" w14:textId="77777777" w:rsidR="00717676" w:rsidRPr="00720B94" w:rsidRDefault="00717676" w:rsidP="00717676">
            <w:pPr>
              <w:jc w:val="center"/>
            </w:pPr>
            <w:r w:rsidRPr="00720B94">
              <w:t>Yes</w:t>
            </w:r>
          </w:p>
        </w:tc>
        <w:tc>
          <w:tcPr>
            <w:tcW w:w="1146" w:type="dxa"/>
            <w:vAlign w:val="center"/>
          </w:tcPr>
          <w:p w14:paraId="2F1DB0F5" w14:textId="77777777" w:rsidR="00717676" w:rsidRPr="00720B94" w:rsidRDefault="00717676" w:rsidP="00717676">
            <w:pPr>
              <w:jc w:val="center"/>
            </w:pPr>
            <w:r w:rsidRPr="00720B94">
              <w:t>Yes</w:t>
            </w:r>
          </w:p>
        </w:tc>
        <w:tc>
          <w:tcPr>
            <w:tcW w:w="1031" w:type="dxa"/>
            <w:vAlign w:val="center"/>
          </w:tcPr>
          <w:p w14:paraId="211A748F" w14:textId="77777777" w:rsidR="00717676" w:rsidRPr="00720B94" w:rsidRDefault="00717676" w:rsidP="00717676">
            <w:pPr>
              <w:jc w:val="center"/>
            </w:pPr>
            <w:r w:rsidRPr="00720B94">
              <w:t>Yes</w:t>
            </w:r>
          </w:p>
        </w:tc>
      </w:tr>
      <w:tr w:rsidR="00717676" w:rsidRPr="00720B94" w14:paraId="27060403" w14:textId="77777777" w:rsidTr="004D3D3C">
        <w:tc>
          <w:tcPr>
            <w:tcW w:w="6027" w:type="dxa"/>
          </w:tcPr>
          <w:p w14:paraId="18CF5867" w14:textId="77777777" w:rsidR="00717676" w:rsidRPr="00720B94" w:rsidRDefault="00717676" w:rsidP="00717676">
            <w:r w:rsidRPr="00720B94">
              <w:t>Procedures for safe handling of medical sharps (e.g., needles, scalpels) and non-medical sharps (e.g., pipettes, broken glassware) must be followed.</w:t>
            </w:r>
          </w:p>
        </w:tc>
        <w:tc>
          <w:tcPr>
            <w:tcW w:w="1146" w:type="dxa"/>
            <w:vAlign w:val="center"/>
          </w:tcPr>
          <w:p w14:paraId="657F1E90" w14:textId="77777777" w:rsidR="00717676" w:rsidRPr="00720B94" w:rsidRDefault="00717676" w:rsidP="00717676">
            <w:pPr>
              <w:jc w:val="center"/>
            </w:pPr>
            <w:r w:rsidRPr="00720B94">
              <w:t>Yes</w:t>
            </w:r>
          </w:p>
        </w:tc>
        <w:tc>
          <w:tcPr>
            <w:tcW w:w="1146" w:type="dxa"/>
            <w:vAlign w:val="center"/>
          </w:tcPr>
          <w:p w14:paraId="58C46E86" w14:textId="77777777" w:rsidR="00717676" w:rsidRPr="00720B94" w:rsidRDefault="00717676" w:rsidP="00717676">
            <w:pPr>
              <w:jc w:val="center"/>
            </w:pPr>
            <w:r w:rsidRPr="00720B94">
              <w:t>Yes</w:t>
            </w:r>
          </w:p>
        </w:tc>
        <w:tc>
          <w:tcPr>
            <w:tcW w:w="1031" w:type="dxa"/>
            <w:vAlign w:val="center"/>
          </w:tcPr>
          <w:p w14:paraId="02D10052" w14:textId="77777777" w:rsidR="00717676" w:rsidRPr="00720B94" w:rsidRDefault="00717676" w:rsidP="00717676">
            <w:pPr>
              <w:jc w:val="center"/>
            </w:pPr>
            <w:r w:rsidRPr="00720B94">
              <w:t>Yes</w:t>
            </w:r>
          </w:p>
        </w:tc>
      </w:tr>
      <w:tr w:rsidR="00717676" w:rsidRPr="00720B94" w14:paraId="3497F0A9" w14:textId="77777777" w:rsidTr="004D3D3C">
        <w:tc>
          <w:tcPr>
            <w:tcW w:w="6027" w:type="dxa"/>
          </w:tcPr>
          <w:p w14:paraId="2CD49FBD" w14:textId="77777777" w:rsidR="00717676" w:rsidRPr="00720B94" w:rsidRDefault="00717676" w:rsidP="00717676">
            <w:r w:rsidRPr="00720B94">
              <w:t>Plastic ware should be substituted for glass wherever possible.</w:t>
            </w:r>
          </w:p>
        </w:tc>
        <w:tc>
          <w:tcPr>
            <w:tcW w:w="1146" w:type="dxa"/>
            <w:vAlign w:val="center"/>
          </w:tcPr>
          <w:p w14:paraId="7400EC6D" w14:textId="77777777" w:rsidR="00717676" w:rsidRPr="00720B94" w:rsidRDefault="00717676" w:rsidP="00717676">
            <w:pPr>
              <w:jc w:val="center"/>
            </w:pPr>
            <w:r w:rsidRPr="00720B94">
              <w:t>Desirable</w:t>
            </w:r>
          </w:p>
        </w:tc>
        <w:tc>
          <w:tcPr>
            <w:tcW w:w="1146" w:type="dxa"/>
            <w:vAlign w:val="center"/>
          </w:tcPr>
          <w:p w14:paraId="627AF879" w14:textId="77777777" w:rsidR="00717676" w:rsidRPr="00720B94" w:rsidRDefault="00717676" w:rsidP="00717676">
            <w:pPr>
              <w:jc w:val="center"/>
            </w:pPr>
            <w:r w:rsidRPr="00720B94">
              <w:t>Desirable</w:t>
            </w:r>
          </w:p>
        </w:tc>
        <w:tc>
          <w:tcPr>
            <w:tcW w:w="1031" w:type="dxa"/>
            <w:vAlign w:val="center"/>
          </w:tcPr>
          <w:p w14:paraId="229B22EF" w14:textId="77777777" w:rsidR="00717676" w:rsidRPr="00720B94" w:rsidRDefault="00717676" w:rsidP="00717676">
            <w:pPr>
              <w:jc w:val="center"/>
            </w:pPr>
            <w:r w:rsidRPr="00720B94">
              <w:t>Yes</w:t>
            </w:r>
          </w:p>
        </w:tc>
      </w:tr>
      <w:tr w:rsidR="00717676" w:rsidRPr="00720B94" w14:paraId="04695660" w14:textId="77777777" w:rsidTr="004D3D3C">
        <w:tc>
          <w:tcPr>
            <w:tcW w:w="6027" w:type="dxa"/>
          </w:tcPr>
          <w:p w14:paraId="43F841F6" w14:textId="77777777" w:rsidR="00717676" w:rsidRPr="00720B94" w:rsidRDefault="00717676" w:rsidP="00717676">
            <w:r w:rsidRPr="00720B94">
              <w:t>Potentially infectious materials must be placed in a durable, leak-proof container during collection, handling, processing, storage, or transport within a facility. If this is not possible, a risk assessment is performed.</w:t>
            </w:r>
          </w:p>
        </w:tc>
        <w:tc>
          <w:tcPr>
            <w:tcW w:w="1146" w:type="dxa"/>
            <w:vAlign w:val="center"/>
          </w:tcPr>
          <w:p w14:paraId="2607478C" w14:textId="77777777" w:rsidR="00717676" w:rsidRPr="00720B94" w:rsidRDefault="00717676" w:rsidP="00717676">
            <w:pPr>
              <w:jc w:val="center"/>
            </w:pPr>
            <w:r w:rsidRPr="00720B94">
              <w:t>Yes</w:t>
            </w:r>
          </w:p>
        </w:tc>
        <w:tc>
          <w:tcPr>
            <w:tcW w:w="1146" w:type="dxa"/>
            <w:vAlign w:val="center"/>
          </w:tcPr>
          <w:p w14:paraId="00507CC9" w14:textId="77777777" w:rsidR="00717676" w:rsidRPr="00720B94" w:rsidRDefault="00717676" w:rsidP="00717676">
            <w:pPr>
              <w:jc w:val="center"/>
            </w:pPr>
            <w:r w:rsidRPr="00720B94">
              <w:t>Yes</w:t>
            </w:r>
          </w:p>
        </w:tc>
        <w:tc>
          <w:tcPr>
            <w:tcW w:w="1031" w:type="dxa"/>
            <w:vAlign w:val="center"/>
          </w:tcPr>
          <w:p w14:paraId="2ACFE3F7" w14:textId="77777777" w:rsidR="00717676" w:rsidRPr="00720B94" w:rsidRDefault="00717676" w:rsidP="00717676">
            <w:pPr>
              <w:jc w:val="center"/>
            </w:pPr>
            <w:r w:rsidRPr="00720B94">
              <w:t>Yes</w:t>
            </w:r>
          </w:p>
        </w:tc>
      </w:tr>
      <w:tr w:rsidR="00717676" w:rsidRPr="00720B94" w14:paraId="1C6E44C6" w14:textId="77777777" w:rsidTr="004D3D3C">
        <w:tc>
          <w:tcPr>
            <w:tcW w:w="6027" w:type="dxa"/>
          </w:tcPr>
          <w:p w14:paraId="582341FE" w14:textId="77777777" w:rsidR="00717676" w:rsidRPr="00720B94" w:rsidRDefault="00717676" w:rsidP="00717676">
            <w:r w:rsidRPr="00720B94">
              <w:lastRenderedPageBreak/>
              <w:t>Perform procedures to minimize the creation of splashes and/or aerosols.</w:t>
            </w:r>
          </w:p>
        </w:tc>
        <w:tc>
          <w:tcPr>
            <w:tcW w:w="1146" w:type="dxa"/>
            <w:vAlign w:val="center"/>
          </w:tcPr>
          <w:p w14:paraId="5BA7920D" w14:textId="77777777" w:rsidR="00717676" w:rsidRPr="00720B94" w:rsidRDefault="00717676" w:rsidP="00717676">
            <w:pPr>
              <w:jc w:val="center"/>
            </w:pPr>
            <w:r w:rsidRPr="00720B94">
              <w:t>Yes</w:t>
            </w:r>
          </w:p>
        </w:tc>
        <w:tc>
          <w:tcPr>
            <w:tcW w:w="1146" w:type="dxa"/>
            <w:vAlign w:val="center"/>
          </w:tcPr>
          <w:p w14:paraId="469AE253" w14:textId="77777777" w:rsidR="00717676" w:rsidRPr="00720B94" w:rsidRDefault="00717676" w:rsidP="00717676">
            <w:pPr>
              <w:jc w:val="center"/>
            </w:pPr>
            <w:r w:rsidRPr="00720B94">
              <w:t>Yes</w:t>
            </w:r>
          </w:p>
        </w:tc>
        <w:tc>
          <w:tcPr>
            <w:tcW w:w="1031" w:type="dxa"/>
            <w:vAlign w:val="center"/>
          </w:tcPr>
          <w:p w14:paraId="3EE96FAE" w14:textId="77777777" w:rsidR="00717676" w:rsidRPr="00720B94" w:rsidRDefault="00717676" w:rsidP="00717676">
            <w:pPr>
              <w:jc w:val="center"/>
            </w:pPr>
            <w:r w:rsidRPr="00720B94">
              <w:t>Yes</w:t>
            </w:r>
          </w:p>
        </w:tc>
      </w:tr>
      <w:tr w:rsidR="00717676" w:rsidRPr="00720B94" w14:paraId="4D774425" w14:textId="77777777" w:rsidTr="004D3D3C">
        <w:tc>
          <w:tcPr>
            <w:tcW w:w="6027" w:type="dxa"/>
          </w:tcPr>
          <w:p w14:paraId="4D511C3F" w14:textId="77777777" w:rsidR="00717676" w:rsidRPr="00720B94" w:rsidRDefault="00717676" w:rsidP="00717676">
            <w:r w:rsidRPr="00720B94">
              <w:t>All procedures involving the manipulation of infectious materials that may generate an aerosol are conducted within a BSC or other physical containment device.</w:t>
            </w:r>
          </w:p>
        </w:tc>
        <w:tc>
          <w:tcPr>
            <w:tcW w:w="1146" w:type="dxa"/>
            <w:vAlign w:val="center"/>
          </w:tcPr>
          <w:p w14:paraId="3BB57F31" w14:textId="77777777" w:rsidR="00717676" w:rsidRPr="00720B94" w:rsidRDefault="00717676" w:rsidP="00717676">
            <w:pPr>
              <w:jc w:val="center"/>
            </w:pPr>
            <w:r w:rsidRPr="00720B94">
              <w:t>Desirable</w:t>
            </w:r>
          </w:p>
        </w:tc>
        <w:tc>
          <w:tcPr>
            <w:tcW w:w="1146" w:type="dxa"/>
            <w:vAlign w:val="center"/>
          </w:tcPr>
          <w:p w14:paraId="3CDD60A1" w14:textId="77777777" w:rsidR="00717676" w:rsidRPr="00720B94" w:rsidRDefault="00717676" w:rsidP="00717676">
            <w:pPr>
              <w:jc w:val="center"/>
            </w:pPr>
            <w:r w:rsidRPr="00720B94">
              <w:t>Desirable</w:t>
            </w:r>
          </w:p>
        </w:tc>
        <w:tc>
          <w:tcPr>
            <w:tcW w:w="1031" w:type="dxa"/>
            <w:vAlign w:val="center"/>
          </w:tcPr>
          <w:p w14:paraId="13D0D490" w14:textId="77777777" w:rsidR="00717676" w:rsidRPr="00720B94" w:rsidRDefault="00717676" w:rsidP="00717676">
            <w:pPr>
              <w:jc w:val="center"/>
            </w:pPr>
            <w:r w:rsidRPr="00720B94">
              <w:t>Yes</w:t>
            </w:r>
          </w:p>
        </w:tc>
      </w:tr>
      <w:tr w:rsidR="00717676" w:rsidRPr="00720B94" w14:paraId="13493873" w14:textId="77777777" w:rsidTr="004D3D3C">
        <w:tc>
          <w:tcPr>
            <w:tcW w:w="6027" w:type="dxa"/>
          </w:tcPr>
          <w:p w14:paraId="737E233E" w14:textId="77777777" w:rsidR="00717676" w:rsidRPr="00720B94" w:rsidRDefault="00717676" w:rsidP="00717676">
            <w:r w:rsidRPr="00720B94">
              <w:t>Laboratory equipment should be routinely decontaminated, as well as, after spills, splashes, or other potential contamination.</w:t>
            </w:r>
          </w:p>
        </w:tc>
        <w:tc>
          <w:tcPr>
            <w:tcW w:w="1146" w:type="dxa"/>
            <w:vAlign w:val="center"/>
          </w:tcPr>
          <w:p w14:paraId="491AFFA1" w14:textId="77777777" w:rsidR="00717676" w:rsidRPr="00720B94" w:rsidRDefault="00717676" w:rsidP="00717676">
            <w:pPr>
              <w:jc w:val="center"/>
            </w:pPr>
            <w:r w:rsidRPr="00720B94">
              <w:t>Yes</w:t>
            </w:r>
          </w:p>
        </w:tc>
        <w:tc>
          <w:tcPr>
            <w:tcW w:w="1146" w:type="dxa"/>
            <w:vAlign w:val="center"/>
          </w:tcPr>
          <w:p w14:paraId="2BCD91F1" w14:textId="77777777" w:rsidR="00717676" w:rsidRPr="00720B94" w:rsidRDefault="00717676" w:rsidP="00717676">
            <w:pPr>
              <w:jc w:val="center"/>
            </w:pPr>
            <w:r w:rsidRPr="00720B94">
              <w:t>Yes</w:t>
            </w:r>
          </w:p>
        </w:tc>
        <w:tc>
          <w:tcPr>
            <w:tcW w:w="1031" w:type="dxa"/>
            <w:vAlign w:val="center"/>
          </w:tcPr>
          <w:p w14:paraId="086484D9" w14:textId="77777777" w:rsidR="00717676" w:rsidRPr="00720B94" w:rsidRDefault="00717676" w:rsidP="00717676">
            <w:pPr>
              <w:jc w:val="center"/>
            </w:pPr>
            <w:r w:rsidRPr="00720B94">
              <w:t>Yes</w:t>
            </w:r>
          </w:p>
        </w:tc>
      </w:tr>
      <w:tr w:rsidR="00717676" w:rsidRPr="00720B94" w14:paraId="6052BEE0" w14:textId="77777777" w:rsidTr="004D3D3C">
        <w:tc>
          <w:tcPr>
            <w:tcW w:w="6027" w:type="dxa"/>
          </w:tcPr>
          <w:p w14:paraId="7B074F6B" w14:textId="77777777" w:rsidR="00717676" w:rsidRPr="00720B94" w:rsidRDefault="00717676" w:rsidP="00717676">
            <w:r w:rsidRPr="00720B94">
              <w:t>Equipment must be decontaminated before repair, maintenance, or removal from the laboratory.</w:t>
            </w:r>
          </w:p>
        </w:tc>
        <w:tc>
          <w:tcPr>
            <w:tcW w:w="1146" w:type="dxa"/>
            <w:vAlign w:val="center"/>
          </w:tcPr>
          <w:p w14:paraId="627EAC30" w14:textId="77777777" w:rsidR="00717676" w:rsidRPr="00720B94" w:rsidRDefault="00717676" w:rsidP="00717676">
            <w:pPr>
              <w:jc w:val="center"/>
            </w:pPr>
            <w:r w:rsidRPr="00720B94">
              <w:t>Yes</w:t>
            </w:r>
          </w:p>
        </w:tc>
        <w:tc>
          <w:tcPr>
            <w:tcW w:w="1146" w:type="dxa"/>
            <w:vAlign w:val="center"/>
          </w:tcPr>
          <w:p w14:paraId="30A09211" w14:textId="77777777" w:rsidR="00717676" w:rsidRPr="00720B94" w:rsidRDefault="00717676" w:rsidP="00717676">
            <w:pPr>
              <w:jc w:val="center"/>
            </w:pPr>
            <w:r w:rsidRPr="00720B94">
              <w:t>Yes</w:t>
            </w:r>
          </w:p>
        </w:tc>
        <w:tc>
          <w:tcPr>
            <w:tcW w:w="1031" w:type="dxa"/>
            <w:vAlign w:val="center"/>
          </w:tcPr>
          <w:p w14:paraId="1B106DD8" w14:textId="77777777" w:rsidR="00717676" w:rsidRPr="00720B94" w:rsidRDefault="00717676" w:rsidP="00717676">
            <w:pPr>
              <w:jc w:val="center"/>
            </w:pPr>
            <w:r w:rsidRPr="00720B94">
              <w:t>Yes</w:t>
            </w:r>
          </w:p>
        </w:tc>
      </w:tr>
      <w:tr w:rsidR="00717676" w:rsidRPr="00720B94" w14:paraId="1C2B743C" w14:textId="77777777" w:rsidTr="004D3D3C">
        <w:tc>
          <w:tcPr>
            <w:tcW w:w="6027" w:type="dxa"/>
          </w:tcPr>
          <w:p w14:paraId="6171752F" w14:textId="77777777" w:rsidR="00717676" w:rsidRPr="00720B94" w:rsidRDefault="00717676" w:rsidP="00717676">
            <w:r w:rsidRPr="00720B94">
              <w:t>All cultures, stocks, and other forms of potentially infectious or recombinant materials must be inactivated using an effective method either by the laboratory or an approved vendor before disposal.</w:t>
            </w:r>
          </w:p>
        </w:tc>
        <w:tc>
          <w:tcPr>
            <w:tcW w:w="1146" w:type="dxa"/>
            <w:vAlign w:val="center"/>
          </w:tcPr>
          <w:p w14:paraId="58A975CC" w14:textId="77777777" w:rsidR="00717676" w:rsidRPr="00720B94" w:rsidRDefault="00717676" w:rsidP="00717676">
            <w:pPr>
              <w:jc w:val="center"/>
            </w:pPr>
            <w:r w:rsidRPr="00720B94">
              <w:t>Yes</w:t>
            </w:r>
          </w:p>
        </w:tc>
        <w:tc>
          <w:tcPr>
            <w:tcW w:w="1146" w:type="dxa"/>
            <w:vAlign w:val="center"/>
          </w:tcPr>
          <w:p w14:paraId="7818F842" w14:textId="77777777" w:rsidR="00717676" w:rsidRPr="00720B94" w:rsidRDefault="00717676" w:rsidP="00717676">
            <w:pPr>
              <w:jc w:val="center"/>
            </w:pPr>
            <w:r w:rsidRPr="00720B94">
              <w:t>Yes</w:t>
            </w:r>
          </w:p>
        </w:tc>
        <w:tc>
          <w:tcPr>
            <w:tcW w:w="1031" w:type="dxa"/>
            <w:vAlign w:val="center"/>
          </w:tcPr>
          <w:p w14:paraId="70F9046B" w14:textId="77777777" w:rsidR="00717676" w:rsidRPr="00720B94" w:rsidRDefault="00717676" w:rsidP="00717676">
            <w:pPr>
              <w:jc w:val="center"/>
            </w:pPr>
            <w:r w:rsidRPr="00720B94">
              <w:t>Yes</w:t>
            </w:r>
          </w:p>
        </w:tc>
      </w:tr>
      <w:tr w:rsidR="00717676" w:rsidRPr="00720B94" w14:paraId="5EE393DF" w14:textId="77777777" w:rsidTr="004D3D3C">
        <w:tc>
          <w:tcPr>
            <w:tcW w:w="6027" w:type="dxa"/>
          </w:tcPr>
          <w:p w14:paraId="4A16E2E9" w14:textId="77777777" w:rsidR="00717676" w:rsidRPr="00720B94" w:rsidRDefault="00717676" w:rsidP="00717676">
            <w:r w:rsidRPr="00720B94">
              <w:t>Spills involving infectious materials must be contained, decontaminated, and cleaned up by laboratory personnel properly trained and equipped to work with infectious material.</w:t>
            </w:r>
          </w:p>
        </w:tc>
        <w:tc>
          <w:tcPr>
            <w:tcW w:w="1146" w:type="dxa"/>
            <w:vAlign w:val="center"/>
          </w:tcPr>
          <w:p w14:paraId="6B0BD890" w14:textId="77777777" w:rsidR="00717676" w:rsidRPr="00720B94" w:rsidRDefault="00717676" w:rsidP="00717676">
            <w:pPr>
              <w:jc w:val="center"/>
            </w:pPr>
            <w:r w:rsidRPr="00720B94">
              <w:t>Yes</w:t>
            </w:r>
          </w:p>
        </w:tc>
        <w:tc>
          <w:tcPr>
            <w:tcW w:w="1146" w:type="dxa"/>
            <w:vAlign w:val="center"/>
          </w:tcPr>
          <w:p w14:paraId="407FF6F0" w14:textId="77777777" w:rsidR="00717676" w:rsidRPr="00720B94" w:rsidRDefault="00717676" w:rsidP="00717676">
            <w:pPr>
              <w:jc w:val="center"/>
            </w:pPr>
            <w:r w:rsidRPr="00720B94">
              <w:t>Yes</w:t>
            </w:r>
          </w:p>
        </w:tc>
        <w:tc>
          <w:tcPr>
            <w:tcW w:w="1031" w:type="dxa"/>
            <w:vAlign w:val="center"/>
          </w:tcPr>
          <w:p w14:paraId="08311AF3" w14:textId="77777777" w:rsidR="00717676" w:rsidRPr="00720B94" w:rsidRDefault="00717676" w:rsidP="00717676">
            <w:pPr>
              <w:jc w:val="center"/>
            </w:pPr>
            <w:r w:rsidRPr="00720B94">
              <w:t>Yes</w:t>
            </w:r>
          </w:p>
        </w:tc>
      </w:tr>
      <w:tr w:rsidR="00717676" w:rsidRPr="00720B94" w14:paraId="17C0268A" w14:textId="77777777" w:rsidTr="004D3D3C">
        <w:tc>
          <w:tcPr>
            <w:tcW w:w="6027" w:type="dxa"/>
          </w:tcPr>
          <w:p w14:paraId="5BACC9AC" w14:textId="77777777" w:rsidR="00717676" w:rsidRPr="00720B94" w:rsidRDefault="00717676" w:rsidP="00717676">
            <w:r w:rsidRPr="00720B94">
              <w:t>Incidents that may result in exposure to infectious materials must be immediately evaluated and treated according to procedures described in the laboratory biosafety protocol.</w:t>
            </w:r>
          </w:p>
        </w:tc>
        <w:tc>
          <w:tcPr>
            <w:tcW w:w="1146" w:type="dxa"/>
            <w:vAlign w:val="center"/>
          </w:tcPr>
          <w:p w14:paraId="0EC1A866" w14:textId="77777777" w:rsidR="00717676" w:rsidRPr="00720B94" w:rsidRDefault="00717676" w:rsidP="00717676">
            <w:pPr>
              <w:jc w:val="center"/>
            </w:pPr>
            <w:r w:rsidRPr="00720B94">
              <w:t>Yes</w:t>
            </w:r>
          </w:p>
        </w:tc>
        <w:tc>
          <w:tcPr>
            <w:tcW w:w="1146" w:type="dxa"/>
            <w:vAlign w:val="center"/>
          </w:tcPr>
          <w:p w14:paraId="36660D86" w14:textId="77777777" w:rsidR="00717676" w:rsidRPr="00720B94" w:rsidRDefault="00717676" w:rsidP="00717676">
            <w:pPr>
              <w:jc w:val="center"/>
            </w:pPr>
            <w:r w:rsidRPr="00720B94">
              <w:t>Yes</w:t>
            </w:r>
          </w:p>
        </w:tc>
        <w:tc>
          <w:tcPr>
            <w:tcW w:w="1031" w:type="dxa"/>
            <w:vAlign w:val="center"/>
          </w:tcPr>
          <w:p w14:paraId="04219790" w14:textId="77777777" w:rsidR="00717676" w:rsidRPr="00720B94" w:rsidRDefault="00717676" w:rsidP="00717676">
            <w:pPr>
              <w:jc w:val="center"/>
            </w:pPr>
            <w:r w:rsidRPr="00720B94">
              <w:t>Yes</w:t>
            </w:r>
          </w:p>
        </w:tc>
      </w:tr>
      <w:tr w:rsidR="00717676" w:rsidRPr="00720B94" w14:paraId="070D9357" w14:textId="77777777" w:rsidTr="004D3D3C">
        <w:tc>
          <w:tcPr>
            <w:tcW w:w="6027" w:type="dxa"/>
          </w:tcPr>
          <w:p w14:paraId="41932A97" w14:textId="77777777" w:rsidR="00717676" w:rsidRPr="00720B94" w:rsidRDefault="00717676" w:rsidP="00717676">
            <w:r w:rsidRPr="00720B94">
              <w:t>Decontaminate work surfaces after completion of work and after any spill or splash of potentially hazardous material with an effective disinfection method.</w:t>
            </w:r>
          </w:p>
        </w:tc>
        <w:tc>
          <w:tcPr>
            <w:tcW w:w="1146" w:type="dxa"/>
            <w:vAlign w:val="center"/>
          </w:tcPr>
          <w:p w14:paraId="45D5AE02" w14:textId="77777777" w:rsidR="00717676" w:rsidRPr="00720B94" w:rsidRDefault="00717676" w:rsidP="00717676">
            <w:pPr>
              <w:jc w:val="center"/>
            </w:pPr>
            <w:r w:rsidRPr="00720B94">
              <w:t>Yes</w:t>
            </w:r>
          </w:p>
        </w:tc>
        <w:tc>
          <w:tcPr>
            <w:tcW w:w="1146" w:type="dxa"/>
            <w:vAlign w:val="center"/>
          </w:tcPr>
          <w:p w14:paraId="318163AF" w14:textId="77777777" w:rsidR="00717676" w:rsidRPr="00720B94" w:rsidRDefault="00717676" w:rsidP="00717676">
            <w:pPr>
              <w:jc w:val="center"/>
            </w:pPr>
            <w:r w:rsidRPr="00720B94">
              <w:t>Yes</w:t>
            </w:r>
          </w:p>
        </w:tc>
        <w:tc>
          <w:tcPr>
            <w:tcW w:w="1031" w:type="dxa"/>
            <w:vAlign w:val="center"/>
          </w:tcPr>
          <w:p w14:paraId="4BDA0C10" w14:textId="77777777" w:rsidR="00717676" w:rsidRPr="00720B94" w:rsidRDefault="00717676" w:rsidP="00717676">
            <w:pPr>
              <w:jc w:val="center"/>
            </w:pPr>
            <w:r w:rsidRPr="00720B94">
              <w:t>Yes</w:t>
            </w:r>
          </w:p>
        </w:tc>
      </w:tr>
      <w:tr w:rsidR="00717676" w:rsidRPr="00720B94" w14:paraId="2B16D0D8" w14:textId="77777777" w:rsidTr="00B91099">
        <w:tc>
          <w:tcPr>
            <w:tcW w:w="6027" w:type="dxa"/>
          </w:tcPr>
          <w:p w14:paraId="4B99F75B" w14:textId="56B1FDBF" w:rsidR="00717676" w:rsidRPr="00720B94" w:rsidRDefault="00717676" w:rsidP="00717676">
            <w:r w:rsidRPr="00720B94">
              <w:rPr>
                <w:b/>
                <w:bCs/>
              </w:rPr>
              <w:t>Materials &amp; People Leaving the Laboratory</w:t>
            </w:r>
          </w:p>
        </w:tc>
        <w:tc>
          <w:tcPr>
            <w:tcW w:w="1146" w:type="dxa"/>
          </w:tcPr>
          <w:p w14:paraId="6CB33127" w14:textId="3BD5C908" w:rsidR="00717676" w:rsidRPr="00720B94" w:rsidRDefault="00717676" w:rsidP="00717676">
            <w:pPr>
              <w:jc w:val="center"/>
            </w:pPr>
            <w:r w:rsidRPr="00720B94">
              <w:rPr>
                <w:b/>
                <w:bCs/>
              </w:rPr>
              <w:t>BSL 1</w:t>
            </w:r>
          </w:p>
        </w:tc>
        <w:tc>
          <w:tcPr>
            <w:tcW w:w="1146" w:type="dxa"/>
          </w:tcPr>
          <w:p w14:paraId="31718FDE" w14:textId="4E17895E" w:rsidR="00717676" w:rsidRPr="00720B94" w:rsidRDefault="00717676" w:rsidP="00717676">
            <w:pPr>
              <w:jc w:val="center"/>
            </w:pPr>
            <w:r w:rsidRPr="00720B94">
              <w:rPr>
                <w:b/>
                <w:bCs/>
              </w:rPr>
              <w:t>BSL 2</w:t>
            </w:r>
          </w:p>
        </w:tc>
        <w:tc>
          <w:tcPr>
            <w:tcW w:w="1031" w:type="dxa"/>
          </w:tcPr>
          <w:p w14:paraId="6CA9044C" w14:textId="59EFECC6" w:rsidR="00717676" w:rsidRPr="00720B94" w:rsidRDefault="00717676" w:rsidP="00717676">
            <w:pPr>
              <w:jc w:val="center"/>
            </w:pPr>
            <w:r w:rsidRPr="00720B94">
              <w:rPr>
                <w:b/>
                <w:bCs/>
              </w:rPr>
              <w:t>BSL 3</w:t>
            </w:r>
          </w:p>
        </w:tc>
      </w:tr>
      <w:tr w:rsidR="00717676" w:rsidRPr="00720B94" w14:paraId="2955E7DB" w14:textId="77777777" w:rsidTr="004D3D3C">
        <w:tc>
          <w:tcPr>
            <w:tcW w:w="6027" w:type="dxa"/>
          </w:tcPr>
          <w:p w14:paraId="1328B9A2" w14:textId="68F04DE7" w:rsidR="00717676" w:rsidRPr="00720B94" w:rsidRDefault="00717676" w:rsidP="00717676">
            <w:r w:rsidRPr="00720B94">
              <w:t>Persons must wash hands before leaving the laboratory.</w:t>
            </w:r>
          </w:p>
        </w:tc>
        <w:tc>
          <w:tcPr>
            <w:tcW w:w="1146" w:type="dxa"/>
            <w:vAlign w:val="center"/>
          </w:tcPr>
          <w:p w14:paraId="1C663519" w14:textId="65E98429" w:rsidR="00717676" w:rsidRPr="00720B94" w:rsidRDefault="00717676" w:rsidP="00717676">
            <w:pPr>
              <w:jc w:val="center"/>
            </w:pPr>
            <w:r w:rsidRPr="00720B94">
              <w:t>Yes</w:t>
            </w:r>
          </w:p>
        </w:tc>
        <w:tc>
          <w:tcPr>
            <w:tcW w:w="1146" w:type="dxa"/>
            <w:vAlign w:val="center"/>
          </w:tcPr>
          <w:p w14:paraId="180FD13B" w14:textId="4A8012A7" w:rsidR="00717676" w:rsidRPr="00720B94" w:rsidRDefault="00717676" w:rsidP="00717676">
            <w:pPr>
              <w:jc w:val="center"/>
            </w:pPr>
            <w:r w:rsidRPr="00720B94">
              <w:t>Yes</w:t>
            </w:r>
          </w:p>
        </w:tc>
        <w:tc>
          <w:tcPr>
            <w:tcW w:w="1031" w:type="dxa"/>
            <w:vAlign w:val="center"/>
          </w:tcPr>
          <w:p w14:paraId="31DA9369" w14:textId="2E5870E1" w:rsidR="00717676" w:rsidRPr="00720B94" w:rsidRDefault="00717676" w:rsidP="00717676">
            <w:pPr>
              <w:jc w:val="center"/>
            </w:pPr>
            <w:r w:rsidRPr="00720B94">
              <w:t>Yes</w:t>
            </w:r>
          </w:p>
        </w:tc>
      </w:tr>
      <w:tr w:rsidR="00717676" w:rsidRPr="00720B94" w14:paraId="4779E102" w14:textId="77777777" w:rsidTr="004D3D3C">
        <w:tc>
          <w:tcPr>
            <w:tcW w:w="6027" w:type="dxa"/>
          </w:tcPr>
          <w:p w14:paraId="2556C46A" w14:textId="77777777" w:rsidR="00717676" w:rsidRPr="00720B94" w:rsidRDefault="00717676" w:rsidP="00717676">
            <w:r w:rsidRPr="00720B94">
              <w:t xml:space="preserve">Practices to prevent spills and potential exposures during movement of materials in hallways, elevators, or public spaces are in place. </w:t>
            </w:r>
          </w:p>
        </w:tc>
        <w:tc>
          <w:tcPr>
            <w:tcW w:w="1146" w:type="dxa"/>
            <w:vAlign w:val="center"/>
          </w:tcPr>
          <w:p w14:paraId="0CB9D719" w14:textId="77777777" w:rsidR="00717676" w:rsidRPr="00720B94" w:rsidRDefault="00717676" w:rsidP="00717676">
            <w:pPr>
              <w:jc w:val="center"/>
            </w:pPr>
            <w:r w:rsidRPr="00720B94">
              <w:t>Yes</w:t>
            </w:r>
          </w:p>
        </w:tc>
        <w:tc>
          <w:tcPr>
            <w:tcW w:w="1146" w:type="dxa"/>
            <w:vAlign w:val="center"/>
          </w:tcPr>
          <w:p w14:paraId="507DA396" w14:textId="77777777" w:rsidR="00717676" w:rsidRPr="00720B94" w:rsidRDefault="00717676" w:rsidP="00717676">
            <w:pPr>
              <w:jc w:val="center"/>
            </w:pPr>
            <w:r w:rsidRPr="00720B94">
              <w:t>Yes</w:t>
            </w:r>
          </w:p>
        </w:tc>
        <w:tc>
          <w:tcPr>
            <w:tcW w:w="1031" w:type="dxa"/>
            <w:vAlign w:val="center"/>
          </w:tcPr>
          <w:p w14:paraId="7EF99299" w14:textId="77777777" w:rsidR="00717676" w:rsidRPr="00720B94" w:rsidRDefault="00717676" w:rsidP="00717676">
            <w:pPr>
              <w:jc w:val="center"/>
            </w:pPr>
            <w:r w:rsidRPr="00720B94">
              <w:t>Yes</w:t>
            </w:r>
          </w:p>
        </w:tc>
      </w:tr>
      <w:tr w:rsidR="00717676" w:rsidRPr="00720B94" w14:paraId="1C0D59E6" w14:textId="77777777" w:rsidTr="004D3D3C">
        <w:tc>
          <w:tcPr>
            <w:tcW w:w="6027" w:type="dxa"/>
          </w:tcPr>
          <w:p w14:paraId="29B9D315" w14:textId="77777777" w:rsidR="00717676" w:rsidRPr="00720B94" w:rsidRDefault="00717676" w:rsidP="00717676">
            <w:r w:rsidRPr="00720B94">
              <w:t>Transport of biohazardous materials should occur in a secondary container that is durable, leak proof, labeled, and surface disinfected.</w:t>
            </w:r>
          </w:p>
        </w:tc>
        <w:tc>
          <w:tcPr>
            <w:tcW w:w="1146" w:type="dxa"/>
            <w:vAlign w:val="center"/>
          </w:tcPr>
          <w:p w14:paraId="58E39FCC" w14:textId="77777777" w:rsidR="00717676" w:rsidRPr="00720B94" w:rsidRDefault="00717676" w:rsidP="00717676">
            <w:pPr>
              <w:jc w:val="center"/>
            </w:pPr>
            <w:r w:rsidRPr="00720B94">
              <w:t>Yes</w:t>
            </w:r>
          </w:p>
        </w:tc>
        <w:tc>
          <w:tcPr>
            <w:tcW w:w="1146" w:type="dxa"/>
            <w:vAlign w:val="center"/>
          </w:tcPr>
          <w:p w14:paraId="2F7646C7" w14:textId="77777777" w:rsidR="00717676" w:rsidRPr="00720B94" w:rsidRDefault="00717676" w:rsidP="00717676">
            <w:pPr>
              <w:jc w:val="center"/>
            </w:pPr>
            <w:r w:rsidRPr="00720B94">
              <w:t>Yes</w:t>
            </w:r>
          </w:p>
        </w:tc>
        <w:tc>
          <w:tcPr>
            <w:tcW w:w="1031" w:type="dxa"/>
            <w:vAlign w:val="center"/>
          </w:tcPr>
          <w:p w14:paraId="678608D2" w14:textId="77777777" w:rsidR="00717676" w:rsidRPr="00720B94" w:rsidRDefault="00717676" w:rsidP="00717676">
            <w:pPr>
              <w:jc w:val="center"/>
            </w:pPr>
            <w:r w:rsidRPr="00720B94">
              <w:t>Yes</w:t>
            </w:r>
          </w:p>
        </w:tc>
      </w:tr>
      <w:tr w:rsidR="00717676" w:rsidRPr="00720B94" w14:paraId="5917D1E3" w14:textId="77777777" w:rsidTr="004D3D3C">
        <w:tc>
          <w:tcPr>
            <w:tcW w:w="6027" w:type="dxa"/>
          </w:tcPr>
          <w:p w14:paraId="473E9ED3" w14:textId="77777777" w:rsidR="00717676" w:rsidRPr="00720B94" w:rsidRDefault="00717676" w:rsidP="00717676">
            <w:r w:rsidRPr="00720B94">
              <w:t>Biowaste should be transported in a manner that prevents leaks, spills, exposures, or releases.</w:t>
            </w:r>
          </w:p>
        </w:tc>
        <w:tc>
          <w:tcPr>
            <w:tcW w:w="1146" w:type="dxa"/>
            <w:vAlign w:val="center"/>
          </w:tcPr>
          <w:p w14:paraId="485FEF6D" w14:textId="77777777" w:rsidR="00717676" w:rsidRPr="00720B94" w:rsidRDefault="00717676" w:rsidP="00717676">
            <w:pPr>
              <w:jc w:val="center"/>
            </w:pPr>
            <w:r w:rsidRPr="00720B94">
              <w:t>Yes</w:t>
            </w:r>
          </w:p>
        </w:tc>
        <w:tc>
          <w:tcPr>
            <w:tcW w:w="1146" w:type="dxa"/>
            <w:vAlign w:val="center"/>
          </w:tcPr>
          <w:p w14:paraId="2370FC38" w14:textId="77777777" w:rsidR="00717676" w:rsidRPr="00720B94" w:rsidRDefault="00717676" w:rsidP="00717676">
            <w:pPr>
              <w:jc w:val="center"/>
            </w:pPr>
            <w:r w:rsidRPr="00720B94">
              <w:t>Yes</w:t>
            </w:r>
          </w:p>
        </w:tc>
        <w:tc>
          <w:tcPr>
            <w:tcW w:w="1031" w:type="dxa"/>
            <w:vAlign w:val="center"/>
          </w:tcPr>
          <w:p w14:paraId="4088BF18" w14:textId="77777777" w:rsidR="00717676" w:rsidRPr="00720B94" w:rsidRDefault="00717676" w:rsidP="00717676">
            <w:pPr>
              <w:jc w:val="center"/>
            </w:pPr>
            <w:r w:rsidRPr="00720B94">
              <w:t>Yes</w:t>
            </w:r>
          </w:p>
        </w:tc>
      </w:tr>
    </w:tbl>
    <w:p w14:paraId="3E8F6F86" w14:textId="77777777" w:rsidR="00410405" w:rsidRPr="00720B94" w:rsidRDefault="00410405" w:rsidP="00720B94">
      <w:pPr>
        <w:spacing w:line="276" w:lineRule="auto"/>
        <w:rPr>
          <w:b/>
          <w:bCs/>
          <w:sz w:val="28"/>
          <w:szCs w:val="28"/>
        </w:rPr>
      </w:pPr>
    </w:p>
    <w:p w14:paraId="60CB3700" w14:textId="77777777" w:rsidR="00692F15" w:rsidRPr="00720B94" w:rsidRDefault="00692F15" w:rsidP="00720B94">
      <w:pPr>
        <w:spacing w:line="276" w:lineRule="auto"/>
        <w:rPr>
          <w:b/>
          <w:bCs/>
          <w:sz w:val="28"/>
          <w:szCs w:val="28"/>
        </w:rPr>
      </w:pPr>
    </w:p>
    <w:p w14:paraId="6961D4D1" w14:textId="77777777" w:rsidR="00692F15" w:rsidRPr="00720B94" w:rsidRDefault="00692F15" w:rsidP="00720B94">
      <w:pPr>
        <w:spacing w:line="276" w:lineRule="auto"/>
        <w:rPr>
          <w:b/>
          <w:bCs/>
          <w:sz w:val="28"/>
          <w:szCs w:val="28"/>
        </w:rPr>
      </w:pPr>
    </w:p>
    <w:p w14:paraId="2D66B2CE" w14:textId="77777777" w:rsidR="00692F15" w:rsidRPr="00720B94" w:rsidRDefault="00692F15" w:rsidP="00720B94">
      <w:pPr>
        <w:spacing w:line="276" w:lineRule="auto"/>
        <w:rPr>
          <w:b/>
          <w:bCs/>
          <w:sz w:val="28"/>
          <w:szCs w:val="28"/>
        </w:rPr>
      </w:pPr>
    </w:p>
    <w:p w14:paraId="3B4AA532" w14:textId="77777777" w:rsidR="00692F15" w:rsidRPr="00720B94" w:rsidRDefault="00692F15" w:rsidP="00720B94">
      <w:pPr>
        <w:spacing w:line="276" w:lineRule="auto"/>
        <w:rPr>
          <w:b/>
          <w:bCs/>
          <w:sz w:val="28"/>
          <w:szCs w:val="28"/>
        </w:rPr>
      </w:pPr>
    </w:p>
    <w:p w14:paraId="38249D1C" w14:textId="77777777" w:rsidR="00692F15" w:rsidRPr="00720B94" w:rsidRDefault="00692F15" w:rsidP="00720B94">
      <w:pPr>
        <w:spacing w:line="276" w:lineRule="auto"/>
        <w:rPr>
          <w:b/>
          <w:bCs/>
          <w:sz w:val="28"/>
          <w:szCs w:val="28"/>
        </w:rPr>
      </w:pPr>
    </w:p>
    <w:p w14:paraId="358CBE56" w14:textId="77777777" w:rsidR="00692F15" w:rsidRPr="00720B94" w:rsidRDefault="00692F15" w:rsidP="00720B94">
      <w:pPr>
        <w:spacing w:line="276" w:lineRule="auto"/>
        <w:rPr>
          <w:b/>
          <w:bCs/>
          <w:sz w:val="28"/>
          <w:szCs w:val="28"/>
        </w:rPr>
      </w:pPr>
    </w:p>
    <w:p w14:paraId="77C97621" w14:textId="77777777" w:rsidR="00692F15" w:rsidRPr="00720B94" w:rsidRDefault="00692F15" w:rsidP="00720B94">
      <w:pPr>
        <w:spacing w:line="276" w:lineRule="auto"/>
        <w:rPr>
          <w:b/>
          <w:bCs/>
          <w:sz w:val="28"/>
          <w:szCs w:val="28"/>
        </w:rPr>
      </w:pPr>
    </w:p>
    <w:p w14:paraId="0FC7D904" w14:textId="77777777" w:rsidR="00717676" w:rsidRDefault="00717676">
      <w:pPr>
        <w:rPr>
          <w:rStyle w:val="Heading1Char"/>
          <w:b/>
          <w:bCs/>
        </w:rPr>
      </w:pPr>
      <w:bookmarkStart w:id="93" w:name="_Toc192509393"/>
      <w:r>
        <w:rPr>
          <w:rStyle w:val="Heading1Char"/>
          <w:b/>
          <w:bCs/>
        </w:rPr>
        <w:br w:type="page"/>
      </w:r>
    </w:p>
    <w:p w14:paraId="69C9A9E3" w14:textId="450FF21B" w:rsidR="00D138EC" w:rsidRPr="00720B94" w:rsidRDefault="00D138EC" w:rsidP="00720B94">
      <w:pPr>
        <w:spacing w:line="276" w:lineRule="auto"/>
        <w:rPr>
          <w:b/>
          <w:bCs/>
          <w:sz w:val="28"/>
          <w:szCs w:val="28"/>
        </w:rPr>
      </w:pPr>
      <w:r w:rsidRPr="00720B94">
        <w:rPr>
          <w:rStyle w:val="Heading1Char"/>
          <w:b/>
          <w:bCs/>
        </w:rPr>
        <w:lastRenderedPageBreak/>
        <w:t>Appendix E</w:t>
      </w:r>
      <w:bookmarkEnd w:id="93"/>
      <w:r w:rsidR="00410405" w:rsidRPr="00720B94">
        <w:rPr>
          <w:b/>
          <w:bCs/>
          <w:sz w:val="28"/>
          <w:szCs w:val="28"/>
        </w:rPr>
        <w:t xml:space="preserve"> </w:t>
      </w:r>
      <w:r w:rsidR="00692F15" w:rsidRPr="00720B94">
        <w:rPr>
          <w:rStyle w:val="Heading1Char"/>
        </w:rPr>
        <w:t>–</w:t>
      </w:r>
      <w:r w:rsidR="00C95E85" w:rsidRPr="00720B94">
        <w:rPr>
          <w:rStyle w:val="Heading1Char"/>
        </w:rPr>
        <w:t xml:space="preserve"> Animal Biosafety</w:t>
      </w:r>
      <w:r w:rsidR="00C95E85" w:rsidRPr="00720B94">
        <w:rPr>
          <w:b/>
          <w:bCs/>
          <w:sz w:val="28"/>
          <w:szCs w:val="28"/>
        </w:rPr>
        <w:t xml:space="preserve"> </w:t>
      </w:r>
      <w:r w:rsidR="00C95E85" w:rsidRPr="00720B94">
        <w:rPr>
          <w:i/>
          <w:iCs/>
          <w:sz w:val="28"/>
          <w:szCs w:val="28"/>
        </w:rPr>
        <w:t xml:space="preserve">(see pg. </w:t>
      </w:r>
      <w:r w:rsidR="00AC2088" w:rsidRPr="00720B94">
        <w:rPr>
          <w:i/>
          <w:iCs/>
          <w:sz w:val="28"/>
          <w:szCs w:val="28"/>
        </w:rPr>
        <w:t>20</w:t>
      </w:r>
      <w:r w:rsidR="00C95E85" w:rsidRPr="00720B94">
        <w:rPr>
          <w:i/>
          <w:iCs/>
          <w:sz w:val="28"/>
          <w:szCs w:val="28"/>
        </w:rPr>
        <w:t>)</w:t>
      </w:r>
    </w:p>
    <w:p w14:paraId="7FDBEB02" w14:textId="77777777" w:rsidR="008E565C" w:rsidRPr="00720B94" w:rsidRDefault="008E565C" w:rsidP="00720B94">
      <w:pPr>
        <w:pStyle w:val="Heading2"/>
      </w:pPr>
      <w:bookmarkStart w:id="94" w:name="_Toc192509394"/>
      <w:r w:rsidRPr="00720B94">
        <w:t>Animal Biosafety Level 1</w:t>
      </w:r>
      <w:bookmarkEnd w:id="94"/>
    </w:p>
    <w:p w14:paraId="32D3A75C" w14:textId="77777777" w:rsidR="008E565C" w:rsidRPr="00720B94" w:rsidRDefault="008E565C" w:rsidP="00720B94">
      <w:r w:rsidRPr="00720B94">
        <w:t xml:space="preserve">Animal Biosafety Level 1 (ABSL1) is suitable for work in animals involving well-characterized agents that are not known to cause disease in immunocompetent adult humans, and present minimal potential hazard to personnel and the environment. ABSL1 facilities should be separated from the general traffic patterns of the building and restricted as appropriate. Special containment equipment or facility design may be required as determined by appropriate risk assessment. (See </w:t>
      </w:r>
      <w:hyperlink r:id="rId172" w:history="1">
        <w:r w:rsidRPr="00717676">
          <w:rPr>
            <w:rStyle w:val="Hyperlink"/>
            <w:color w:val="007D89" w:themeColor="accent3" w:themeShade="BF"/>
          </w:rPr>
          <w:t>BMBL</w:t>
        </w:r>
      </w:hyperlink>
      <w:r w:rsidRPr="00720B94">
        <w:t>, Section II, Biological Risk Assessment.) Personnel must have specific training in animal facility procedures and must be supervised by an individual with adequate knowledge of potential hazards and experimental animal procedures.</w:t>
      </w:r>
    </w:p>
    <w:p w14:paraId="7CC8432B" w14:textId="77777777" w:rsidR="008E565C" w:rsidRPr="00720B94" w:rsidRDefault="008E565C" w:rsidP="00720B94">
      <w:pPr>
        <w:pStyle w:val="Heading2"/>
      </w:pPr>
      <w:bookmarkStart w:id="95" w:name="_Toc192509395"/>
      <w:r w:rsidRPr="00720B94">
        <w:t>Animal Biosafety Level 2</w:t>
      </w:r>
      <w:bookmarkEnd w:id="95"/>
    </w:p>
    <w:p w14:paraId="29C5C527" w14:textId="77777777" w:rsidR="008E565C" w:rsidRPr="00720B94" w:rsidRDefault="008E565C" w:rsidP="00720B94">
      <w:r w:rsidRPr="00720B94">
        <w:t>Animal Biosafety Level 2 (ABSL2) builds upon the practices, procedures, containment equipment, and facility requirements of ABSL1. ABSL2 is suitable for work involving laboratory animals infected with agents associated with human disease and pose moderate hazards to personnel and the environment. It also addresses hazards from ingestion as well as from percutaneous and mucous membrane exposure. ABSL2 requires that: 1) access to the animal facility is restricted; 2) personnel must have specific training in animal facility procedures, the handling of infected animals and the manipulation of pathogenic agents; 3) personnel must be supervised by individuals with adequate knowledge of potential hazards, microbiological agents, animal manipulations and husbandry procedures; and 4) BSCs or other physical containment equipment are used when procedures involve the manipulation of infectious materials, or where aerosols or splashes may be created. Appropriate personal protective equipment must be utilized to reduce exposure to infectious agents, animals, and contaminated equipment. Implementation of employee occupational health programs should be considered.</w:t>
      </w:r>
    </w:p>
    <w:p w14:paraId="23293ED0" w14:textId="77777777" w:rsidR="008E565C" w:rsidRPr="00720B94" w:rsidRDefault="008E565C" w:rsidP="00720B94">
      <w:pPr>
        <w:pStyle w:val="Heading2"/>
      </w:pPr>
      <w:bookmarkStart w:id="96" w:name="_Toc192509396"/>
      <w:r w:rsidRPr="00720B94">
        <w:t>Animal Biosafety Level 3</w:t>
      </w:r>
      <w:bookmarkEnd w:id="96"/>
    </w:p>
    <w:p w14:paraId="005B7CA5" w14:textId="77777777" w:rsidR="008E565C" w:rsidRPr="00720B94" w:rsidRDefault="008E565C" w:rsidP="00720B94">
      <w:r w:rsidRPr="00720B94">
        <w:t>Animal Biosafety Level 3 (ABSL3) involves practices suitable for work with laboratory animals infected with indigenous or exotic agents, agents that present a potential for aerosol transmission, and agents causing serious or potentially lethal disease. ABSL3 builds upon the standard practices, procedures, containment equipment, and facility requirements of ABSL2. The ABSL3 laboratory has special engineering and design features. ABSL3 requires that: 1) access to the animal facility is restricted; 2) personnel must have specific training in animal facility procedures, the handling of infected animals, and the manipulation of potentially lethal agents; 3) personnel must be supervised by individuals with adequate knowledge of potential hazards, microbiological agents, animal manipulations, and husbandry procedures; and 4) procedures involving the manipulation of infectious materials, or where aerosols or splashes may be created, must be conducted in BSCs or by use of other physical containment equipment. Appropriate personal protective equipment must be utilized to reduce exposure to infectious agents, animals, and contaminated equipment. Employee occupational health programs must be implemented.</w:t>
      </w:r>
    </w:p>
    <w:p w14:paraId="6E43B45F" w14:textId="77777777" w:rsidR="00692F15" w:rsidRPr="00720B94" w:rsidRDefault="00692F15" w:rsidP="00720B94">
      <w:pPr>
        <w:spacing w:line="276" w:lineRule="auto"/>
        <w:rPr>
          <w:b/>
          <w:bCs/>
          <w:sz w:val="28"/>
          <w:szCs w:val="28"/>
        </w:rPr>
      </w:pPr>
    </w:p>
    <w:p w14:paraId="70E9BA43" w14:textId="77777777" w:rsidR="008E565C" w:rsidRPr="00720B94" w:rsidRDefault="008E565C" w:rsidP="00720B94">
      <w:pPr>
        <w:spacing w:line="276" w:lineRule="auto"/>
        <w:rPr>
          <w:b/>
          <w:bCs/>
          <w:sz w:val="28"/>
          <w:szCs w:val="28"/>
        </w:rPr>
      </w:pPr>
    </w:p>
    <w:p w14:paraId="58CE9DE2" w14:textId="77777777" w:rsidR="008E565C" w:rsidRPr="00720B94" w:rsidRDefault="008E565C" w:rsidP="00720B94">
      <w:pPr>
        <w:spacing w:line="276" w:lineRule="auto"/>
        <w:rPr>
          <w:b/>
          <w:bCs/>
          <w:sz w:val="28"/>
          <w:szCs w:val="28"/>
        </w:rPr>
      </w:pPr>
    </w:p>
    <w:p w14:paraId="7589477A" w14:textId="77777777" w:rsidR="008E565C" w:rsidRPr="00720B94" w:rsidRDefault="008E565C" w:rsidP="00720B94">
      <w:pPr>
        <w:spacing w:line="276" w:lineRule="auto"/>
        <w:rPr>
          <w:b/>
          <w:bCs/>
          <w:sz w:val="28"/>
          <w:szCs w:val="28"/>
        </w:rPr>
      </w:pPr>
    </w:p>
    <w:p w14:paraId="0719F1A0" w14:textId="5AA1A277" w:rsidR="00D138EC" w:rsidRPr="00720B94" w:rsidRDefault="00D138EC" w:rsidP="00720B94">
      <w:pPr>
        <w:spacing w:line="276" w:lineRule="auto"/>
        <w:rPr>
          <w:b/>
          <w:bCs/>
          <w:sz w:val="28"/>
          <w:szCs w:val="28"/>
        </w:rPr>
      </w:pPr>
      <w:bookmarkStart w:id="97" w:name="_Toc192509397"/>
      <w:r w:rsidRPr="00720B94">
        <w:rPr>
          <w:rStyle w:val="Heading1Char"/>
          <w:b/>
          <w:bCs/>
        </w:rPr>
        <w:lastRenderedPageBreak/>
        <w:t>Appendix F</w:t>
      </w:r>
      <w:bookmarkEnd w:id="97"/>
      <w:r w:rsidR="00410405" w:rsidRPr="00720B94">
        <w:rPr>
          <w:b/>
          <w:bCs/>
          <w:sz w:val="28"/>
          <w:szCs w:val="28"/>
        </w:rPr>
        <w:t xml:space="preserve"> </w:t>
      </w:r>
      <w:r w:rsidR="00C95E85" w:rsidRPr="00720B94">
        <w:rPr>
          <w:rStyle w:val="Heading1Char"/>
        </w:rPr>
        <w:t>–</w:t>
      </w:r>
      <w:r w:rsidR="00410405" w:rsidRPr="00720B94">
        <w:rPr>
          <w:rStyle w:val="Heading1Char"/>
        </w:rPr>
        <w:t xml:space="preserve"> </w:t>
      </w:r>
      <w:r w:rsidR="00C95E85" w:rsidRPr="00720B94">
        <w:rPr>
          <w:rStyle w:val="Heading1Char"/>
        </w:rPr>
        <w:t>A</w:t>
      </w:r>
      <w:r w:rsidR="008E565C" w:rsidRPr="00720B94">
        <w:rPr>
          <w:rStyle w:val="Heading1Char"/>
        </w:rPr>
        <w:t xml:space="preserve">rthropod </w:t>
      </w:r>
      <w:r w:rsidR="00C95E85" w:rsidRPr="00720B94">
        <w:rPr>
          <w:rStyle w:val="Heading1Char"/>
        </w:rPr>
        <w:t>C</w:t>
      </w:r>
      <w:r w:rsidR="008E565C" w:rsidRPr="00720B94">
        <w:rPr>
          <w:rStyle w:val="Heading1Char"/>
        </w:rPr>
        <w:t xml:space="preserve">ontainment </w:t>
      </w:r>
      <w:r w:rsidR="00C95E85" w:rsidRPr="00720B94">
        <w:rPr>
          <w:rStyle w:val="Heading1Char"/>
        </w:rPr>
        <w:t>L</w:t>
      </w:r>
      <w:r w:rsidR="008E565C" w:rsidRPr="00720B94">
        <w:rPr>
          <w:rStyle w:val="Heading1Char"/>
        </w:rPr>
        <w:t>evel</w:t>
      </w:r>
      <w:r w:rsidR="00C95E85" w:rsidRPr="00720B94">
        <w:rPr>
          <w:rStyle w:val="Heading1Char"/>
        </w:rPr>
        <w:t xml:space="preserve"> 1-</w:t>
      </w:r>
      <w:r w:rsidR="00364E36" w:rsidRPr="00720B94">
        <w:rPr>
          <w:rStyle w:val="Heading1Char"/>
        </w:rPr>
        <w:t>3</w:t>
      </w:r>
      <w:r w:rsidR="00C95E85" w:rsidRPr="00720B94">
        <w:rPr>
          <w:b/>
          <w:bCs/>
          <w:sz w:val="28"/>
          <w:szCs w:val="28"/>
        </w:rPr>
        <w:t xml:space="preserve"> </w:t>
      </w:r>
      <w:r w:rsidR="00C95E85" w:rsidRPr="00720B94">
        <w:rPr>
          <w:i/>
          <w:iCs/>
          <w:sz w:val="28"/>
          <w:szCs w:val="28"/>
        </w:rPr>
        <w:t xml:space="preserve">(see pg. </w:t>
      </w:r>
      <w:r w:rsidR="00530BC2" w:rsidRPr="00720B94">
        <w:rPr>
          <w:i/>
          <w:iCs/>
          <w:sz w:val="28"/>
          <w:szCs w:val="28"/>
        </w:rPr>
        <w:t>2</w:t>
      </w:r>
      <w:r w:rsidR="00AC2088" w:rsidRPr="00720B94">
        <w:rPr>
          <w:i/>
          <w:iCs/>
          <w:sz w:val="28"/>
          <w:szCs w:val="28"/>
        </w:rPr>
        <w:t>1</w:t>
      </w:r>
      <w:r w:rsidR="00530BC2" w:rsidRPr="00720B94">
        <w:rPr>
          <w:i/>
          <w:iCs/>
          <w:sz w:val="28"/>
          <w:szCs w:val="28"/>
        </w:rPr>
        <w:t>-2</w:t>
      </w:r>
      <w:r w:rsidR="00AC2088" w:rsidRPr="00720B94">
        <w:rPr>
          <w:i/>
          <w:iCs/>
          <w:sz w:val="28"/>
          <w:szCs w:val="28"/>
        </w:rPr>
        <w:t>2</w:t>
      </w:r>
      <w:r w:rsidR="00C95E85" w:rsidRPr="00720B94">
        <w:rPr>
          <w:i/>
          <w:iCs/>
          <w:sz w:val="28"/>
          <w:szCs w:val="28"/>
        </w:rPr>
        <w:t>)</w:t>
      </w:r>
    </w:p>
    <w:p w14:paraId="11CE733C" w14:textId="77777777" w:rsidR="00530BC2" w:rsidRPr="00720B94" w:rsidRDefault="00530BC2" w:rsidP="00720B94">
      <w:pPr>
        <w:pStyle w:val="Heading2"/>
      </w:pPr>
      <w:bookmarkStart w:id="98" w:name="_Toc192509398"/>
      <w:r w:rsidRPr="00720B94">
        <w:t>Arthropod Containment Level 1</w:t>
      </w:r>
      <w:bookmarkEnd w:id="98"/>
    </w:p>
    <w:p w14:paraId="2B0FBFCA" w14:textId="163D738A" w:rsidR="00530BC2" w:rsidRPr="00720B94" w:rsidRDefault="00530BC2" w:rsidP="00720B94">
      <w:r w:rsidRPr="00720B94">
        <w:t xml:space="preserve">Arthropod Containment Level 1 (ACL1) is suitable for work with uninfected arthropod vectors or those infected with a non-pathogen including arthropods already present in the local region (regardless of whether there is active vector-borne disease transmission and exotic arthropods that would be non-viable upon escape or only temporarily could establish). </w:t>
      </w:r>
    </w:p>
    <w:p w14:paraId="5F2C50DB" w14:textId="77777777" w:rsidR="00530BC2" w:rsidRPr="00720B94" w:rsidRDefault="00530BC2" w:rsidP="00720B94">
      <w:bookmarkStart w:id="99" w:name="_Toc192509399"/>
      <w:r w:rsidRPr="00720B94">
        <w:rPr>
          <w:rStyle w:val="Heading3Char"/>
        </w:rPr>
        <w:t>ACL1 practices</w:t>
      </w:r>
      <w:bookmarkEnd w:id="99"/>
      <w:r w:rsidRPr="00720B94">
        <w:t xml:space="preserve">: </w:t>
      </w:r>
    </w:p>
    <w:p w14:paraId="1E3E1679" w14:textId="77777777" w:rsidR="00530BC2" w:rsidRPr="00720B94" w:rsidRDefault="00530BC2" w:rsidP="0092380E">
      <w:pPr>
        <w:pStyle w:val="ListParagraph"/>
        <w:numPr>
          <w:ilvl w:val="0"/>
          <w:numId w:val="6"/>
        </w:numPr>
        <w:rPr>
          <w:sz w:val="22"/>
          <w:szCs w:val="22"/>
        </w:rPr>
        <w:sectPr w:rsidR="00530BC2" w:rsidRPr="00720B94" w:rsidSect="001F423B">
          <w:type w:val="continuous"/>
          <w:pgSz w:w="12240" w:h="15840"/>
          <w:pgMar w:top="1080" w:right="1080" w:bottom="1080" w:left="1080" w:header="720" w:footer="720" w:gutter="0"/>
          <w:cols w:space="720"/>
          <w:titlePg/>
          <w:docGrid w:linePitch="360"/>
        </w:sectPr>
      </w:pPr>
    </w:p>
    <w:p w14:paraId="4226CF07" w14:textId="77777777" w:rsidR="00530BC2" w:rsidRPr="00720B94" w:rsidRDefault="00530BC2" w:rsidP="0092380E">
      <w:pPr>
        <w:pStyle w:val="ListParagraph"/>
        <w:numPr>
          <w:ilvl w:val="0"/>
          <w:numId w:val="6"/>
        </w:numPr>
        <w:rPr>
          <w:sz w:val="22"/>
          <w:szCs w:val="22"/>
        </w:rPr>
      </w:pPr>
      <w:r w:rsidRPr="00720B94">
        <w:rPr>
          <w:sz w:val="22"/>
          <w:szCs w:val="22"/>
        </w:rPr>
        <w:t xml:space="preserve">Arthropod containers and incubators are located to minimize accidental release (e.g., out of the general traffic flow, avoid hallways) </w:t>
      </w:r>
    </w:p>
    <w:p w14:paraId="65E127D7" w14:textId="77777777" w:rsidR="00530BC2" w:rsidRPr="00720B94" w:rsidRDefault="00530BC2" w:rsidP="0092380E">
      <w:pPr>
        <w:pStyle w:val="ListParagraph"/>
        <w:numPr>
          <w:ilvl w:val="0"/>
          <w:numId w:val="6"/>
        </w:numPr>
        <w:rPr>
          <w:sz w:val="22"/>
          <w:szCs w:val="22"/>
        </w:rPr>
      </w:pPr>
      <w:r w:rsidRPr="00720B94">
        <w:rPr>
          <w:sz w:val="22"/>
          <w:szCs w:val="22"/>
        </w:rPr>
        <w:t xml:space="preserve">Materials that provide breeding sites and harborages are minimized to allow detection of escaped arthropods </w:t>
      </w:r>
    </w:p>
    <w:p w14:paraId="09C25D51" w14:textId="77777777" w:rsidR="00530BC2" w:rsidRPr="00720B94" w:rsidRDefault="00530BC2" w:rsidP="0092380E">
      <w:pPr>
        <w:pStyle w:val="ListParagraph"/>
        <w:numPr>
          <w:ilvl w:val="0"/>
          <w:numId w:val="6"/>
        </w:numPr>
        <w:rPr>
          <w:sz w:val="22"/>
          <w:szCs w:val="22"/>
        </w:rPr>
      </w:pPr>
      <w:r w:rsidRPr="00720B94">
        <w:rPr>
          <w:sz w:val="22"/>
          <w:szCs w:val="22"/>
        </w:rPr>
        <w:t xml:space="preserve">Eliminate accidental sources of arthropods (e.g., clean after spills, eliminate standing water) </w:t>
      </w:r>
    </w:p>
    <w:p w14:paraId="0082A9B9" w14:textId="77777777" w:rsidR="00530BC2" w:rsidRPr="00720B94" w:rsidRDefault="00530BC2" w:rsidP="0092380E">
      <w:pPr>
        <w:pStyle w:val="ListParagraph"/>
        <w:numPr>
          <w:ilvl w:val="0"/>
          <w:numId w:val="6"/>
        </w:numPr>
        <w:rPr>
          <w:sz w:val="22"/>
          <w:szCs w:val="22"/>
        </w:rPr>
      </w:pPr>
      <w:r w:rsidRPr="00720B94">
        <w:rPr>
          <w:sz w:val="22"/>
          <w:szCs w:val="22"/>
        </w:rPr>
        <w:t xml:space="preserve">Cages or containers are cleaned and maintained to prevent survival or escape </w:t>
      </w:r>
    </w:p>
    <w:p w14:paraId="2FB5C1A6" w14:textId="77777777" w:rsidR="00530BC2" w:rsidRPr="00720B94" w:rsidRDefault="00530BC2" w:rsidP="0092380E">
      <w:pPr>
        <w:pStyle w:val="ListParagraph"/>
        <w:numPr>
          <w:ilvl w:val="0"/>
          <w:numId w:val="6"/>
        </w:numPr>
        <w:rPr>
          <w:sz w:val="22"/>
          <w:szCs w:val="22"/>
        </w:rPr>
      </w:pPr>
      <w:r w:rsidRPr="00720B94">
        <w:rPr>
          <w:sz w:val="22"/>
          <w:szCs w:val="22"/>
        </w:rPr>
        <w:t xml:space="preserve">Bags, rearing trays are used to effectively prevent leakage. Screened mesh may be used if durable and of appropriate size. All life cycle stages are considered. </w:t>
      </w:r>
    </w:p>
    <w:p w14:paraId="6AD2D3EC" w14:textId="77777777" w:rsidR="00530BC2" w:rsidRPr="00720B94" w:rsidRDefault="00530BC2" w:rsidP="0092380E">
      <w:pPr>
        <w:pStyle w:val="ListParagraph"/>
        <w:numPr>
          <w:ilvl w:val="0"/>
          <w:numId w:val="6"/>
        </w:numPr>
        <w:rPr>
          <w:sz w:val="22"/>
          <w:szCs w:val="22"/>
        </w:rPr>
      </w:pPr>
      <w:r w:rsidRPr="00720B94">
        <w:rPr>
          <w:sz w:val="22"/>
          <w:szCs w:val="22"/>
        </w:rPr>
        <w:t xml:space="preserve">All life stages of arthropods are killed prior to disposal (e.g., hot water, freezing) </w:t>
      </w:r>
    </w:p>
    <w:p w14:paraId="3518E92D" w14:textId="77777777" w:rsidR="00530BC2" w:rsidRPr="00720B94" w:rsidRDefault="00530BC2" w:rsidP="0092380E">
      <w:pPr>
        <w:pStyle w:val="ListParagraph"/>
        <w:numPr>
          <w:ilvl w:val="0"/>
          <w:numId w:val="6"/>
        </w:numPr>
        <w:rPr>
          <w:sz w:val="22"/>
          <w:szCs w:val="22"/>
        </w:rPr>
      </w:pPr>
      <w:r w:rsidRPr="00720B94">
        <w:rPr>
          <w:sz w:val="22"/>
          <w:szCs w:val="22"/>
        </w:rPr>
        <w:t xml:space="preserve">Labels attached to container identify species, strain or other relevant information for hazard communication </w:t>
      </w:r>
    </w:p>
    <w:p w14:paraId="17B63CE4" w14:textId="77777777" w:rsidR="00530BC2" w:rsidRPr="00720B94" w:rsidRDefault="00530BC2" w:rsidP="0092380E">
      <w:pPr>
        <w:pStyle w:val="ListParagraph"/>
        <w:numPr>
          <w:ilvl w:val="0"/>
          <w:numId w:val="6"/>
        </w:numPr>
        <w:rPr>
          <w:sz w:val="22"/>
          <w:szCs w:val="22"/>
        </w:rPr>
      </w:pPr>
      <w:r w:rsidRPr="00720B94">
        <w:rPr>
          <w:sz w:val="22"/>
          <w:szCs w:val="22"/>
        </w:rPr>
        <w:t xml:space="preserve">Each level of containment and life cycle stage is considered to prevent dispersal on persons </w:t>
      </w:r>
    </w:p>
    <w:p w14:paraId="454AACA0" w14:textId="77777777" w:rsidR="00530BC2" w:rsidRPr="00720B94" w:rsidRDefault="00530BC2" w:rsidP="0092380E">
      <w:pPr>
        <w:pStyle w:val="ListParagraph"/>
        <w:numPr>
          <w:ilvl w:val="0"/>
          <w:numId w:val="6"/>
        </w:numPr>
        <w:rPr>
          <w:sz w:val="22"/>
          <w:szCs w:val="22"/>
        </w:rPr>
      </w:pPr>
      <w:r w:rsidRPr="00720B94">
        <w:rPr>
          <w:sz w:val="22"/>
          <w:szCs w:val="22"/>
        </w:rPr>
        <w:t xml:space="preserve">An effective arthropod trapping program is recommended to monitor the escape prevention program in place </w:t>
      </w:r>
    </w:p>
    <w:p w14:paraId="5CCD5FFF" w14:textId="77777777" w:rsidR="00530BC2" w:rsidRPr="00720B94" w:rsidRDefault="00530BC2" w:rsidP="0092380E">
      <w:pPr>
        <w:pStyle w:val="ListParagraph"/>
        <w:numPr>
          <w:ilvl w:val="0"/>
          <w:numId w:val="6"/>
        </w:numPr>
        <w:rPr>
          <w:sz w:val="22"/>
          <w:szCs w:val="22"/>
        </w:rPr>
      </w:pPr>
      <w:r w:rsidRPr="00720B94">
        <w:rPr>
          <w:sz w:val="22"/>
          <w:szCs w:val="22"/>
        </w:rPr>
        <w:t xml:space="preserve">A program is in place to prevent entrance of wild arthropods and rodents </w:t>
      </w:r>
      <w:r w:rsidRPr="00720B94">
        <w:rPr>
          <w:sz w:val="22"/>
          <w:szCs w:val="22"/>
        </w:rPr>
        <w:t xml:space="preserve">(prevent contamination, predation, inadvertent infection) </w:t>
      </w:r>
    </w:p>
    <w:p w14:paraId="4DE8ACBA" w14:textId="77777777" w:rsidR="00530BC2" w:rsidRPr="00720B94" w:rsidRDefault="00530BC2" w:rsidP="0092380E">
      <w:pPr>
        <w:pStyle w:val="ListParagraph"/>
        <w:numPr>
          <w:ilvl w:val="0"/>
          <w:numId w:val="6"/>
        </w:numPr>
        <w:rPr>
          <w:sz w:val="22"/>
          <w:szCs w:val="22"/>
        </w:rPr>
      </w:pPr>
      <w:r w:rsidRPr="00720B94">
        <w:rPr>
          <w:sz w:val="22"/>
          <w:szCs w:val="22"/>
        </w:rPr>
        <w:t xml:space="preserve">ACL1 signage is posted </w:t>
      </w:r>
    </w:p>
    <w:p w14:paraId="72373568" w14:textId="77777777" w:rsidR="00530BC2" w:rsidRPr="00720B94" w:rsidRDefault="00530BC2" w:rsidP="0092380E">
      <w:pPr>
        <w:pStyle w:val="ListParagraph"/>
        <w:numPr>
          <w:ilvl w:val="0"/>
          <w:numId w:val="6"/>
        </w:numPr>
        <w:rPr>
          <w:sz w:val="22"/>
          <w:szCs w:val="22"/>
        </w:rPr>
      </w:pPr>
      <w:r w:rsidRPr="00720B94">
        <w:rPr>
          <w:sz w:val="22"/>
          <w:szCs w:val="22"/>
        </w:rPr>
        <w:t xml:space="preserve">Vertebrate animals used as hosts or blood sources when housed in the insectary, are adequately protected from escaped arthropods </w:t>
      </w:r>
    </w:p>
    <w:p w14:paraId="4B08CED1" w14:textId="77777777" w:rsidR="00530BC2" w:rsidRPr="00720B94" w:rsidRDefault="00530BC2" w:rsidP="0092380E">
      <w:pPr>
        <w:pStyle w:val="ListParagraph"/>
        <w:numPr>
          <w:ilvl w:val="0"/>
          <w:numId w:val="6"/>
        </w:numPr>
        <w:rPr>
          <w:sz w:val="22"/>
          <w:szCs w:val="22"/>
        </w:rPr>
      </w:pPr>
      <w:r w:rsidRPr="00720B94">
        <w:rPr>
          <w:sz w:val="22"/>
          <w:szCs w:val="22"/>
        </w:rPr>
        <w:t xml:space="preserve">During feeding on host animals: </w:t>
      </w:r>
    </w:p>
    <w:p w14:paraId="2BF30177" w14:textId="77777777" w:rsidR="00530BC2" w:rsidRPr="00720B94" w:rsidRDefault="00530BC2" w:rsidP="0092380E">
      <w:pPr>
        <w:pStyle w:val="ListParagraph"/>
        <w:numPr>
          <w:ilvl w:val="1"/>
          <w:numId w:val="6"/>
        </w:numPr>
        <w:rPr>
          <w:sz w:val="22"/>
          <w:szCs w:val="22"/>
        </w:rPr>
      </w:pPr>
      <w:r w:rsidRPr="00720B94">
        <w:rPr>
          <w:sz w:val="22"/>
          <w:szCs w:val="22"/>
        </w:rPr>
        <w:t>Primary container integrity examined</w:t>
      </w:r>
    </w:p>
    <w:p w14:paraId="248C0E65" w14:textId="77777777" w:rsidR="00530BC2" w:rsidRPr="00720B94" w:rsidRDefault="00530BC2" w:rsidP="0092380E">
      <w:pPr>
        <w:pStyle w:val="ListParagraph"/>
        <w:numPr>
          <w:ilvl w:val="1"/>
          <w:numId w:val="6"/>
        </w:numPr>
        <w:rPr>
          <w:sz w:val="22"/>
          <w:szCs w:val="22"/>
        </w:rPr>
      </w:pPr>
      <w:r w:rsidRPr="00720B94">
        <w:rPr>
          <w:sz w:val="22"/>
          <w:szCs w:val="22"/>
        </w:rPr>
        <w:t xml:space="preserve">Precautions in place to prevent escape via flying, screens, covers </w:t>
      </w:r>
    </w:p>
    <w:p w14:paraId="2C10FC34" w14:textId="77777777" w:rsidR="00530BC2" w:rsidRPr="00720B94" w:rsidRDefault="00530BC2" w:rsidP="0092380E">
      <w:pPr>
        <w:pStyle w:val="ListParagraph"/>
        <w:numPr>
          <w:ilvl w:val="1"/>
          <w:numId w:val="6"/>
        </w:numPr>
        <w:rPr>
          <w:sz w:val="22"/>
          <w:szCs w:val="22"/>
        </w:rPr>
      </w:pPr>
      <w:r w:rsidRPr="00720B94">
        <w:rPr>
          <w:sz w:val="22"/>
          <w:szCs w:val="22"/>
        </w:rPr>
        <w:t xml:space="preserve">Host animals are inspected (ears, axillae, fur, etc.) to prevent escape </w:t>
      </w:r>
    </w:p>
    <w:p w14:paraId="22A8239F" w14:textId="77777777" w:rsidR="00530BC2" w:rsidRPr="00720B94" w:rsidRDefault="00530BC2" w:rsidP="0092380E">
      <w:pPr>
        <w:pStyle w:val="ListParagraph"/>
        <w:numPr>
          <w:ilvl w:val="0"/>
          <w:numId w:val="6"/>
        </w:numPr>
        <w:rPr>
          <w:sz w:val="22"/>
          <w:szCs w:val="22"/>
        </w:rPr>
      </w:pPr>
      <w:r w:rsidRPr="00720B94">
        <w:rPr>
          <w:sz w:val="22"/>
          <w:szCs w:val="22"/>
        </w:rPr>
        <w:t xml:space="preserve">Blood sources are considered. If feasible, use of sterile blood or sources known to be pathogen free are used. If human volunteers are used, risk assessment is required. </w:t>
      </w:r>
    </w:p>
    <w:p w14:paraId="276B3E3D" w14:textId="77777777" w:rsidR="00530BC2" w:rsidRPr="00720B94" w:rsidRDefault="00530BC2" w:rsidP="0092380E">
      <w:pPr>
        <w:pStyle w:val="ListParagraph"/>
        <w:numPr>
          <w:ilvl w:val="0"/>
          <w:numId w:val="6"/>
        </w:numPr>
        <w:rPr>
          <w:sz w:val="22"/>
          <w:szCs w:val="22"/>
        </w:rPr>
      </w:pPr>
      <w:r w:rsidRPr="00720B94">
        <w:rPr>
          <w:sz w:val="22"/>
          <w:szCs w:val="22"/>
        </w:rPr>
        <w:t xml:space="preserve">Gloves are used when handling host animals </w:t>
      </w:r>
    </w:p>
    <w:p w14:paraId="583F7BD5" w14:textId="77777777" w:rsidR="00530BC2" w:rsidRPr="00720B94" w:rsidRDefault="00530BC2" w:rsidP="0092380E">
      <w:pPr>
        <w:pStyle w:val="ListParagraph"/>
        <w:numPr>
          <w:ilvl w:val="0"/>
          <w:numId w:val="6"/>
        </w:numPr>
        <w:rPr>
          <w:sz w:val="22"/>
          <w:szCs w:val="22"/>
        </w:rPr>
      </w:pPr>
      <w:r w:rsidRPr="00720B94">
        <w:rPr>
          <w:sz w:val="22"/>
          <w:szCs w:val="22"/>
        </w:rPr>
        <w:t xml:space="preserve">Lab coats, gowns or uniforms should be </w:t>
      </w:r>
      <w:proofErr w:type="gramStart"/>
      <w:r w:rsidRPr="00720B94">
        <w:rPr>
          <w:sz w:val="22"/>
          <w:szCs w:val="22"/>
        </w:rPr>
        <w:t>worn at all times</w:t>
      </w:r>
      <w:proofErr w:type="gramEnd"/>
      <w:r w:rsidRPr="00720B94">
        <w:rPr>
          <w:sz w:val="22"/>
          <w:szCs w:val="22"/>
        </w:rPr>
        <w:t xml:space="preserve"> </w:t>
      </w:r>
    </w:p>
    <w:p w14:paraId="167E73C5" w14:textId="77777777" w:rsidR="00530BC2" w:rsidRPr="00720B94" w:rsidRDefault="00530BC2" w:rsidP="0092380E">
      <w:pPr>
        <w:pStyle w:val="ListParagraph"/>
        <w:numPr>
          <w:ilvl w:val="0"/>
          <w:numId w:val="6"/>
        </w:numPr>
        <w:spacing w:after="160"/>
        <w:rPr>
          <w:sz w:val="22"/>
          <w:szCs w:val="22"/>
        </w:rPr>
      </w:pPr>
      <w:r w:rsidRPr="00720B94">
        <w:rPr>
          <w:sz w:val="22"/>
          <w:szCs w:val="22"/>
        </w:rPr>
        <w:t>Risk assessment performed to determine the need for arthropod specific PPE (e.g., respirators for allergies, particle masks, head covers)</w:t>
      </w:r>
    </w:p>
    <w:p w14:paraId="4EF0ECE8" w14:textId="77777777" w:rsidR="00530BC2" w:rsidRPr="00720B94" w:rsidRDefault="00530BC2" w:rsidP="00720B94">
      <w:pPr>
        <w:sectPr w:rsidR="00530BC2" w:rsidRPr="00720B94" w:rsidSect="00530BC2">
          <w:type w:val="continuous"/>
          <w:pgSz w:w="12240" w:h="15840"/>
          <w:pgMar w:top="1080" w:right="1080" w:bottom="1080" w:left="1080" w:header="720" w:footer="720" w:gutter="0"/>
          <w:cols w:num="2" w:space="720"/>
          <w:titlePg/>
          <w:docGrid w:linePitch="360"/>
        </w:sectPr>
      </w:pPr>
    </w:p>
    <w:p w14:paraId="7D5924D9" w14:textId="77777777" w:rsidR="00530BC2" w:rsidRPr="00720B94" w:rsidRDefault="00530BC2" w:rsidP="00720B94"/>
    <w:p w14:paraId="0C2C1ACC" w14:textId="0BBD6F07" w:rsidR="00530BC2" w:rsidRPr="00720B94" w:rsidRDefault="00530BC2" w:rsidP="00720B94">
      <w:pPr>
        <w:pStyle w:val="Heading3"/>
      </w:pPr>
      <w:bookmarkStart w:id="100" w:name="_Toc192509400"/>
      <w:r w:rsidRPr="00720B94">
        <w:t>ACL1 facilities:</w:t>
      </w:r>
      <w:bookmarkEnd w:id="100"/>
      <w:r w:rsidRPr="00720B94">
        <w:t xml:space="preserve"> </w:t>
      </w:r>
    </w:p>
    <w:p w14:paraId="130CA980" w14:textId="77777777" w:rsidR="00530BC2" w:rsidRPr="00720B94" w:rsidRDefault="00530BC2" w:rsidP="0092380E">
      <w:pPr>
        <w:pStyle w:val="ListParagraph"/>
        <w:numPr>
          <w:ilvl w:val="0"/>
          <w:numId w:val="7"/>
        </w:numPr>
        <w:rPr>
          <w:sz w:val="22"/>
          <w:szCs w:val="22"/>
        </w:rPr>
      </w:pPr>
      <w:r w:rsidRPr="00720B94">
        <w:rPr>
          <w:sz w:val="22"/>
          <w:szCs w:val="22"/>
        </w:rPr>
        <w:t xml:space="preserve">Insectary is separated from general building traffic </w:t>
      </w:r>
    </w:p>
    <w:p w14:paraId="67CF5F7A" w14:textId="77777777" w:rsidR="00530BC2" w:rsidRPr="00720B94" w:rsidRDefault="00530BC2" w:rsidP="0092380E">
      <w:pPr>
        <w:pStyle w:val="ListParagraph"/>
        <w:numPr>
          <w:ilvl w:val="0"/>
          <w:numId w:val="7"/>
        </w:numPr>
        <w:rPr>
          <w:sz w:val="22"/>
          <w:szCs w:val="22"/>
        </w:rPr>
      </w:pPr>
      <w:r w:rsidRPr="00720B94">
        <w:rPr>
          <w:sz w:val="22"/>
          <w:szCs w:val="22"/>
        </w:rPr>
        <w:t xml:space="preserve">Insectary doors minimize escape and entrance of arthropods (ridged panels, screens, glass, plastic sheets, cloth) </w:t>
      </w:r>
    </w:p>
    <w:p w14:paraId="198EAC35" w14:textId="77777777" w:rsidR="00530BC2" w:rsidRPr="00720B94" w:rsidRDefault="00530BC2" w:rsidP="0092380E">
      <w:pPr>
        <w:pStyle w:val="ListParagraph"/>
        <w:numPr>
          <w:ilvl w:val="0"/>
          <w:numId w:val="7"/>
        </w:numPr>
        <w:rPr>
          <w:sz w:val="22"/>
          <w:szCs w:val="22"/>
        </w:rPr>
      </w:pPr>
      <w:r w:rsidRPr="00720B94">
        <w:rPr>
          <w:sz w:val="22"/>
          <w:szCs w:val="22"/>
        </w:rPr>
        <w:t xml:space="preserve">If facility is not designed as an </w:t>
      </w:r>
      <w:proofErr w:type="gramStart"/>
      <w:r w:rsidRPr="00720B94">
        <w:rPr>
          <w:sz w:val="22"/>
          <w:szCs w:val="22"/>
        </w:rPr>
        <w:t>insectary</w:t>
      </w:r>
      <w:proofErr w:type="gramEnd"/>
      <w:r w:rsidRPr="00720B94">
        <w:rPr>
          <w:sz w:val="22"/>
          <w:szCs w:val="22"/>
        </w:rPr>
        <w:t xml:space="preserve"> it may be used considering the following: </w:t>
      </w:r>
    </w:p>
    <w:p w14:paraId="11711B6A" w14:textId="77777777" w:rsidR="00530BC2" w:rsidRPr="00720B94" w:rsidRDefault="00530BC2" w:rsidP="0092380E">
      <w:pPr>
        <w:pStyle w:val="ListParagraph"/>
        <w:numPr>
          <w:ilvl w:val="1"/>
          <w:numId w:val="7"/>
        </w:numPr>
        <w:rPr>
          <w:sz w:val="22"/>
          <w:szCs w:val="22"/>
        </w:rPr>
      </w:pPr>
      <w:r w:rsidRPr="00720B94">
        <w:rPr>
          <w:sz w:val="22"/>
          <w:szCs w:val="22"/>
        </w:rPr>
        <w:t xml:space="preserve">Arthropods held by a ‘cage within a cage’ </w:t>
      </w:r>
    </w:p>
    <w:p w14:paraId="3B3560CA" w14:textId="77777777" w:rsidR="00530BC2" w:rsidRPr="00720B94" w:rsidRDefault="00530BC2" w:rsidP="0092380E">
      <w:pPr>
        <w:pStyle w:val="ListParagraph"/>
        <w:numPr>
          <w:ilvl w:val="1"/>
          <w:numId w:val="7"/>
        </w:numPr>
        <w:rPr>
          <w:sz w:val="22"/>
          <w:szCs w:val="22"/>
        </w:rPr>
      </w:pPr>
      <w:r w:rsidRPr="00720B94">
        <w:rPr>
          <w:sz w:val="22"/>
          <w:szCs w:val="22"/>
        </w:rPr>
        <w:t xml:space="preserve">Use of practices preventing escape (e.g., chilling containers before removing mosquitos, non-flying species manipulated in pans within moats of water) </w:t>
      </w:r>
    </w:p>
    <w:p w14:paraId="09CEF077" w14:textId="77777777" w:rsidR="00530BC2" w:rsidRPr="00720B94" w:rsidRDefault="00530BC2" w:rsidP="0092380E">
      <w:pPr>
        <w:pStyle w:val="ListParagraph"/>
        <w:numPr>
          <w:ilvl w:val="1"/>
          <w:numId w:val="7"/>
        </w:numPr>
        <w:spacing w:after="160"/>
        <w:rPr>
          <w:sz w:val="22"/>
          <w:szCs w:val="22"/>
        </w:rPr>
      </w:pPr>
      <w:r w:rsidRPr="00720B94">
        <w:rPr>
          <w:sz w:val="22"/>
          <w:szCs w:val="22"/>
        </w:rPr>
        <w:t>Use of Plexiglas glove boxes</w:t>
      </w:r>
    </w:p>
    <w:p w14:paraId="62EBB8DB" w14:textId="77777777" w:rsidR="00530BC2" w:rsidRPr="00720B94" w:rsidRDefault="00530BC2" w:rsidP="00720B94">
      <w:pPr>
        <w:pStyle w:val="Heading2"/>
      </w:pPr>
      <w:bookmarkStart w:id="101" w:name="_Toc192509401"/>
      <w:r w:rsidRPr="00720B94">
        <w:lastRenderedPageBreak/>
        <w:t>Arthropod Containment Level 2</w:t>
      </w:r>
      <w:bookmarkEnd w:id="101"/>
    </w:p>
    <w:p w14:paraId="081F892C" w14:textId="77777777" w:rsidR="00530BC2" w:rsidRPr="00720B94" w:rsidRDefault="00530BC2" w:rsidP="00720B94">
      <w:r w:rsidRPr="00720B94">
        <w:t xml:space="preserve">Arthropod Containment Level 2 (ACL2) builds upon ACL1 and is more stringent in physical containment, disposal, and facility requirements. ACL2 is suitable for work with exotic and indigenous arthropods known or suspected to be infected with RG2 agents associated with animal or human disease. It is also appropriate for uninfected genetically modified arthropod vectors of disease provided the genetic modification does not or is not anticipated to increase viability, host range, survival, or vector capacity. </w:t>
      </w:r>
    </w:p>
    <w:p w14:paraId="3CDE07C5" w14:textId="77777777" w:rsidR="00530BC2" w:rsidRPr="00720B94" w:rsidRDefault="00530BC2" w:rsidP="00720B94">
      <w:bookmarkStart w:id="102" w:name="_Toc192509402"/>
      <w:r w:rsidRPr="00720B94">
        <w:rPr>
          <w:rStyle w:val="Heading3Char"/>
        </w:rPr>
        <w:t>ACL2 practices</w:t>
      </w:r>
      <w:bookmarkEnd w:id="102"/>
      <w:r w:rsidRPr="00720B94">
        <w:t xml:space="preserve">: </w:t>
      </w:r>
    </w:p>
    <w:p w14:paraId="5FE799B5" w14:textId="77777777" w:rsidR="00530BC2" w:rsidRPr="00720B94" w:rsidRDefault="00530BC2" w:rsidP="0092380E">
      <w:pPr>
        <w:pStyle w:val="ListParagraph"/>
        <w:numPr>
          <w:ilvl w:val="0"/>
          <w:numId w:val="8"/>
        </w:numPr>
        <w:rPr>
          <w:sz w:val="22"/>
          <w:szCs w:val="22"/>
        </w:rPr>
        <w:sectPr w:rsidR="00530BC2" w:rsidRPr="00720B94" w:rsidSect="00530BC2">
          <w:type w:val="continuous"/>
          <w:pgSz w:w="12240" w:h="15840"/>
          <w:pgMar w:top="1080" w:right="1080" w:bottom="1080" w:left="1080" w:header="720" w:footer="720" w:gutter="0"/>
          <w:cols w:space="720"/>
          <w:titlePg/>
          <w:docGrid w:linePitch="360"/>
        </w:sectPr>
      </w:pPr>
    </w:p>
    <w:p w14:paraId="2CDCDF8B" w14:textId="77777777" w:rsidR="00530BC2" w:rsidRPr="00720B94" w:rsidRDefault="00530BC2" w:rsidP="0092380E">
      <w:pPr>
        <w:pStyle w:val="ListParagraph"/>
        <w:numPr>
          <w:ilvl w:val="0"/>
          <w:numId w:val="8"/>
        </w:numPr>
        <w:rPr>
          <w:sz w:val="22"/>
          <w:szCs w:val="22"/>
        </w:rPr>
      </w:pPr>
      <w:r w:rsidRPr="00720B94">
        <w:rPr>
          <w:sz w:val="22"/>
          <w:szCs w:val="22"/>
        </w:rPr>
        <w:t xml:space="preserve">Laboratory is designed to detect escaped arthropods </w:t>
      </w:r>
    </w:p>
    <w:p w14:paraId="30789C35" w14:textId="77777777" w:rsidR="00530BC2" w:rsidRPr="00720B94" w:rsidRDefault="00530BC2" w:rsidP="0092380E">
      <w:pPr>
        <w:pStyle w:val="ListParagraph"/>
        <w:numPr>
          <w:ilvl w:val="1"/>
          <w:numId w:val="8"/>
        </w:numPr>
        <w:rPr>
          <w:sz w:val="22"/>
          <w:szCs w:val="22"/>
        </w:rPr>
      </w:pPr>
      <w:r w:rsidRPr="00720B94">
        <w:rPr>
          <w:sz w:val="22"/>
          <w:szCs w:val="22"/>
        </w:rPr>
        <w:t xml:space="preserve">Equipment and supplies not needed for operation are located outside of the insectary </w:t>
      </w:r>
    </w:p>
    <w:p w14:paraId="1E0D6663" w14:textId="77777777" w:rsidR="00530BC2" w:rsidRPr="00720B94" w:rsidRDefault="00530BC2" w:rsidP="0092380E">
      <w:pPr>
        <w:pStyle w:val="ListParagraph"/>
        <w:numPr>
          <w:ilvl w:val="1"/>
          <w:numId w:val="8"/>
        </w:numPr>
        <w:rPr>
          <w:sz w:val="22"/>
          <w:szCs w:val="22"/>
        </w:rPr>
      </w:pPr>
      <w:r w:rsidRPr="00720B94">
        <w:rPr>
          <w:sz w:val="22"/>
          <w:szCs w:val="22"/>
        </w:rPr>
        <w:t xml:space="preserve">Supplies needed are not located on open shelves (recommend closed storage room or cabinets with tight fitting doors) </w:t>
      </w:r>
    </w:p>
    <w:p w14:paraId="031DA23C" w14:textId="77777777" w:rsidR="00530BC2" w:rsidRPr="00720B94" w:rsidRDefault="00530BC2" w:rsidP="0092380E">
      <w:pPr>
        <w:pStyle w:val="ListParagraph"/>
        <w:numPr>
          <w:ilvl w:val="1"/>
          <w:numId w:val="8"/>
        </w:numPr>
        <w:rPr>
          <w:sz w:val="22"/>
          <w:szCs w:val="22"/>
        </w:rPr>
      </w:pPr>
      <w:r w:rsidRPr="00720B94">
        <w:rPr>
          <w:sz w:val="22"/>
          <w:szCs w:val="22"/>
        </w:rPr>
        <w:t xml:space="preserve">Insect diet kept in sealed containers </w:t>
      </w:r>
    </w:p>
    <w:p w14:paraId="22E5891A" w14:textId="77777777" w:rsidR="00530BC2" w:rsidRPr="00720B94" w:rsidRDefault="00530BC2" w:rsidP="0092380E">
      <w:pPr>
        <w:pStyle w:val="ListParagraph"/>
        <w:numPr>
          <w:ilvl w:val="0"/>
          <w:numId w:val="8"/>
        </w:numPr>
        <w:rPr>
          <w:sz w:val="22"/>
          <w:szCs w:val="22"/>
        </w:rPr>
      </w:pPr>
      <w:r w:rsidRPr="00720B94">
        <w:rPr>
          <w:sz w:val="22"/>
          <w:szCs w:val="22"/>
        </w:rPr>
        <w:t xml:space="preserve">Cages are shatter proof and screened to prevent escape; may be disposable or autoclavable and designed to prevent escape </w:t>
      </w:r>
    </w:p>
    <w:p w14:paraId="5AC971DA" w14:textId="77777777" w:rsidR="00530BC2" w:rsidRPr="00720B94" w:rsidRDefault="00530BC2" w:rsidP="0092380E">
      <w:pPr>
        <w:pStyle w:val="ListParagraph"/>
        <w:numPr>
          <w:ilvl w:val="0"/>
          <w:numId w:val="8"/>
        </w:numPr>
        <w:rPr>
          <w:sz w:val="22"/>
          <w:szCs w:val="22"/>
        </w:rPr>
      </w:pPr>
      <w:r w:rsidRPr="00720B94">
        <w:rPr>
          <w:sz w:val="22"/>
          <w:szCs w:val="22"/>
        </w:rPr>
        <w:t xml:space="preserve">All life stages of uninfected arthropods must be killed prior to disposal freezing or other suitable method </w:t>
      </w:r>
    </w:p>
    <w:p w14:paraId="7D21AD01" w14:textId="77777777" w:rsidR="00530BC2" w:rsidRPr="00720B94" w:rsidRDefault="00530BC2" w:rsidP="0092380E">
      <w:pPr>
        <w:pStyle w:val="ListParagraph"/>
        <w:numPr>
          <w:ilvl w:val="0"/>
          <w:numId w:val="8"/>
        </w:numPr>
        <w:rPr>
          <w:sz w:val="22"/>
          <w:szCs w:val="22"/>
        </w:rPr>
      </w:pPr>
      <w:r w:rsidRPr="00720B94">
        <w:rPr>
          <w:sz w:val="22"/>
          <w:szCs w:val="22"/>
        </w:rPr>
        <w:t xml:space="preserve">All life stages of infected arthropods should be autoclaved or decontaminated with chemical disinfectant prior to disposal based on agent specific risk assessment </w:t>
      </w:r>
    </w:p>
    <w:p w14:paraId="0FF70663" w14:textId="77777777" w:rsidR="00530BC2" w:rsidRPr="00720B94" w:rsidRDefault="00530BC2" w:rsidP="0092380E">
      <w:pPr>
        <w:pStyle w:val="ListParagraph"/>
        <w:numPr>
          <w:ilvl w:val="0"/>
          <w:numId w:val="8"/>
        </w:numPr>
        <w:rPr>
          <w:sz w:val="22"/>
          <w:szCs w:val="22"/>
        </w:rPr>
      </w:pPr>
      <w:r w:rsidRPr="00720B94">
        <w:rPr>
          <w:sz w:val="22"/>
          <w:szCs w:val="22"/>
        </w:rPr>
        <w:t>Uninfected and infected arthropod containers are clearly labeled; separate rooms are recommended</w:t>
      </w:r>
    </w:p>
    <w:p w14:paraId="12BCC3BB" w14:textId="77777777" w:rsidR="00530BC2" w:rsidRPr="00720B94" w:rsidRDefault="00530BC2" w:rsidP="0092380E">
      <w:pPr>
        <w:pStyle w:val="ListParagraph"/>
        <w:numPr>
          <w:ilvl w:val="0"/>
          <w:numId w:val="8"/>
        </w:numPr>
        <w:rPr>
          <w:sz w:val="22"/>
          <w:szCs w:val="22"/>
        </w:rPr>
      </w:pPr>
      <w:r w:rsidRPr="00720B94">
        <w:rPr>
          <w:sz w:val="22"/>
          <w:szCs w:val="22"/>
        </w:rPr>
        <w:t xml:space="preserve">Wash hands before leaving the insectary and after handling infected arthropods or cultures </w:t>
      </w:r>
    </w:p>
    <w:p w14:paraId="6EADA683" w14:textId="77777777" w:rsidR="00530BC2" w:rsidRPr="00720B94" w:rsidRDefault="00530BC2" w:rsidP="0092380E">
      <w:pPr>
        <w:pStyle w:val="ListParagraph"/>
        <w:numPr>
          <w:ilvl w:val="0"/>
          <w:numId w:val="8"/>
        </w:numPr>
        <w:rPr>
          <w:sz w:val="22"/>
          <w:szCs w:val="22"/>
        </w:rPr>
      </w:pPr>
      <w:r w:rsidRPr="00720B94">
        <w:rPr>
          <w:sz w:val="22"/>
          <w:szCs w:val="22"/>
        </w:rPr>
        <w:t xml:space="preserve">PPE that is reused is checked for infestation prior to insectary exit </w:t>
      </w:r>
    </w:p>
    <w:p w14:paraId="16D9D7AB" w14:textId="77777777" w:rsidR="00530BC2" w:rsidRPr="00720B94" w:rsidRDefault="00530BC2" w:rsidP="0092380E">
      <w:pPr>
        <w:pStyle w:val="ListParagraph"/>
        <w:numPr>
          <w:ilvl w:val="0"/>
          <w:numId w:val="8"/>
        </w:numPr>
        <w:rPr>
          <w:sz w:val="22"/>
          <w:szCs w:val="22"/>
        </w:rPr>
      </w:pPr>
      <w:r w:rsidRPr="00720B94">
        <w:rPr>
          <w:sz w:val="22"/>
          <w:szCs w:val="22"/>
        </w:rPr>
        <w:t xml:space="preserve">Species-appropriate escape measure(s) are in place (e.g., oviposition traps, ground-level flea traps, oil-filled channels surrounding tick colonies, light traps for mosquitoes) </w:t>
      </w:r>
    </w:p>
    <w:p w14:paraId="3E337A23" w14:textId="77777777" w:rsidR="00530BC2" w:rsidRPr="00720B94" w:rsidRDefault="00530BC2" w:rsidP="0092380E">
      <w:pPr>
        <w:pStyle w:val="ListParagraph"/>
        <w:numPr>
          <w:ilvl w:val="0"/>
          <w:numId w:val="8"/>
        </w:numPr>
        <w:rPr>
          <w:sz w:val="22"/>
          <w:szCs w:val="22"/>
        </w:rPr>
      </w:pPr>
      <w:r w:rsidRPr="00720B94">
        <w:rPr>
          <w:sz w:val="22"/>
          <w:szCs w:val="22"/>
        </w:rPr>
        <w:t xml:space="preserve">Exterior monitoring for exotic species is recommended </w:t>
      </w:r>
    </w:p>
    <w:p w14:paraId="57E16156" w14:textId="77777777" w:rsidR="00530BC2" w:rsidRPr="00720B94" w:rsidRDefault="00530BC2" w:rsidP="0092380E">
      <w:pPr>
        <w:pStyle w:val="ListParagraph"/>
        <w:numPr>
          <w:ilvl w:val="0"/>
          <w:numId w:val="8"/>
        </w:numPr>
        <w:rPr>
          <w:sz w:val="22"/>
          <w:szCs w:val="22"/>
        </w:rPr>
      </w:pPr>
      <w:r w:rsidRPr="00720B94">
        <w:rPr>
          <w:sz w:val="22"/>
          <w:szCs w:val="22"/>
        </w:rPr>
        <w:t xml:space="preserve">Breeding and harborage areas are eliminated, furniture and lab space are easy to clean </w:t>
      </w:r>
    </w:p>
    <w:p w14:paraId="7C600B29" w14:textId="77777777" w:rsidR="00530BC2" w:rsidRPr="00720B94" w:rsidRDefault="00530BC2" w:rsidP="0092380E">
      <w:pPr>
        <w:pStyle w:val="ListParagraph"/>
        <w:numPr>
          <w:ilvl w:val="0"/>
          <w:numId w:val="8"/>
        </w:numPr>
        <w:rPr>
          <w:sz w:val="22"/>
          <w:szCs w:val="22"/>
        </w:rPr>
      </w:pPr>
      <w:r w:rsidRPr="00720B94">
        <w:rPr>
          <w:sz w:val="22"/>
          <w:szCs w:val="22"/>
        </w:rPr>
        <w:t xml:space="preserve">Sharps use and disposal as per the biosafety protocol </w:t>
      </w:r>
    </w:p>
    <w:p w14:paraId="0B992BD1" w14:textId="77777777" w:rsidR="00530BC2" w:rsidRPr="00720B94" w:rsidRDefault="00530BC2" w:rsidP="0092380E">
      <w:pPr>
        <w:pStyle w:val="ListParagraph"/>
        <w:numPr>
          <w:ilvl w:val="0"/>
          <w:numId w:val="8"/>
        </w:numPr>
        <w:rPr>
          <w:sz w:val="22"/>
          <w:szCs w:val="22"/>
        </w:rPr>
      </w:pPr>
      <w:r w:rsidRPr="00720B94">
        <w:rPr>
          <w:sz w:val="22"/>
          <w:szCs w:val="22"/>
        </w:rPr>
        <w:t xml:space="preserve">Equipment and work surfaces are routinely cleaned as per biosafety protocol </w:t>
      </w:r>
    </w:p>
    <w:p w14:paraId="0E32B796" w14:textId="77777777" w:rsidR="00530BC2" w:rsidRPr="00720B94" w:rsidRDefault="00530BC2" w:rsidP="0092380E">
      <w:pPr>
        <w:pStyle w:val="ListParagraph"/>
        <w:numPr>
          <w:ilvl w:val="0"/>
          <w:numId w:val="8"/>
        </w:numPr>
        <w:rPr>
          <w:sz w:val="22"/>
          <w:szCs w:val="22"/>
        </w:rPr>
      </w:pPr>
      <w:r w:rsidRPr="00720B94">
        <w:rPr>
          <w:sz w:val="22"/>
          <w:szCs w:val="22"/>
        </w:rPr>
        <w:t xml:space="preserve">Appropriate signage is posted </w:t>
      </w:r>
    </w:p>
    <w:p w14:paraId="4AB9B3FB" w14:textId="77777777" w:rsidR="00530BC2" w:rsidRPr="00720B94" w:rsidRDefault="00530BC2" w:rsidP="0092380E">
      <w:pPr>
        <w:pStyle w:val="ListParagraph"/>
        <w:numPr>
          <w:ilvl w:val="1"/>
          <w:numId w:val="8"/>
        </w:numPr>
        <w:rPr>
          <w:sz w:val="22"/>
          <w:szCs w:val="22"/>
        </w:rPr>
      </w:pPr>
      <w:r w:rsidRPr="00720B94">
        <w:rPr>
          <w:sz w:val="22"/>
          <w:szCs w:val="22"/>
        </w:rPr>
        <w:t xml:space="preserve">BSL2 sign is posted if applicable </w:t>
      </w:r>
    </w:p>
    <w:p w14:paraId="513A90C1" w14:textId="77777777" w:rsidR="00530BC2" w:rsidRPr="00720B94" w:rsidRDefault="00530BC2" w:rsidP="0092380E">
      <w:pPr>
        <w:pStyle w:val="ListParagraph"/>
        <w:numPr>
          <w:ilvl w:val="1"/>
          <w:numId w:val="8"/>
        </w:numPr>
        <w:rPr>
          <w:sz w:val="22"/>
          <w:szCs w:val="22"/>
        </w:rPr>
      </w:pPr>
      <w:r w:rsidRPr="00720B94">
        <w:rPr>
          <w:sz w:val="22"/>
          <w:szCs w:val="22"/>
        </w:rPr>
        <w:t xml:space="preserve">ACL2 sign is posted (arthropod species, agent, name and phone number of responsible person, any special entry requirements) </w:t>
      </w:r>
    </w:p>
    <w:p w14:paraId="4ED01D85" w14:textId="77777777" w:rsidR="00530BC2" w:rsidRPr="00720B94" w:rsidRDefault="00530BC2" w:rsidP="0092380E">
      <w:pPr>
        <w:pStyle w:val="ListParagraph"/>
        <w:numPr>
          <w:ilvl w:val="0"/>
          <w:numId w:val="8"/>
        </w:numPr>
        <w:rPr>
          <w:sz w:val="22"/>
          <w:szCs w:val="22"/>
        </w:rPr>
      </w:pPr>
      <w:r w:rsidRPr="00720B94">
        <w:rPr>
          <w:sz w:val="22"/>
          <w:szCs w:val="22"/>
        </w:rPr>
        <w:t xml:space="preserve">Insectary access is limited to trained persons, guests are escorted and provided hazard communication </w:t>
      </w:r>
    </w:p>
    <w:p w14:paraId="21095641" w14:textId="77777777" w:rsidR="00530BC2" w:rsidRPr="00720B94" w:rsidRDefault="00530BC2" w:rsidP="0092380E">
      <w:pPr>
        <w:pStyle w:val="ListParagraph"/>
        <w:numPr>
          <w:ilvl w:val="0"/>
          <w:numId w:val="8"/>
        </w:numPr>
        <w:rPr>
          <w:sz w:val="22"/>
          <w:szCs w:val="22"/>
        </w:rPr>
      </w:pPr>
      <w:r w:rsidRPr="00720B94">
        <w:rPr>
          <w:sz w:val="22"/>
          <w:szCs w:val="22"/>
        </w:rPr>
        <w:t xml:space="preserve">Animals used as hosts or blood sources are not housed with arthropods and protected from escapees </w:t>
      </w:r>
    </w:p>
    <w:p w14:paraId="7E3EB468" w14:textId="77777777" w:rsidR="00530BC2" w:rsidRPr="00720B94" w:rsidRDefault="00530BC2" w:rsidP="0092380E">
      <w:pPr>
        <w:pStyle w:val="ListParagraph"/>
        <w:numPr>
          <w:ilvl w:val="0"/>
          <w:numId w:val="8"/>
        </w:numPr>
        <w:rPr>
          <w:sz w:val="22"/>
          <w:szCs w:val="22"/>
        </w:rPr>
      </w:pPr>
      <w:r w:rsidRPr="00720B94">
        <w:rPr>
          <w:sz w:val="22"/>
          <w:szCs w:val="22"/>
        </w:rPr>
        <w:t xml:space="preserve">Living arthropods are moved from ACL1 to ACL2 for infection and are not transported from ACL2 to ACL1 </w:t>
      </w:r>
    </w:p>
    <w:p w14:paraId="469BEDD8" w14:textId="77777777" w:rsidR="00530BC2" w:rsidRPr="00720B94" w:rsidRDefault="00530BC2" w:rsidP="0092380E">
      <w:pPr>
        <w:pStyle w:val="ListParagraph"/>
        <w:numPr>
          <w:ilvl w:val="0"/>
          <w:numId w:val="8"/>
        </w:numPr>
        <w:rPr>
          <w:sz w:val="22"/>
          <w:szCs w:val="22"/>
        </w:rPr>
      </w:pPr>
      <w:r w:rsidRPr="00720B94">
        <w:rPr>
          <w:sz w:val="22"/>
          <w:szCs w:val="22"/>
        </w:rPr>
        <w:t xml:space="preserve">Escaped arthropods are killed, disposed of or re-captured and returned to their container; infected arthropods are not killed with bare hands and are manipulated with other means </w:t>
      </w:r>
    </w:p>
    <w:p w14:paraId="67005F3E" w14:textId="77777777" w:rsidR="00530BC2" w:rsidRPr="00720B94" w:rsidRDefault="00530BC2" w:rsidP="0092380E">
      <w:pPr>
        <w:pStyle w:val="ListParagraph"/>
        <w:numPr>
          <w:ilvl w:val="0"/>
          <w:numId w:val="8"/>
        </w:numPr>
        <w:rPr>
          <w:sz w:val="22"/>
          <w:szCs w:val="22"/>
        </w:rPr>
      </w:pPr>
      <w:r w:rsidRPr="00720B94">
        <w:rPr>
          <w:sz w:val="22"/>
          <w:szCs w:val="22"/>
        </w:rPr>
        <w:t xml:space="preserve">Accidental release procedure is posted including reporting procedures </w:t>
      </w:r>
    </w:p>
    <w:p w14:paraId="1452BD52" w14:textId="77777777" w:rsidR="00530BC2" w:rsidRPr="00720B94" w:rsidRDefault="00530BC2" w:rsidP="0092380E">
      <w:pPr>
        <w:pStyle w:val="ListParagraph"/>
        <w:numPr>
          <w:ilvl w:val="0"/>
          <w:numId w:val="8"/>
        </w:numPr>
        <w:rPr>
          <w:sz w:val="22"/>
          <w:szCs w:val="22"/>
        </w:rPr>
      </w:pPr>
      <w:r w:rsidRPr="00720B94">
        <w:rPr>
          <w:sz w:val="22"/>
          <w:szCs w:val="22"/>
        </w:rPr>
        <w:t xml:space="preserve">All equipment is decontaminated and disinfested before moving between rooms within the insectary and before removal from the insectary </w:t>
      </w:r>
    </w:p>
    <w:p w14:paraId="4535A691" w14:textId="77777777" w:rsidR="00530BC2" w:rsidRPr="00720B94" w:rsidRDefault="00530BC2" w:rsidP="0092380E">
      <w:pPr>
        <w:pStyle w:val="ListParagraph"/>
        <w:numPr>
          <w:ilvl w:val="0"/>
          <w:numId w:val="8"/>
        </w:numPr>
        <w:spacing w:after="160"/>
        <w:rPr>
          <w:sz w:val="22"/>
          <w:szCs w:val="22"/>
        </w:rPr>
      </w:pPr>
      <w:r w:rsidRPr="00720B94">
        <w:rPr>
          <w:sz w:val="22"/>
          <w:szCs w:val="22"/>
        </w:rPr>
        <w:t xml:space="preserve">Clothing should minimize exposed skin </w:t>
      </w:r>
    </w:p>
    <w:p w14:paraId="53009EC7" w14:textId="77777777" w:rsidR="00530BC2" w:rsidRPr="00720B94" w:rsidRDefault="00530BC2" w:rsidP="00720B94">
      <w:pPr>
        <w:sectPr w:rsidR="00530BC2" w:rsidRPr="00720B94" w:rsidSect="00530BC2">
          <w:type w:val="continuous"/>
          <w:pgSz w:w="12240" w:h="15840"/>
          <w:pgMar w:top="1080" w:right="1080" w:bottom="1080" w:left="1080" w:header="720" w:footer="720" w:gutter="0"/>
          <w:cols w:num="2" w:space="720"/>
          <w:titlePg/>
          <w:docGrid w:linePitch="360"/>
        </w:sectPr>
      </w:pPr>
    </w:p>
    <w:p w14:paraId="3643CFDC" w14:textId="77777777" w:rsidR="00530BC2" w:rsidRPr="00720B94" w:rsidRDefault="00530BC2" w:rsidP="00720B94">
      <w:bookmarkStart w:id="103" w:name="_Toc192509403"/>
      <w:r w:rsidRPr="00720B94">
        <w:rPr>
          <w:rStyle w:val="Heading3Char"/>
        </w:rPr>
        <w:t>ACL2 facilities</w:t>
      </w:r>
      <w:bookmarkEnd w:id="103"/>
      <w:r w:rsidRPr="00720B94">
        <w:t xml:space="preserve">: </w:t>
      </w:r>
    </w:p>
    <w:p w14:paraId="6289F3D3" w14:textId="77777777" w:rsidR="00530BC2" w:rsidRPr="00720B94" w:rsidRDefault="00530BC2" w:rsidP="0092380E">
      <w:pPr>
        <w:pStyle w:val="ListParagraph"/>
        <w:numPr>
          <w:ilvl w:val="0"/>
          <w:numId w:val="8"/>
        </w:numPr>
        <w:rPr>
          <w:sz w:val="22"/>
          <w:szCs w:val="22"/>
        </w:rPr>
      </w:pPr>
      <w:r w:rsidRPr="00720B94">
        <w:rPr>
          <w:sz w:val="22"/>
          <w:szCs w:val="22"/>
        </w:rPr>
        <w:t xml:space="preserve">Locate arthropods in dedicated rooms, closets, incubators out of traffic flow to prevent accidental contact and release </w:t>
      </w:r>
    </w:p>
    <w:p w14:paraId="615BDBBD" w14:textId="77777777" w:rsidR="00530BC2" w:rsidRPr="00720B94" w:rsidRDefault="00530BC2" w:rsidP="0092380E">
      <w:pPr>
        <w:pStyle w:val="ListParagraph"/>
        <w:numPr>
          <w:ilvl w:val="1"/>
          <w:numId w:val="8"/>
        </w:numPr>
        <w:rPr>
          <w:sz w:val="22"/>
          <w:szCs w:val="22"/>
        </w:rPr>
      </w:pPr>
      <w:r w:rsidRPr="00720B94">
        <w:rPr>
          <w:sz w:val="22"/>
          <w:szCs w:val="22"/>
        </w:rPr>
        <w:t xml:space="preserve">Recommend at least two self-closing doors; not opened simultaneously </w:t>
      </w:r>
    </w:p>
    <w:p w14:paraId="1C09C5B1" w14:textId="77777777" w:rsidR="00530BC2" w:rsidRPr="00720B94" w:rsidRDefault="00530BC2" w:rsidP="0092380E">
      <w:pPr>
        <w:pStyle w:val="ListParagraph"/>
        <w:numPr>
          <w:ilvl w:val="1"/>
          <w:numId w:val="8"/>
        </w:numPr>
        <w:rPr>
          <w:sz w:val="22"/>
          <w:szCs w:val="22"/>
        </w:rPr>
      </w:pPr>
      <w:r w:rsidRPr="00720B94">
        <w:rPr>
          <w:sz w:val="22"/>
          <w:szCs w:val="22"/>
        </w:rPr>
        <w:lastRenderedPageBreak/>
        <w:t xml:space="preserve">Entrance door prevents flying and crawling arthropod escape o Increased isolation (e.g., separate building, wing, suite) </w:t>
      </w:r>
    </w:p>
    <w:p w14:paraId="3DF1DD95" w14:textId="77777777" w:rsidR="00530BC2" w:rsidRPr="00720B94" w:rsidRDefault="00530BC2" w:rsidP="0092380E">
      <w:pPr>
        <w:pStyle w:val="ListParagraph"/>
        <w:numPr>
          <w:ilvl w:val="1"/>
          <w:numId w:val="8"/>
        </w:numPr>
        <w:rPr>
          <w:sz w:val="22"/>
          <w:szCs w:val="22"/>
        </w:rPr>
      </w:pPr>
      <w:r w:rsidRPr="00720B94">
        <w:rPr>
          <w:sz w:val="22"/>
          <w:szCs w:val="22"/>
        </w:rPr>
        <w:t xml:space="preserve">Windows are not recommended; if present, they need to be resistant to breakage and well-sealed </w:t>
      </w:r>
    </w:p>
    <w:p w14:paraId="02CE8582" w14:textId="77777777" w:rsidR="00530BC2" w:rsidRPr="00720B94" w:rsidRDefault="00530BC2" w:rsidP="0092380E">
      <w:pPr>
        <w:pStyle w:val="ListParagraph"/>
        <w:numPr>
          <w:ilvl w:val="1"/>
          <w:numId w:val="8"/>
        </w:numPr>
        <w:rPr>
          <w:sz w:val="22"/>
          <w:szCs w:val="22"/>
        </w:rPr>
      </w:pPr>
      <w:r w:rsidRPr="00720B94">
        <w:rPr>
          <w:sz w:val="22"/>
          <w:szCs w:val="22"/>
        </w:rPr>
        <w:t xml:space="preserve">Outlets, vacuum systems, floor drains, plumbing, electrical fixtures are designed to prevent accidental release of arthropods and agents (e.g., filters, traps filled with disinfectant, walls light colored, minimal wall floor and ceiling penetrations, sealed, avoid lighted or dark openings that attract arthropods </w:t>
      </w:r>
    </w:p>
    <w:p w14:paraId="47E480AD" w14:textId="77777777" w:rsidR="00530BC2" w:rsidRPr="00720B94" w:rsidRDefault="00530BC2" w:rsidP="0092380E">
      <w:pPr>
        <w:pStyle w:val="ListParagraph"/>
        <w:numPr>
          <w:ilvl w:val="1"/>
          <w:numId w:val="8"/>
        </w:numPr>
        <w:rPr>
          <w:sz w:val="22"/>
          <w:szCs w:val="22"/>
        </w:rPr>
      </w:pPr>
      <w:r w:rsidRPr="00720B94">
        <w:rPr>
          <w:sz w:val="22"/>
          <w:szCs w:val="22"/>
        </w:rPr>
        <w:t xml:space="preserve">Additional barriers may be needed based on lab-specific space assessment (e.g., screened partitions, hanging curtains) </w:t>
      </w:r>
    </w:p>
    <w:p w14:paraId="24294C63" w14:textId="77777777" w:rsidR="00530BC2" w:rsidRPr="00720B94" w:rsidRDefault="00530BC2" w:rsidP="0092380E">
      <w:pPr>
        <w:pStyle w:val="ListParagraph"/>
        <w:numPr>
          <w:ilvl w:val="1"/>
          <w:numId w:val="8"/>
        </w:numPr>
        <w:rPr>
          <w:sz w:val="22"/>
          <w:szCs w:val="22"/>
        </w:rPr>
      </w:pPr>
      <w:r w:rsidRPr="00720B94">
        <w:rPr>
          <w:sz w:val="22"/>
          <w:szCs w:val="22"/>
        </w:rPr>
        <w:t>Recommend dedicated area for handling infected arthropods (e.g., walk-in incubator, screen room, separate cubicle)</w:t>
      </w:r>
    </w:p>
    <w:p w14:paraId="5F642CC8" w14:textId="77777777" w:rsidR="00530BC2" w:rsidRPr="00720B94" w:rsidRDefault="00530BC2" w:rsidP="0092380E">
      <w:pPr>
        <w:pStyle w:val="ListParagraph"/>
        <w:numPr>
          <w:ilvl w:val="0"/>
          <w:numId w:val="8"/>
        </w:numPr>
        <w:rPr>
          <w:sz w:val="22"/>
          <w:szCs w:val="22"/>
        </w:rPr>
      </w:pPr>
      <w:r w:rsidRPr="00720B94">
        <w:rPr>
          <w:sz w:val="22"/>
          <w:szCs w:val="22"/>
        </w:rPr>
        <w:t xml:space="preserve">HVAC requirements as per BSL2 laboratory requirements </w:t>
      </w:r>
    </w:p>
    <w:p w14:paraId="2116E50D" w14:textId="77777777" w:rsidR="00530BC2" w:rsidRPr="00720B94" w:rsidRDefault="00530BC2" w:rsidP="0092380E">
      <w:pPr>
        <w:pStyle w:val="ListParagraph"/>
        <w:numPr>
          <w:ilvl w:val="0"/>
          <w:numId w:val="8"/>
        </w:numPr>
        <w:spacing w:after="160"/>
        <w:rPr>
          <w:sz w:val="22"/>
          <w:szCs w:val="22"/>
        </w:rPr>
      </w:pPr>
      <w:r w:rsidRPr="00720B94">
        <w:rPr>
          <w:sz w:val="22"/>
          <w:szCs w:val="22"/>
        </w:rPr>
        <w:t>Handwashing sinks available</w:t>
      </w:r>
    </w:p>
    <w:p w14:paraId="4C32CDE8" w14:textId="56164609" w:rsidR="00364E36" w:rsidRPr="00720B94" w:rsidRDefault="00364E36" w:rsidP="00720B94">
      <w:pPr>
        <w:pStyle w:val="ListParagraph"/>
        <w:spacing w:after="160"/>
        <w:rPr>
          <w:sz w:val="22"/>
          <w:szCs w:val="22"/>
        </w:rPr>
      </w:pPr>
    </w:p>
    <w:p w14:paraId="4E91B9DC" w14:textId="77777777" w:rsidR="00364E36" w:rsidRPr="00720B94" w:rsidRDefault="00364E36" w:rsidP="00720B94">
      <w:pPr>
        <w:pStyle w:val="ListParagraph"/>
        <w:spacing w:after="160"/>
        <w:rPr>
          <w:sz w:val="22"/>
          <w:szCs w:val="22"/>
        </w:rPr>
      </w:pPr>
    </w:p>
    <w:p w14:paraId="065DE8E3" w14:textId="77777777" w:rsidR="00530BC2" w:rsidRPr="00720B94" w:rsidRDefault="00530BC2" w:rsidP="00720B94">
      <w:pPr>
        <w:pStyle w:val="Heading2"/>
      </w:pPr>
      <w:bookmarkStart w:id="104" w:name="_Toc192509404"/>
      <w:r w:rsidRPr="00720B94">
        <w:t>Arthropod Containment Level 3</w:t>
      </w:r>
      <w:bookmarkEnd w:id="104"/>
    </w:p>
    <w:p w14:paraId="5BBBF2AD" w14:textId="77777777" w:rsidR="00530BC2" w:rsidRPr="00720B94" w:rsidRDefault="00530BC2" w:rsidP="00720B94">
      <w:r w:rsidRPr="00720B94">
        <w:t xml:space="preserve">Arthropod Containment Level 3 (ACL3) containment builds on the ACL1 and ACL2 recommendations and focuses on microbiological containment. ACL3 is suitable for work with arthropods that are known or potential vectors of RG3 microbes or are likely to be infected with RG3 microbes. </w:t>
      </w:r>
    </w:p>
    <w:p w14:paraId="5459C91D" w14:textId="77777777" w:rsidR="00530BC2" w:rsidRPr="00720B94" w:rsidRDefault="00530BC2" w:rsidP="00720B94">
      <w:bookmarkStart w:id="105" w:name="_Toc192509405"/>
      <w:r w:rsidRPr="00720B94">
        <w:rPr>
          <w:rStyle w:val="Heading3Char"/>
        </w:rPr>
        <w:t>ACL3 practices</w:t>
      </w:r>
      <w:bookmarkEnd w:id="105"/>
      <w:r w:rsidRPr="00720B94">
        <w:t xml:space="preserve">: </w:t>
      </w:r>
    </w:p>
    <w:p w14:paraId="22EE965A" w14:textId="77777777" w:rsidR="00364E36" w:rsidRPr="00720B94" w:rsidRDefault="00364E36" w:rsidP="0092380E">
      <w:pPr>
        <w:pStyle w:val="ListParagraph"/>
        <w:numPr>
          <w:ilvl w:val="0"/>
          <w:numId w:val="9"/>
        </w:numPr>
        <w:rPr>
          <w:sz w:val="22"/>
          <w:szCs w:val="22"/>
        </w:rPr>
        <w:sectPr w:rsidR="00364E36" w:rsidRPr="00720B94" w:rsidSect="00530BC2">
          <w:type w:val="continuous"/>
          <w:pgSz w:w="12240" w:h="15840"/>
          <w:pgMar w:top="1080" w:right="1080" w:bottom="1080" w:left="1080" w:header="720" w:footer="720" w:gutter="0"/>
          <w:cols w:space="720"/>
          <w:titlePg/>
          <w:docGrid w:linePitch="360"/>
        </w:sectPr>
      </w:pPr>
    </w:p>
    <w:p w14:paraId="13853774" w14:textId="77777777" w:rsidR="00530BC2" w:rsidRPr="00720B94" w:rsidRDefault="00530BC2" w:rsidP="0092380E">
      <w:pPr>
        <w:pStyle w:val="ListParagraph"/>
        <w:numPr>
          <w:ilvl w:val="0"/>
          <w:numId w:val="9"/>
        </w:numPr>
        <w:rPr>
          <w:sz w:val="22"/>
          <w:szCs w:val="22"/>
        </w:rPr>
      </w:pPr>
      <w:r w:rsidRPr="00720B94">
        <w:rPr>
          <w:sz w:val="22"/>
          <w:szCs w:val="22"/>
        </w:rPr>
        <w:t xml:space="preserve">Housing is designed to prevent contact and release of arthropods </w:t>
      </w:r>
    </w:p>
    <w:p w14:paraId="78AD0F6A" w14:textId="77777777" w:rsidR="00530BC2" w:rsidRPr="00720B94" w:rsidRDefault="00530BC2" w:rsidP="0092380E">
      <w:pPr>
        <w:pStyle w:val="ListParagraph"/>
        <w:numPr>
          <w:ilvl w:val="1"/>
          <w:numId w:val="9"/>
        </w:numPr>
        <w:rPr>
          <w:sz w:val="22"/>
          <w:szCs w:val="22"/>
        </w:rPr>
      </w:pPr>
      <w:r w:rsidRPr="00720B94">
        <w:rPr>
          <w:sz w:val="22"/>
          <w:szCs w:val="22"/>
        </w:rPr>
        <w:t xml:space="preserve">Incubators serve as an additional layer of containment </w:t>
      </w:r>
    </w:p>
    <w:p w14:paraId="22355124" w14:textId="77777777" w:rsidR="00530BC2" w:rsidRPr="00720B94" w:rsidRDefault="00530BC2" w:rsidP="0092380E">
      <w:pPr>
        <w:pStyle w:val="ListParagraph"/>
        <w:numPr>
          <w:ilvl w:val="1"/>
          <w:numId w:val="9"/>
        </w:numPr>
        <w:rPr>
          <w:sz w:val="22"/>
          <w:szCs w:val="22"/>
        </w:rPr>
      </w:pPr>
      <w:r w:rsidRPr="00720B94">
        <w:rPr>
          <w:sz w:val="22"/>
          <w:szCs w:val="22"/>
        </w:rPr>
        <w:t xml:space="preserve">Less mobile vector arthropods (e.g., ticks) held within vials contained in desiccator cabinets or other escape-proof secondary or tertiary housing if incubator not used </w:t>
      </w:r>
    </w:p>
    <w:p w14:paraId="7276A0D3" w14:textId="77777777" w:rsidR="00530BC2" w:rsidRPr="00720B94" w:rsidRDefault="00530BC2" w:rsidP="0092380E">
      <w:pPr>
        <w:pStyle w:val="ListParagraph"/>
        <w:numPr>
          <w:ilvl w:val="0"/>
          <w:numId w:val="9"/>
        </w:numPr>
        <w:rPr>
          <w:sz w:val="22"/>
          <w:szCs w:val="22"/>
        </w:rPr>
      </w:pPr>
      <w:r w:rsidRPr="00720B94">
        <w:rPr>
          <w:sz w:val="22"/>
          <w:szCs w:val="22"/>
        </w:rPr>
        <w:t xml:space="preserve">Manipulation of arthropods in a BSC is difficult and can increase the risks associated with arthropod vector research. Because BMBL states, “All procedures involving the manipulations of infected materials are conducted within a biological safety cabinets or other physical containment devices,” a risk assessment is performed by the IBC for procedures performed outside of containment. </w:t>
      </w:r>
    </w:p>
    <w:p w14:paraId="4C04BB2F" w14:textId="77777777" w:rsidR="00530BC2" w:rsidRPr="00720B94" w:rsidRDefault="00530BC2" w:rsidP="0092380E">
      <w:pPr>
        <w:pStyle w:val="ListParagraph"/>
        <w:numPr>
          <w:ilvl w:val="0"/>
          <w:numId w:val="9"/>
        </w:numPr>
        <w:rPr>
          <w:sz w:val="22"/>
          <w:szCs w:val="22"/>
        </w:rPr>
      </w:pPr>
      <w:r w:rsidRPr="00720B94">
        <w:rPr>
          <w:sz w:val="22"/>
          <w:szCs w:val="22"/>
        </w:rPr>
        <w:t xml:space="preserve">Materials used to wipe or mop insectary are autoclaved prior to disposal </w:t>
      </w:r>
    </w:p>
    <w:p w14:paraId="6C8DCFB7" w14:textId="77777777" w:rsidR="00530BC2" w:rsidRPr="00720B94" w:rsidRDefault="00530BC2" w:rsidP="0092380E">
      <w:pPr>
        <w:pStyle w:val="ListParagraph"/>
        <w:numPr>
          <w:ilvl w:val="0"/>
          <w:numId w:val="9"/>
        </w:numPr>
        <w:rPr>
          <w:sz w:val="22"/>
          <w:szCs w:val="22"/>
        </w:rPr>
      </w:pPr>
      <w:r w:rsidRPr="00720B94">
        <w:rPr>
          <w:sz w:val="22"/>
          <w:szCs w:val="22"/>
        </w:rPr>
        <w:t xml:space="preserve">Special spill protocols are in place and only trained persons perform spill cleanup </w:t>
      </w:r>
    </w:p>
    <w:p w14:paraId="176690ED" w14:textId="77777777" w:rsidR="00530BC2" w:rsidRPr="00720B94" w:rsidRDefault="00530BC2" w:rsidP="0092380E">
      <w:pPr>
        <w:pStyle w:val="ListParagraph"/>
        <w:numPr>
          <w:ilvl w:val="0"/>
          <w:numId w:val="9"/>
        </w:numPr>
        <w:rPr>
          <w:sz w:val="22"/>
          <w:szCs w:val="22"/>
        </w:rPr>
      </w:pPr>
      <w:r w:rsidRPr="00720B94">
        <w:rPr>
          <w:sz w:val="22"/>
          <w:szCs w:val="22"/>
        </w:rPr>
        <w:t xml:space="preserve">Special considerations to aerosol generation are needed, even for disinfestation and decontamination of containers. The IBC will review and perform a risk assessment. </w:t>
      </w:r>
    </w:p>
    <w:p w14:paraId="54D287DF" w14:textId="77777777" w:rsidR="00530BC2" w:rsidRPr="00720B94" w:rsidRDefault="00530BC2" w:rsidP="0092380E">
      <w:pPr>
        <w:pStyle w:val="ListParagraph"/>
        <w:numPr>
          <w:ilvl w:val="0"/>
          <w:numId w:val="9"/>
        </w:numPr>
        <w:rPr>
          <w:sz w:val="22"/>
          <w:szCs w:val="22"/>
        </w:rPr>
      </w:pPr>
      <w:r w:rsidRPr="00720B94">
        <w:rPr>
          <w:sz w:val="22"/>
          <w:szCs w:val="22"/>
        </w:rPr>
        <w:t xml:space="preserve">Living infected arthropods should be killed by freezing or other appropriate method prior to autoclaving or incineration </w:t>
      </w:r>
    </w:p>
    <w:p w14:paraId="2BB3638F" w14:textId="77777777" w:rsidR="00530BC2" w:rsidRPr="00720B94" w:rsidRDefault="00530BC2" w:rsidP="0092380E">
      <w:pPr>
        <w:pStyle w:val="ListParagraph"/>
        <w:numPr>
          <w:ilvl w:val="0"/>
          <w:numId w:val="9"/>
        </w:numPr>
        <w:rPr>
          <w:sz w:val="22"/>
          <w:szCs w:val="22"/>
        </w:rPr>
      </w:pPr>
      <w:r w:rsidRPr="00720B94">
        <w:rPr>
          <w:sz w:val="22"/>
          <w:szCs w:val="22"/>
        </w:rPr>
        <w:t xml:space="preserve">Only arthropods requiring ACL3 should be housed in the ACL3 insectary </w:t>
      </w:r>
    </w:p>
    <w:p w14:paraId="1BFF2DDB" w14:textId="77777777" w:rsidR="00530BC2" w:rsidRPr="00720B94" w:rsidRDefault="00530BC2" w:rsidP="0092380E">
      <w:pPr>
        <w:pStyle w:val="ListParagraph"/>
        <w:numPr>
          <w:ilvl w:val="0"/>
          <w:numId w:val="9"/>
        </w:numPr>
        <w:rPr>
          <w:sz w:val="22"/>
          <w:szCs w:val="22"/>
        </w:rPr>
      </w:pPr>
      <w:r w:rsidRPr="00720B94">
        <w:rPr>
          <w:sz w:val="22"/>
          <w:szCs w:val="22"/>
        </w:rPr>
        <w:t xml:space="preserve">Viable potentially infected arthropods and infected arthropods of all life stages should not leave the ACL3 insectary. If integral to the research, a risk assessment is performed by the IBC. </w:t>
      </w:r>
    </w:p>
    <w:p w14:paraId="278EFA49" w14:textId="77777777" w:rsidR="00530BC2" w:rsidRPr="00720B94" w:rsidRDefault="00530BC2" w:rsidP="0092380E">
      <w:pPr>
        <w:pStyle w:val="ListParagraph"/>
        <w:numPr>
          <w:ilvl w:val="0"/>
          <w:numId w:val="9"/>
        </w:numPr>
        <w:rPr>
          <w:sz w:val="22"/>
          <w:szCs w:val="22"/>
        </w:rPr>
      </w:pPr>
      <w:r w:rsidRPr="00720B94">
        <w:rPr>
          <w:sz w:val="22"/>
          <w:szCs w:val="22"/>
        </w:rPr>
        <w:t xml:space="preserve">Recommend “count in, count out” method </w:t>
      </w:r>
    </w:p>
    <w:p w14:paraId="33248030" w14:textId="77777777" w:rsidR="00530BC2" w:rsidRPr="00720B94" w:rsidRDefault="00530BC2" w:rsidP="0092380E">
      <w:pPr>
        <w:pStyle w:val="ListParagraph"/>
        <w:numPr>
          <w:ilvl w:val="0"/>
          <w:numId w:val="9"/>
        </w:numPr>
        <w:rPr>
          <w:sz w:val="22"/>
          <w:szCs w:val="22"/>
        </w:rPr>
      </w:pPr>
      <w:r w:rsidRPr="00720B94">
        <w:rPr>
          <w:sz w:val="22"/>
          <w:szCs w:val="22"/>
        </w:rPr>
        <w:t xml:space="preserve">Recommend that the number of arthropods in a container be on the label </w:t>
      </w:r>
    </w:p>
    <w:p w14:paraId="1A5677B9" w14:textId="77777777" w:rsidR="00530BC2" w:rsidRPr="00720B94" w:rsidRDefault="00530BC2" w:rsidP="0092380E">
      <w:pPr>
        <w:pStyle w:val="ListParagraph"/>
        <w:numPr>
          <w:ilvl w:val="0"/>
          <w:numId w:val="9"/>
        </w:numPr>
        <w:rPr>
          <w:sz w:val="22"/>
          <w:szCs w:val="22"/>
        </w:rPr>
      </w:pPr>
      <w:r w:rsidRPr="00720B94">
        <w:rPr>
          <w:sz w:val="22"/>
          <w:szCs w:val="22"/>
        </w:rPr>
        <w:t xml:space="preserve">Footwear dedicated for the ACL3 is recommended </w:t>
      </w:r>
    </w:p>
    <w:p w14:paraId="023BB639" w14:textId="77777777" w:rsidR="00530BC2" w:rsidRPr="00720B94" w:rsidRDefault="00530BC2" w:rsidP="0092380E">
      <w:pPr>
        <w:pStyle w:val="ListParagraph"/>
        <w:numPr>
          <w:ilvl w:val="0"/>
          <w:numId w:val="9"/>
        </w:numPr>
        <w:rPr>
          <w:sz w:val="22"/>
          <w:szCs w:val="22"/>
        </w:rPr>
      </w:pPr>
      <w:r w:rsidRPr="00720B94">
        <w:rPr>
          <w:sz w:val="22"/>
          <w:szCs w:val="22"/>
        </w:rPr>
        <w:t xml:space="preserve">Pesticide for emergency use is available in areas of likely arthropod escape </w:t>
      </w:r>
    </w:p>
    <w:p w14:paraId="360ABB96" w14:textId="77777777" w:rsidR="00364E36" w:rsidRPr="00720B94" w:rsidRDefault="00530BC2" w:rsidP="0092380E">
      <w:pPr>
        <w:pStyle w:val="ListParagraph"/>
        <w:numPr>
          <w:ilvl w:val="0"/>
          <w:numId w:val="9"/>
        </w:numPr>
        <w:spacing w:after="160"/>
        <w:rPr>
          <w:sz w:val="22"/>
          <w:szCs w:val="22"/>
        </w:rPr>
        <w:sectPr w:rsidR="00364E36" w:rsidRPr="00720B94" w:rsidSect="00364E36">
          <w:type w:val="continuous"/>
          <w:pgSz w:w="12240" w:h="15840"/>
          <w:pgMar w:top="1080" w:right="1080" w:bottom="1080" w:left="1080" w:header="720" w:footer="720" w:gutter="0"/>
          <w:cols w:num="2" w:space="720"/>
          <w:titlePg/>
          <w:docGrid w:linePitch="360"/>
        </w:sectPr>
      </w:pPr>
      <w:r w:rsidRPr="00720B94">
        <w:rPr>
          <w:sz w:val="22"/>
          <w:szCs w:val="22"/>
        </w:rPr>
        <w:t xml:space="preserve">Operational procedures are reviewed by the IBC </w:t>
      </w:r>
    </w:p>
    <w:p w14:paraId="47CA5D28" w14:textId="77777777" w:rsidR="00530BC2" w:rsidRPr="00720B94" w:rsidRDefault="00530BC2" w:rsidP="00720B94">
      <w:pPr>
        <w:pStyle w:val="ListParagraph"/>
        <w:spacing w:after="160"/>
        <w:rPr>
          <w:sz w:val="22"/>
          <w:szCs w:val="22"/>
        </w:rPr>
      </w:pPr>
    </w:p>
    <w:p w14:paraId="315D99DC" w14:textId="15E82C19" w:rsidR="00364E36" w:rsidRPr="00720B94" w:rsidRDefault="00364E36" w:rsidP="00720B94">
      <w:pPr>
        <w:pStyle w:val="ListParagraph"/>
        <w:spacing w:after="160"/>
        <w:rPr>
          <w:sz w:val="22"/>
          <w:szCs w:val="22"/>
        </w:rPr>
      </w:pPr>
    </w:p>
    <w:p w14:paraId="54B0C8E0" w14:textId="77777777" w:rsidR="00364E36" w:rsidRPr="00720B94" w:rsidRDefault="00364E36" w:rsidP="00720B94">
      <w:pPr>
        <w:pStyle w:val="ListParagraph"/>
        <w:spacing w:after="160"/>
        <w:rPr>
          <w:sz w:val="22"/>
          <w:szCs w:val="22"/>
        </w:rPr>
      </w:pPr>
    </w:p>
    <w:p w14:paraId="3964A711" w14:textId="77777777" w:rsidR="00530BC2" w:rsidRPr="00720B94" w:rsidRDefault="00530BC2" w:rsidP="00720B94">
      <w:bookmarkStart w:id="106" w:name="_Toc192509406"/>
      <w:r w:rsidRPr="00720B94">
        <w:rPr>
          <w:rStyle w:val="Heading3Char"/>
        </w:rPr>
        <w:lastRenderedPageBreak/>
        <w:t>ACL3 facilities</w:t>
      </w:r>
      <w:bookmarkEnd w:id="106"/>
      <w:r w:rsidRPr="00720B94">
        <w:t xml:space="preserve">: </w:t>
      </w:r>
    </w:p>
    <w:p w14:paraId="656A185B" w14:textId="77777777" w:rsidR="00530BC2" w:rsidRPr="00720B94" w:rsidRDefault="00530BC2" w:rsidP="0092380E">
      <w:pPr>
        <w:pStyle w:val="ListParagraph"/>
        <w:numPr>
          <w:ilvl w:val="0"/>
          <w:numId w:val="10"/>
        </w:numPr>
        <w:rPr>
          <w:sz w:val="22"/>
          <w:szCs w:val="22"/>
        </w:rPr>
      </w:pPr>
      <w:r w:rsidRPr="00720B94">
        <w:rPr>
          <w:sz w:val="22"/>
          <w:szCs w:val="22"/>
        </w:rPr>
        <w:t xml:space="preserve">Dedicated BSL3 rooms, wings, or suites </w:t>
      </w:r>
    </w:p>
    <w:p w14:paraId="32354B74" w14:textId="77777777" w:rsidR="00530BC2" w:rsidRPr="00720B94" w:rsidRDefault="00530BC2" w:rsidP="0092380E">
      <w:pPr>
        <w:pStyle w:val="ListParagraph"/>
        <w:numPr>
          <w:ilvl w:val="0"/>
          <w:numId w:val="10"/>
        </w:numPr>
        <w:rPr>
          <w:sz w:val="22"/>
          <w:szCs w:val="22"/>
        </w:rPr>
      </w:pPr>
      <w:r w:rsidRPr="00720B94">
        <w:rPr>
          <w:sz w:val="22"/>
          <w:szCs w:val="22"/>
        </w:rPr>
        <w:t xml:space="preserve">Insectary features: </w:t>
      </w:r>
    </w:p>
    <w:p w14:paraId="419C664D" w14:textId="77777777" w:rsidR="00530BC2" w:rsidRPr="00720B94" w:rsidRDefault="00530BC2" w:rsidP="0092380E">
      <w:pPr>
        <w:pStyle w:val="ListParagraph"/>
        <w:numPr>
          <w:ilvl w:val="1"/>
          <w:numId w:val="10"/>
        </w:numPr>
        <w:rPr>
          <w:sz w:val="22"/>
          <w:szCs w:val="22"/>
        </w:rPr>
      </w:pPr>
      <w:r w:rsidRPr="00720B94">
        <w:rPr>
          <w:sz w:val="22"/>
          <w:szCs w:val="22"/>
        </w:rPr>
        <w:t xml:space="preserve">Insectary is locked and access is controlled (e.g., key, proximity reader, or card key) </w:t>
      </w:r>
    </w:p>
    <w:p w14:paraId="280D648D" w14:textId="77777777" w:rsidR="00530BC2" w:rsidRPr="00720B94" w:rsidRDefault="00530BC2" w:rsidP="0092380E">
      <w:pPr>
        <w:pStyle w:val="ListParagraph"/>
        <w:numPr>
          <w:ilvl w:val="1"/>
          <w:numId w:val="10"/>
        </w:numPr>
        <w:rPr>
          <w:sz w:val="22"/>
          <w:szCs w:val="22"/>
        </w:rPr>
      </w:pPr>
      <w:r w:rsidRPr="00720B94">
        <w:rPr>
          <w:sz w:val="22"/>
          <w:szCs w:val="22"/>
        </w:rPr>
        <w:t xml:space="preserve">Double door entry with a change room </w:t>
      </w:r>
    </w:p>
    <w:p w14:paraId="24D74121" w14:textId="77777777" w:rsidR="00530BC2" w:rsidRPr="00720B94" w:rsidRDefault="00530BC2" w:rsidP="0092380E">
      <w:pPr>
        <w:pStyle w:val="ListParagraph"/>
        <w:numPr>
          <w:ilvl w:val="1"/>
          <w:numId w:val="10"/>
        </w:numPr>
        <w:rPr>
          <w:sz w:val="22"/>
          <w:szCs w:val="22"/>
        </w:rPr>
      </w:pPr>
      <w:r w:rsidRPr="00720B94">
        <w:rPr>
          <w:sz w:val="22"/>
          <w:szCs w:val="22"/>
        </w:rPr>
        <w:t>If applicable, showers are plumbed to prevent arthropod escape</w:t>
      </w:r>
    </w:p>
    <w:p w14:paraId="70EA4289" w14:textId="77777777" w:rsidR="00530BC2" w:rsidRPr="00720B94" w:rsidRDefault="00530BC2" w:rsidP="0092380E">
      <w:pPr>
        <w:pStyle w:val="ListParagraph"/>
        <w:numPr>
          <w:ilvl w:val="1"/>
          <w:numId w:val="10"/>
        </w:numPr>
        <w:rPr>
          <w:sz w:val="22"/>
          <w:szCs w:val="22"/>
        </w:rPr>
      </w:pPr>
      <w:r w:rsidRPr="00720B94">
        <w:rPr>
          <w:sz w:val="22"/>
          <w:szCs w:val="22"/>
        </w:rPr>
        <w:t xml:space="preserve">Autoclave available </w:t>
      </w:r>
    </w:p>
    <w:p w14:paraId="660780C5" w14:textId="77777777" w:rsidR="00530BC2" w:rsidRPr="00720B94" w:rsidRDefault="00530BC2" w:rsidP="0092380E">
      <w:pPr>
        <w:pStyle w:val="ListParagraph"/>
        <w:numPr>
          <w:ilvl w:val="1"/>
          <w:numId w:val="10"/>
        </w:numPr>
        <w:rPr>
          <w:sz w:val="22"/>
          <w:szCs w:val="22"/>
        </w:rPr>
      </w:pPr>
      <w:r w:rsidRPr="00720B94">
        <w:rPr>
          <w:sz w:val="22"/>
          <w:szCs w:val="22"/>
        </w:rPr>
        <w:t>Internal doors are self-closing; kept closed during arthropod manipulation</w:t>
      </w:r>
    </w:p>
    <w:p w14:paraId="48E40146" w14:textId="77777777" w:rsidR="00530BC2" w:rsidRPr="00720B94" w:rsidRDefault="00530BC2" w:rsidP="0092380E">
      <w:pPr>
        <w:pStyle w:val="ListParagraph"/>
        <w:numPr>
          <w:ilvl w:val="1"/>
          <w:numId w:val="10"/>
        </w:numPr>
        <w:rPr>
          <w:sz w:val="22"/>
          <w:szCs w:val="22"/>
        </w:rPr>
      </w:pPr>
      <w:r w:rsidRPr="00720B94">
        <w:rPr>
          <w:sz w:val="22"/>
          <w:szCs w:val="22"/>
        </w:rPr>
        <w:t xml:space="preserve">Additional barriers like hanging curtains are recommended </w:t>
      </w:r>
    </w:p>
    <w:p w14:paraId="6E11AFFF" w14:textId="77777777" w:rsidR="00530BC2" w:rsidRPr="00720B94" w:rsidRDefault="00530BC2" w:rsidP="0092380E">
      <w:pPr>
        <w:pStyle w:val="ListParagraph"/>
        <w:numPr>
          <w:ilvl w:val="1"/>
          <w:numId w:val="10"/>
        </w:numPr>
        <w:rPr>
          <w:sz w:val="22"/>
          <w:szCs w:val="22"/>
        </w:rPr>
      </w:pPr>
      <w:r w:rsidRPr="00720B94">
        <w:rPr>
          <w:sz w:val="22"/>
          <w:szCs w:val="22"/>
        </w:rPr>
        <w:t xml:space="preserve">Windows are not recommended </w:t>
      </w:r>
    </w:p>
    <w:p w14:paraId="3799B41C" w14:textId="77777777" w:rsidR="00530BC2" w:rsidRPr="00720B94" w:rsidRDefault="00530BC2" w:rsidP="0092380E">
      <w:pPr>
        <w:pStyle w:val="ListParagraph"/>
        <w:numPr>
          <w:ilvl w:val="1"/>
          <w:numId w:val="10"/>
        </w:numPr>
        <w:rPr>
          <w:sz w:val="22"/>
          <w:szCs w:val="22"/>
        </w:rPr>
      </w:pPr>
      <w:r w:rsidRPr="00720B94">
        <w:rPr>
          <w:sz w:val="22"/>
          <w:szCs w:val="22"/>
        </w:rPr>
        <w:t xml:space="preserve">Floor drains are not recommended </w:t>
      </w:r>
    </w:p>
    <w:p w14:paraId="1E9F745C" w14:textId="77777777" w:rsidR="00530BC2" w:rsidRPr="00720B94" w:rsidRDefault="00530BC2" w:rsidP="0092380E">
      <w:pPr>
        <w:pStyle w:val="ListParagraph"/>
        <w:numPr>
          <w:ilvl w:val="1"/>
          <w:numId w:val="10"/>
        </w:numPr>
        <w:rPr>
          <w:sz w:val="22"/>
          <w:szCs w:val="22"/>
        </w:rPr>
      </w:pPr>
      <w:r w:rsidRPr="00720B94">
        <w:rPr>
          <w:sz w:val="22"/>
          <w:szCs w:val="22"/>
        </w:rPr>
        <w:t xml:space="preserve">Troughs surrounding door frames may be installed and have a sticky material to trap crawling arthropods, as per risk assessment </w:t>
      </w:r>
    </w:p>
    <w:p w14:paraId="663FAD42" w14:textId="77777777" w:rsidR="00530BC2" w:rsidRPr="00720B94" w:rsidRDefault="00530BC2" w:rsidP="0092380E">
      <w:pPr>
        <w:pStyle w:val="ListParagraph"/>
        <w:numPr>
          <w:ilvl w:val="1"/>
          <w:numId w:val="10"/>
        </w:numPr>
        <w:rPr>
          <w:sz w:val="22"/>
          <w:szCs w:val="22"/>
        </w:rPr>
      </w:pPr>
      <w:r w:rsidRPr="00720B94">
        <w:rPr>
          <w:sz w:val="22"/>
          <w:szCs w:val="22"/>
        </w:rPr>
        <w:t xml:space="preserve">HEPA filtered exhaust may be required for some agents </w:t>
      </w:r>
    </w:p>
    <w:p w14:paraId="33E6B3E4" w14:textId="77777777" w:rsidR="00530BC2" w:rsidRPr="00720B94" w:rsidRDefault="00530BC2" w:rsidP="0092380E">
      <w:pPr>
        <w:pStyle w:val="ListParagraph"/>
        <w:numPr>
          <w:ilvl w:val="1"/>
          <w:numId w:val="10"/>
        </w:numPr>
        <w:rPr>
          <w:sz w:val="22"/>
          <w:szCs w:val="22"/>
        </w:rPr>
      </w:pPr>
      <w:r w:rsidRPr="00720B94">
        <w:rPr>
          <w:sz w:val="22"/>
          <w:szCs w:val="22"/>
        </w:rPr>
        <w:t xml:space="preserve">HEPA filtered supply recommended for some agents </w:t>
      </w:r>
    </w:p>
    <w:p w14:paraId="348FEF6C" w14:textId="77777777" w:rsidR="00530BC2" w:rsidRPr="00720B94" w:rsidRDefault="00530BC2" w:rsidP="0092380E">
      <w:pPr>
        <w:pStyle w:val="ListParagraph"/>
        <w:numPr>
          <w:ilvl w:val="1"/>
          <w:numId w:val="10"/>
        </w:numPr>
        <w:rPr>
          <w:sz w:val="22"/>
          <w:szCs w:val="22"/>
        </w:rPr>
      </w:pPr>
      <w:r w:rsidRPr="00720B94">
        <w:rPr>
          <w:sz w:val="22"/>
          <w:szCs w:val="22"/>
        </w:rPr>
        <w:t xml:space="preserve">Visual directional airflow verification </w:t>
      </w:r>
    </w:p>
    <w:p w14:paraId="10E0C18D" w14:textId="77777777" w:rsidR="00530BC2" w:rsidRPr="00720B94" w:rsidRDefault="00530BC2" w:rsidP="0092380E">
      <w:pPr>
        <w:pStyle w:val="ListParagraph"/>
        <w:numPr>
          <w:ilvl w:val="1"/>
          <w:numId w:val="10"/>
        </w:numPr>
        <w:rPr>
          <w:sz w:val="22"/>
          <w:szCs w:val="22"/>
        </w:rPr>
      </w:pPr>
      <w:r w:rsidRPr="00720B94">
        <w:rPr>
          <w:sz w:val="22"/>
          <w:szCs w:val="22"/>
        </w:rPr>
        <w:t xml:space="preserve">Audible alarms present for systems failure </w:t>
      </w:r>
    </w:p>
    <w:p w14:paraId="196E045C" w14:textId="77777777" w:rsidR="00530BC2" w:rsidRPr="00720B94" w:rsidRDefault="00530BC2" w:rsidP="0092380E">
      <w:pPr>
        <w:pStyle w:val="ListParagraph"/>
        <w:numPr>
          <w:ilvl w:val="1"/>
          <w:numId w:val="10"/>
        </w:numPr>
        <w:spacing w:after="160"/>
        <w:rPr>
          <w:sz w:val="22"/>
          <w:szCs w:val="22"/>
        </w:rPr>
      </w:pPr>
      <w:r w:rsidRPr="00720B94">
        <w:rPr>
          <w:sz w:val="22"/>
          <w:szCs w:val="22"/>
        </w:rPr>
        <w:t>Engineering testing performed annually</w:t>
      </w:r>
    </w:p>
    <w:p w14:paraId="1EA09706" w14:textId="77777777" w:rsidR="00530BC2" w:rsidRPr="00720B94" w:rsidRDefault="00530BC2" w:rsidP="00720B94">
      <w:pPr>
        <w:spacing w:line="276" w:lineRule="auto"/>
        <w:rPr>
          <w:b/>
          <w:bCs/>
          <w:sz w:val="28"/>
          <w:szCs w:val="28"/>
        </w:rPr>
      </w:pPr>
    </w:p>
    <w:p w14:paraId="6D846824" w14:textId="77777777" w:rsidR="00A112D5" w:rsidRPr="00720B94" w:rsidRDefault="00A112D5" w:rsidP="00720B94">
      <w:pPr>
        <w:spacing w:line="276" w:lineRule="auto"/>
        <w:rPr>
          <w:b/>
          <w:bCs/>
          <w:sz w:val="28"/>
          <w:szCs w:val="28"/>
        </w:rPr>
      </w:pPr>
    </w:p>
    <w:p w14:paraId="01D83107" w14:textId="77777777" w:rsidR="00A112D5" w:rsidRPr="00720B94" w:rsidRDefault="00A112D5" w:rsidP="00720B94">
      <w:pPr>
        <w:spacing w:line="276" w:lineRule="auto"/>
        <w:rPr>
          <w:b/>
          <w:bCs/>
          <w:sz w:val="28"/>
          <w:szCs w:val="28"/>
        </w:rPr>
      </w:pPr>
    </w:p>
    <w:p w14:paraId="172A2DFC" w14:textId="77777777" w:rsidR="00A112D5" w:rsidRPr="00720B94" w:rsidRDefault="00A112D5" w:rsidP="00720B94">
      <w:pPr>
        <w:spacing w:line="276" w:lineRule="auto"/>
        <w:rPr>
          <w:b/>
          <w:bCs/>
          <w:sz w:val="28"/>
          <w:szCs w:val="28"/>
        </w:rPr>
      </w:pPr>
    </w:p>
    <w:p w14:paraId="6331E785" w14:textId="77777777" w:rsidR="00A112D5" w:rsidRPr="00720B94" w:rsidRDefault="00A112D5" w:rsidP="00720B94">
      <w:pPr>
        <w:spacing w:line="276" w:lineRule="auto"/>
        <w:rPr>
          <w:b/>
          <w:bCs/>
          <w:sz w:val="28"/>
          <w:szCs w:val="28"/>
        </w:rPr>
      </w:pPr>
    </w:p>
    <w:p w14:paraId="67284E68" w14:textId="77777777" w:rsidR="00A112D5" w:rsidRPr="00720B94" w:rsidRDefault="00A112D5" w:rsidP="00720B94">
      <w:pPr>
        <w:spacing w:line="276" w:lineRule="auto"/>
        <w:rPr>
          <w:b/>
          <w:bCs/>
          <w:sz w:val="28"/>
          <w:szCs w:val="28"/>
        </w:rPr>
      </w:pPr>
    </w:p>
    <w:p w14:paraId="231C492C" w14:textId="77777777" w:rsidR="00A112D5" w:rsidRPr="00720B94" w:rsidRDefault="00A112D5" w:rsidP="00720B94">
      <w:pPr>
        <w:spacing w:line="276" w:lineRule="auto"/>
        <w:rPr>
          <w:b/>
          <w:bCs/>
          <w:sz w:val="28"/>
          <w:szCs w:val="28"/>
        </w:rPr>
      </w:pPr>
    </w:p>
    <w:p w14:paraId="3A9BF6AD" w14:textId="77777777" w:rsidR="00A112D5" w:rsidRPr="00720B94" w:rsidRDefault="00A112D5" w:rsidP="00720B94">
      <w:pPr>
        <w:spacing w:line="276" w:lineRule="auto"/>
        <w:rPr>
          <w:b/>
          <w:bCs/>
          <w:sz w:val="28"/>
          <w:szCs w:val="28"/>
        </w:rPr>
      </w:pPr>
    </w:p>
    <w:p w14:paraId="69D92675" w14:textId="77777777" w:rsidR="00A112D5" w:rsidRPr="00720B94" w:rsidRDefault="00A112D5" w:rsidP="00720B94">
      <w:pPr>
        <w:spacing w:line="276" w:lineRule="auto"/>
        <w:rPr>
          <w:b/>
          <w:bCs/>
          <w:sz w:val="28"/>
          <w:szCs w:val="28"/>
        </w:rPr>
      </w:pPr>
    </w:p>
    <w:p w14:paraId="3FCEDF89" w14:textId="77777777" w:rsidR="00A112D5" w:rsidRPr="00720B94" w:rsidRDefault="00A112D5" w:rsidP="00720B94">
      <w:pPr>
        <w:spacing w:line="276" w:lineRule="auto"/>
        <w:rPr>
          <w:b/>
          <w:bCs/>
          <w:sz w:val="28"/>
          <w:szCs w:val="28"/>
        </w:rPr>
      </w:pPr>
    </w:p>
    <w:p w14:paraId="1F6FC9B5" w14:textId="77777777" w:rsidR="00A112D5" w:rsidRPr="00720B94" w:rsidRDefault="00A112D5" w:rsidP="00720B94">
      <w:pPr>
        <w:spacing w:line="276" w:lineRule="auto"/>
        <w:rPr>
          <w:b/>
          <w:bCs/>
          <w:sz w:val="28"/>
          <w:szCs w:val="28"/>
        </w:rPr>
      </w:pPr>
    </w:p>
    <w:p w14:paraId="1386ED61" w14:textId="77777777" w:rsidR="00A112D5" w:rsidRPr="00720B94" w:rsidRDefault="00A112D5" w:rsidP="00720B94">
      <w:pPr>
        <w:spacing w:line="276" w:lineRule="auto"/>
        <w:rPr>
          <w:b/>
          <w:bCs/>
          <w:sz w:val="28"/>
          <w:szCs w:val="28"/>
        </w:rPr>
      </w:pPr>
    </w:p>
    <w:p w14:paraId="43FADDDC" w14:textId="77777777" w:rsidR="00A112D5" w:rsidRPr="00720B94" w:rsidRDefault="00A112D5" w:rsidP="00720B94">
      <w:pPr>
        <w:spacing w:line="276" w:lineRule="auto"/>
        <w:rPr>
          <w:b/>
          <w:bCs/>
          <w:sz w:val="28"/>
          <w:szCs w:val="28"/>
        </w:rPr>
      </w:pPr>
    </w:p>
    <w:p w14:paraId="3F770234" w14:textId="77777777" w:rsidR="00A112D5" w:rsidRPr="00720B94" w:rsidRDefault="00A112D5" w:rsidP="00720B94">
      <w:pPr>
        <w:spacing w:line="276" w:lineRule="auto"/>
        <w:rPr>
          <w:b/>
          <w:bCs/>
          <w:sz w:val="28"/>
          <w:szCs w:val="28"/>
        </w:rPr>
      </w:pPr>
    </w:p>
    <w:p w14:paraId="2F47507D" w14:textId="77777777" w:rsidR="00A112D5" w:rsidRPr="00720B94" w:rsidRDefault="00A112D5" w:rsidP="00720B94">
      <w:pPr>
        <w:spacing w:line="276" w:lineRule="auto"/>
        <w:rPr>
          <w:b/>
          <w:bCs/>
          <w:sz w:val="28"/>
          <w:szCs w:val="28"/>
        </w:rPr>
      </w:pPr>
    </w:p>
    <w:p w14:paraId="18D86FA7" w14:textId="77777777" w:rsidR="00A112D5" w:rsidRPr="00720B94" w:rsidRDefault="00A112D5" w:rsidP="00720B94">
      <w:pPr>
        <w:spacing w:line="276" w:lineRule="auto"/>
        <w:rPr>
          <w:b/>
          <w:bCs/>
          <w:sz w:val="28"/>
          <w:szCs w:val="28"/>
        </w:rPr>
      </w:pPr>
    </w:p>
    <w:p w14:paraId="58004594" w14:textId="4C476658" w:rsidR="00D138EC" w:rsidRPr="00720B94" w:rsidRDefault="00D138EC" w:rsidP="00720B94">
      <w:pPr>
        <w:spacing w:line="276" w:lineRule="auto"/>
        <w:rPr>
          <w:b/>
          <w:bCs/>
          <w:sz w:val="28"/>
          <w:szCs w:val="28"/>
        </w:rPr>
      </w:pPr>
      <w:bookmarkStart w:id="107" w:name="_Toc192509407"/>
      <w:r w:rsidRPr="00720B94">
        <w:rPr>
          <w:rStyle w:val="Heading1Char"/>
          <w:b/>
          <w:bCs/>
        </w:rPr>
        <w:lastRenderedPageBreak/>
        <w:t>Appendix G</w:t>
      </w:r>
      <w:bookmarkEnd w:id="107"/>
      <w:r w:rsidR="00410405" w:rsidRPr="00720B94">
        <w:rPr>
          <w:b/>
          <w:bCs/>
          <w:sz w:val="28"/>
          <w:szCs w:val="28"/>
        </w:rPr>
        <w:t xml:space="preserve"> </w:t>
      </w:r>
      <w:r w:rsidR="00C95E85" w:rsidRPr="00720B94">
        <w:rPr>
          <w:rStyle w:val="Heading1Char"/>
        </w:rPr>
        <w:t>–</w:t>
      </w:r>
      <w:r w:rsidR="00410405" w:rsidRPr="00720B94">
        <w:rPr>
          <w:rStyle w:val="Heading1Char"/>
        </w:rPr>
        <w:t xml:space="preserve"> </w:t>
      </w:r>
      <w:r w:rsidR="00C95E85" w:rsidRPr="00720B94">
        <w:rPr>
          <w:rStyle w:val="Heading1Char"/>
        </w:rPr>
        <w:t xml:space="preserve">Plant </w:t>
      </w:r>
      <w:r w:rsidR="0073221B" w:rsidRPr="00720B94">
        <w:rPr>
          <w:rStyle w:val="Heading1Char"/>
        </w:rPr>
        <w:t xml:space="preserve">Biocontainment: </w:t>
      </w:r>
      <w:r w:rsidR="00C95E85" w:rsidRPr="00720B94">
        <w:rPr>
          <w:rStyle w:val="Heading1Char"/>
        </w:rPr>
        <w:t xml:space="preserve">Biosafety </w:t>
      </w:r>
      <w:r w:rsidR="00530BC2" w:rsidRPr="00720B94">
        <w:rPr>
          <w:rStyle w:val="Heading1Char"/>
        </w:rPr>
        <w:t>Level 1- 3</w:t>
      </w:r>
      <w:r w:rsidR="00530BC2" w:rsidRPr="00720B94">
        <w:rPr>
          <w:sz w:val="28"/>
          <w:szCs w:val="28"/>
        </w:rPr>
        <w:t xml:space="preserve"> </w:t>
      </w:r>
      <w:r w:rsidR="00C95E85" w:rsidRPr="00720B94">
        <w:rPr>
          <w:i/>
          <w:iCs/>
          <w:sz w:val="28"/>
          <w:szCs w:val="28"/>
        </w:rPr>
        <w:t xml:space="preserve">(see pg. </w:t>
      </w:r>
      <w:r w:rsidR="0073221B" w:rsidRPr="00720B94">
        <w:rPr>
          <w:i/>
          <w:iCs/>
          <w:sz w:val="28"/>
          <w:szCs w:val="28"/>
        </w:rPr>
        <w:t>2</w:t>
      </w:r>
      <w:r w:rsidR="00777133" w:rsidRPr="00720B94">
        <w:rPr>
          <w:i/>
          <w:iCs/>
          <w:sz w:val="28"/>
          <w:szCs w:val="28"/>
        </w:rPr>
        <w:t>2</w:t>
      </w:r>
      <w:r w:rsidR="0073221B" w:rsidRPr="00720B94">
        <w:rPr>
          <w:i/>
          <w:iCs/>
          <w:sz w:val="28"/>
          <w:szCs w:val="28"/>
        </w:rPr>
        <w:t>-2</w:t>
      </w:r>
      <w:r w:rsidR="00777133" w:rsidRPr="00720B94">
        <w:rPr>
          <w:i/>
          <w:iCs/>
          <w:sz w:val="28"/>
          <w:szCs w:val="28"/>
        </w:rPr>
        <w:t>3</w:t>
      </w:r>
      <w:r w:rsidR="00C95E85" w:rsidRPr="00720B94">
        <w:rPr>
          <w:i/>
          <w:iCs/>
          <w:sz w:val="28"/>
          <w:szCs w:val="28"/>
        </w:rPr>
        <w:t>)</w:t>
      </w:r>
    </w:p>
    <w:p w14:paraId="00ED0677" w14:textId="77777777" w:rsidR="0073221B" w:rsidRPr="00720B94" w:rsidRDefault="0073221B" w:rsidP="00720B94">
      <w:pPr>
        <w:pStyle w:val="Heading2"/>
      </w:pPr>
      <w:bookmarkStart w:id="108" w:name="_Toc192509408"/>
      <w:r w:rsidRPr="00720B94">
        <w:t>Plant Biosafety Level 1</w:t>
      </w:r>
      <w:bookmarkEnd w:id="108"/>
    </w:p>
    <w:p w14:paraId="201DC0E6" w14:textId="77777777" w:rsidR="0073221B" w:rsidRPr="00720B94" w:rsidRDefault="0073221B" w:rsidP="00720B94">
      <w:r w:rsidRPr="00720B94">
        <w:t xml:space="preserve">BSL1-P is designed to provide a moderate level of containment for experiments for which there is convincing biological evidence that precludes the possibility of survival, transfer, or dissemination of recombinant DNA into the environment, or in which there is no recognizable and predictable risk to the environment in the event of accidental release. </w:t>
      </w:r>
    </w:p>
    <w:p w14:paraId="307DFDD7" w14:textId="77777777" w:rsidR="0073221B" w:rsidRPr="00720B94" w:rsidRDefault="0073221B" w:rsidP="00720B94">
      <w:r w:rsidRPr="00720B94">
        <w:t xml:space="preserve">BSL1-P relies upon accepted scientific practices for conducting research in most ordinary greenhouse or growth chamber facilities and incorporates accepted procedures for good pest control and horticultural practices. BSL1-P facilities and procedures provide a modified and protected environment for the propagation of plants and microorganisms associated with the plants and a degree of containment that adequately controls the potential for release of biologically viable plants, plant parts, and microorganisms associated with them. </w:t>
      </w:r>
    </w:p>
    <w:p w14:paraId="6C7FEE9E" w14:textId="77777777" w:rsidR="0073221B" w:rsidRPr="00720B94" w:rsidRDefault="0073221B" w:rsidP="00720B94">
      <w:bookmarkStart w:id="109" w:name="_Toc192509409"/>
      <w:r w:rsidRPr="00720B94">
        <w:rPr>
          <w:rStyle w:val="Heading3Char"/>
        </w:rPr>
        <w:t>BSL1-P</w:t>
      </w:r>
      <w:bookmarkEnd w:id="109"/>
      <w:r w:rsidRPr="00720B94">
        <w:t xml:space="preserve">: </w:t>
      </w:r>
    </w:p>
    <w:p w14:paraId="78CD5C21" w14:textId="77777777" w:rsidR="0073221B" w:rsidRPr="00720B94" w:rsidRDefault="0073221B" w:rsidP="0092380E">
      <w:pPr>
        <w:pStyle w:val="ListParagraph"/>
        <w:numPr>
          <w:ilvl w:val="0"/>
          <w:numId w:val="11"/>
        </w:numPr>
        <w:rPr>
          <w:sz w:val="22"/>
          <w:szCs w:val="22"/>
        </w:rPr>
        <w:sectPr w:rsidR="0073221B" w:rsidRPr="00720B94" w:rsidSect="00530BC2">
          <w:type w:val="continuous"/>
          <w:pgSz w:w="12240" w:h="15840"/>
          <w:pgMar w:top="1080" w:right="1080" w:bottom="1080" w:left="1080" w:header="720" w:footer="720" w:gutter="0"/>
          <w:cols w:space="720"/>
          <w:titlePg/>
          <w:docGrid w:linePitch="360"/>
        </w:sectPr>
      </w:pPr>
    </w:p>
    <w:p w14:paraId="02F20CDD" w14:textId="77777777" w:rsidR="0073221B" w:rsidRPr="00720B94" w:rsidRDefault="0073221B" w:rsidP="0092380E">
      <w:pPr>
        <w:pStyle w:val="ListParagraph"/>
        <w:numPr>
          <w:ilvl w:val="0"/>
          <w:numId w:val="11"/>
        </w:numPr>
        <w:rPr>
          <w:sz w:val="22"/>
          <w:szCs w:val="22"/>
        </w:rPr>
      </w:pPr>
      <w:r w:rsidRPr="00720B94">
        <w:rPr>
          <w:sz w:val="22"/>
          <w:szCs w:val="22"/>
        </w:rPr>
        <w:t xml:space="preserve">Access to the greenhouse shall be limited or restricted </w:t>
      </w:r>
    </w:p>
    <w:p w14:paraId="1AE433E8" w14:textId="77777777" w:rsidR="0073221B" w:rsidRPr="00720B94" w:rsidRDefault="0073221B" w:rsidP="0092380E">
      <w:pPr>
        <w:pStyle w:val="ListParagraph"/>
        <w:numPr>
          <w:ilvl w:val="0"/>
          <w:numId w:val="11"/>
        </w:numPr>
        <w:rPr>
          <w:sz w:val="22"/>
          <w:szCs w:val="22"/>
        </w:rPr>
      </w:pPr>
      <w:r w:rsidRPr="00720B94">
        <w:rPr>
          <w:sz w:val="22"/>
          <w:szCs w:val="22"/>
        </w:rPr>
        <w:t xml:space="preserve">Prior to entering the greenhouse, personnel shall be required to read and follow instructions on greenhouse practices and procedures. All procedures shall be performed in accordance with accepted greenhouse practices that are appropriate to the experimental organism. </w:t>
      </w:r>
    </w:p>
    <w:p w14:paraId="3FA818E9" w14:textId="77777777" w:rsidR="0073221B" w:rsidRPr="00720B94" w:rsidRDefault="0073221B" w:rsidP="0092380E">
      <w:pPr>
        <w:pStyle w:val="ListParagraph"/>
        <w:numPr>
          <w:ilvl w:val="0"/>
          <w:numId w:val="11"/>
        </w:numPr>
        <w:rPr>
          <w:sz w:val="22"/>
          <w:szCs w:val="22"/>
        </w:rPr>
      </w:pPr>
      <w:r w:rsidRPr="00720B94">
        <w:rPr>
          <w:sz w:val="22"/>
          <w:szCs w:val="22"/>
        </w:rPr>
        <w:t xml:space="preserve">A record shall be kept of experiments currently in progress in the greenhouse facility. </w:t>
      </w:r>
    </w:p>
    <w:p w14:paraId="2ED07405" w14:textId="77777777" w:rsidR="0073221B" w:rsidRPr="00720B94" w:rsidRDefault="0073221B" w:rsidP="0092380E">
      <w:pPr>
        <w:pStyle w:val="ListParagraph"/>
        <w:numPr>
          <w:ilvl w:val="0"/>
          <w:numId w:val="11"/>
        </w:numPr>
        <w:rPr>
          <w:sz w:val="22"/>
          <w:szCs w:val="22"/>
        </w:rPr>
      </w:pPr>
      <w:r w:rsidRPr="00720B94">
        <w:rPr>
          <w:sz w:val="22"/>
          <w:szCs w:val="22"/>
        </w:rPr>
        <w:t xml:space="preserve">Experimental organisms shall be rendered biologically inactive by appropriate methods before disposal outside of the greenhouse facility. </w:t>
      </w:r>
    </w:p>
    <w:p w14:paraId="0DFFA156" w14:textId="77777777" w:rsidR="0073221B" w:rsidRPr="00720B94" w:rsidRDefault="0073221B" w:rsidP="0092380E">
      <w:pPr>
        <w:pStyle w:val="ListParagraph"/>
        <w:numPr>
          <w:ilvl w:val="0"/>
          <w:numId w:val="11"/>
        </w:numPr>
        <w:rPr>
          <w:sz w:val="22"/>
          <w:szCs w:val="22"/>
        </w:rPr>
      </w:pPr>
      <w:r w:rsidRPr="00720B94">
        <w:rPr>
          <w:sz w:val="22"/>
          <w:szCs w:val="22"/>
        </w:rPr>
        <w:t xml:space="preserve">A program shall be implemented to control undesired species (e.g., weed, rodent, or arthropod pests and pathogens) </w:t>
      </w:r>
    </w:p>
    <w:p w14:paraId="22DD1897" w14:textId="77777777" w:rsidR="0073221B" w:rsidRPr="00720B94" w:rsidRDefault="0073221B" w:rsidP="0092380E">
      <w:pPr>
        <w:pStyle w:val="ListParagraph"/>
        <w:numPr>
          <w:ilvl w:val="0"/>
          <w:numId w:val="11"/>
        </w:numPr>
        <w:rPr>
          <w:sz w:val="22"/>
          <w:szCs w:val="22"/>
        </w:rPr>
      </w:pPr>
      <w:r w:rsidRPr="00720B94">
        <w:rPr>
          <w:sz w:val="22"/>
          <w:szCs w:val="22"/>
        </w:rPr>
        <w:t xml:space="preserve">Arthropods and other motile </w:t>
      </w:r>
      <w:proofErr w:type="spellStart"/>
      <w:r w:rsidRPr="00720B94">
        <w:rPr>
          <w:sz w:val="22"/>
          <w:szCs w:val="22"/>
        </w:rPr>
        <w:t>macroorganisms</w:t>
      </w:r>
      <w:proofErr w:type="spellEnd"/>
      <w:r w:rsidRPr="00720B94">
        <w:rPr>
          <w:sz w:val="22"/>
          <w:szCs w:val="22"/>
        </w:rPr>
        <w:t xml:space="preserve"> shall be housed in appropriate cages. If </w:t>
      </w:r>
      <w:proofErr w:type="spellStart"/>
      <w:r w:rsidRPr="00720B94">
        <w:rPr>
          <w:sz w:val="22"/>
          <w:szCs w:val="22"/>
        </w:rPr>
        <w:t>macroorganisms</w:t>
      </w:r>
      <w:proofErr w:type="spellEnd"/>
      <w:r w:rsidRPr="00720B94">
        <w:rPr>
          <w:sz w:val="22"/>
          <w:szCs w:val="22"/>
        </w:rPr>
        <w:t xml:space="preserve"> (e.g., flying arthropods, nematodes) are released within the greenhouse, precautions shall be taken to minimize escape from the greenhouse facility. </w:t>
      </w:r>
    </w:p>
    <w:p w14:paraId="1705231D" w14:textId="77777777" w:rsidR="0073221B" w:rsidRPr="00720B94" w:rsidRDefault="0073221B" w:rsidP="0092380E">
      <w:pPr>
        <w:pStyle w:val="ListParagraph"/>
        <w:numPr>
          <w:ilvl w:val="0"/>
          <w:numId w:val="11"/>
        </w:numPr>
        <w:rPr>
          <w:sz w:val="22"/>
          <w:szCs w:val="22"/>
        </w:rPr>
      </w:pPr>
      <w:r w:rsidRPr="00720B94">
        <w:rPr>
          <w:sz w:val="22"/>
          <w:szCs w:val="22"/>
        </w:rPr>
        <w:t xml:space="preserve">Experiments involving other organisms that require a containment level lower than BSL1-P may be conducted in the greenhouse concurrently with </w:t>
      </w:r>
      <w:r w:rsidRPr="00720B94">
        <w:rPr>
          <w:sz w:val="22"/>
          <w:szCs w:val="22"/>
        </w:rPr>
        <w:t xml:space="preserve">experiments that require BSL1-P containment, provided that all work is conducted in accordance with BSL1-P greenhouse practices. </w:t>
      </w:r>
    </w:p>
    <w:p w14:paraId="3B20C33C" w14:textId="77777777" w:rsidR="0073221B" w:rsidRPr="00720B94" w:rsidRDefault="0073221B" w:rsidP="0092380E">
      <w:pPr>
        <w:pStyle w:val="ListParagraph"/>
        <w:numPr>
          <w:ilvl w:val="0"/>
          <w:numId w:val="11"/>
        </w:numPr>
        <w:rPr>
          <w:sz w:val="22"/>
          <w:szCs w:val="22"/>
        </w:rPr>
      </w:pPr>
      <w:r w:rsidRPr="00720B94">
        <w:rPr>
          <w:sz w:val="22"/>
          <w:szCs w:val="22"/>
        </w:rPr>
        <w:t>The term “greenhouse” refers to a structure with walls, a roof, and a floor designed and used principally for growing plants in a controlled and protected environment. The walls and roof are usually constructed of transparent or translucent material to allow passage of sunlight for plant growth.</w:t>
      </w:r>
    </w:p>
    <w:p w14:paraId="72EEBB5F" w14:textId="77777777" w:rsidR="0073221B" w:rsidRPr="00720B94" w:rsidRDefault="0073221B" w:rsidP="0092380E">
      <w:pPr>
        <w:pStyle w:val="ListParagraph"/>
        <w:numPr>
          <w:ilvl w:val="0"/>
          <w:numId w:val="11"/>
        </w:numPr>
        <w:rPr>
          <w:sz w:val="22"/>
          <w:szCs w:val="22"/>
        </w:rPr>
      </w:pPr>
      <w:r w:rsidRPr="00720B94">
        <w:rPr>
          <w:sz w:val="22"/>
          <w:szCs w:val="22"/>
        </w:rPr>
        <w:t>The term "greenhouse facility" includes the actual greenhouse rooms or compartments for growing plants, including all immediately contiguous hallways and head-house areas, and is considered part of the confinement area.</w:t>
      </w:r>
    </w:p>
    <w:p w14:paraId="4B971EE7" w14:textId="77777777" w:rsidR="0073221B" w:rsidRPr="00720B94" w:rsidRDefault="0073221B" w:rsidP="0092380E">
      <w:pPr>
        <w:pStyle w:val="ListParagraph"/>
        <w:numPr>
          <w:ilvl w:val="0"/>
          <w:numId w:val="11"/>
        </w:numPr>
        <w:rPr>
          <w:sz w:val="22"/>
          <w:szCs w:val="22"/>
        </w:rPr>
      </w:pPr>
      <w:r w:rsidRPr="00720B94">
        <w:rPr>
          <w:sz w:val="22"/>
          <w:szCs w:val="22"/>
        </w:rPr>
        <w:t xml:space="preserve">The greenhouse floor may be composed of gravel or other porous material. At a minimum, impervious (e.g., concrete) walkways are recommended. </w:t>
      </w:r>
    </w:p>
    <w:p w14:paraId="7954624F" w14:textId="77777777" w:rsidR="0073221B" w:rsidRPr="00720B94" w:rsidRDefault="0073221B" w:rsidP="0092380E">
      <w:pPr>
        <w:pStyle w:val="ListParagraph"/>
        <w:numPr>
          <w:ilvl w:val="0"/>
          <w:numId w:val="11"/>
        </w:numPr>
        <w:spacing w:after="160"/>
        <w:rPr>
          <w:sz w:val="22"/>
          <w:szCs w:val="22"/>
        </w:rPr>
        <w:sectPr w:rsidR="0073221B" w:rsidRPr="00720B94" w:rsidSect="0073221B">
          <w:type w:val="continuous"/>
          <w:pgSz w:w="12240" w:h="15840"/>
          <w:pgMar w:top="1080" w:right="1080" w:bottom="1080" w:left="1080" w:header="720" w:footer="720" w:gutter="0"/>
          <w:cols w:num="2" w:space="720"/>
          <w:titlePg/>
          <w:docGrid w:linePitch="360"/>
        </w:sectPr>
      </w:pPr>
      <w:r w:rsidRPr="00720B94">
        <w:rPr>
          <w:sz w:val="22"/>
          <w:szCs w:val="22"/>
        </w:rPr>
        <w:t>Windows and other openings in the walls and roof of the greenhouse facility may be open for ventilation as needed for proper operation and do not require any special barrier to contain or exclude pollen, microorganisms, or small flying animals (e.g., arthropods and birds); however, screens are recommended</w:t>
      </w:r>
    </w:p>
    <w:p w14:paraId="7F895343" w14:textId="354C6883" w:rsidR="0073221B" w:rsidRPr="00720B94" w:rsidRDefault="0073221B" w:rsidP="00720B94">
      <w:pPr>
        <w:pStyle w:val="ListParagraph"/>
        <w:spacing w:after="160"/>
        <w:rPr>
          <w:sz w:val="22"/>
          <w:szCs w:val="22"/>
        </w:rPr>
      </w:pPr>
    </w:p>
    <w:p w14:paraId="524C3F41" w14:textId="77777777" w:rsidR="0073221B" w:rsidRPr="00720B94" w:rsidRDefault="0073221B" w:rsidP="00720B94">
      <w:pPr>
        <w:pStyle w:val="Heading2"/>
      </w:pPr>
      <w:bookmarkStart w:id="110" w:name="_Toc192509410"/>
      <w:r w:rsidRPr="00720B94">
        <w:lastRenderedPageBreak/>
        <w:t>Plant Biosafety Level 2</w:t>
      </w:r>
      <w:bookmarkEnd w:id="110"/>
    </w:p>
    <w:p w14:paraId="52237BA6" w14:textId="77777777" w:rsidR="0073221B" w:rsidRPr="00720B94" w:rsidRDefault="0073221B" w:rsidP="00720B94">
      <w:r w:rsidRPr="00720B94">
        <w:t xml:space="preserve">BSL2-P builds upon BSL1-P. BSL2-P is designed to provide a greater level of containment for experiments involving plants and certain associated organisms in which there is a recognized possibility of survival, transmission, or dissemination of recombinant DNA containing organisms, but the consequence of such an inadvertent release has a predictably minimal biological impact. Experiments requiring BSL2-P or a higher level of containment involve plants that are noxious weeds, that can interbreed with noxious weeds in the immediate geographic area; or have recognized potential for rapid and widespread dissemination or for serious detrimental impact on managed or natural ecosystems. </w:t>
      </w:r>
    </w:p>
    <w:p w14:paraId="364B83BF" w14:textId="77777777" w:rsidR="0073221B" w:rsidRPr="00720B94" w:rsidRDefault="0073221B" w:rsidP="00720B94">
      <w:bookmarkStart w:id="111" w:name="_Toc192509411"/>
      <w:r w:rsidRPr="00720B94">
        <w:rPr>
          <w:rStyle w:val="Heading3Char"/>
        </w:rPr>
        <w:t>BSL2-P</w:t>
      </w:r>
      <w:bookmarkEnd w:id="111"/>
      <w:r w:rsidRPr="00720B94">
        <w:t xml:space="preserve">: </w:t>
      </w:r>
    </w:p>
    <w:p w14:paraId="4F522E26" w14:textId="77777777" w:rsidR="0073221B" w:rsidRPr="00720B94" w:rsidRDefault="0073221B" w:rsidP="0092380E">
      <w:pPr>
        <w:pStyle w:val="ListParagraph"/>
        <w:numPr>
          <w:ilvl w:val="0"/>
          <w:numId w:val="12"/>
        </w:numPr>
        <w:rPr>
          <w:sz w:val="22"/>
          <w:szCs w:val="22"/>
        </w:rPr>
        <w:sectPr w:rsidR="0073221B" w:rsidRPr="00720B94" w:rsidSect="00530BC2">
          <w:type w:val="continuous"/>
          <w:pgSz w:w="12240" w:h="15840"/>
          <w:pgMar w:top="1080" w:right="1080" w:bottom="1080" w:left="1080" w:header="720" w:footer="720" w:gutter="0"/>
          <w:cols w:space="720"/>
          <w:titlePg/>
          <w:docGrid w:linePitch="360"/>
        </w:sectPr>
      </w:pPr>
    </w:p>
    <w:p w14:paraId="0A09F435" w14:textId="77777777" w:rsidR="0073221B" w:rsidRPr="00720B94" w:rsidRDefault="0073221B" w:rsidP="0092380E">
      <w:pPr>
        <w:pStyle w:val="ListParagraph"/>
        <w:numPr>
          <w:ilvl w:val="0"/>
          <w:numId w:val="12"/>
        </w:numPr>
        <w:rPr>
          <w:sz w:val="22"/>
          <w:szCs w:val="22"/>
        </w:rPr>
      </w:pPr>
      <w:r w:rsidRPr="00720B94">
        <w:rPr>
          <w:sz w:val="22"/>
          <w:szCs w:val="22"/>
        </w:rPr>
        <w:t xml:space="preserve">A record shall be kept of experimental plants, microorganisms, or small animals that are brought into or removed from the greenhouse facility. </w:t>
      </w:r>
    </w:p>
    <w:p w14:paraId="3AEA431C" w14:textId="77777777" w:rsidR="0073221B" w:rsidRPr="00720B94" w:rsidRDefault="0073221B" w:rsidP="0092380E">
      <w:pPr>
        <w:pStyle w:val="ListParagraph"/>
        <w:numPr>
          <w:ilvl w:val="0"/>
          <w:numId w:val="12"/>
        </w:numPr>
        <w:rPr>
          <w:sz w:val="22"/>
          <w:szCs w:val="22"/>
        </w:rPr>
      </w:pPr>
      <w:r w:rsidRPr="00720B94">
        <w:rPr>
          <w:sz w:val="22"/>
          <w:szCs w:val="22"/>
        </w:rPr>
        <w:t xml:space="preserve">If recombinant: The Principal Investigator shall report any greenhouse accident involving the inadvertent release or spill of microorganisms to the Greenhouse Director, Institutional Biosafety Committee, NIH Office of Science Policy (OSP) and other appropriate authorities immediately (if applicable). </w:t>
      </w:r>
    </w:p>
    <w:p w14:paraId="481D694E" w14:textId="77777777" w:rsidR="0073221B" w:rsidRPr="00720B94" w:rsidRDefault="0073221B" w:rsidP="0092380E">
      <w:pPr>
        <w:pStyle w:val="ListParagraph"/>
        <w:numPr>
          <w:ilvl w:val="0"/>
          <w:numId w:val="12"/>
        </w:numPr>
        <w:rPr>
          <w:sz w:val="22"/>
          <w:szCs w:val="22"/>
        </w:rPr>
      </w:pPr>
      <w:r w:rsidRPr="00720B94">
        <w:rPr>
          <w:sz w:val="22"/>
          <w:szCs w:val="22"/>
        </w:rPr>
        <w:t>Experiments involving other organisms that require a containment level lower than BSL2-P may be conducted in the greenhouse concurrently with experiments that require BSL2-P containment provided that all work is conducted in accordance with BSL2-P greenhouse practices.</w:t>
      </w:r>
    </w:p>
    <w:p w14:paraId="2B5DB0E6" w14:textId="77777777" w:rsidR="0073221B" w:rsidRPr="00720B94" w:rsidRDefault="0073221B" w:rsidP="0092380E">
      <w:pPr>
        <w:pStyle w:val="ListParagraph"/>
        <w:numPr>
          <w:ilvl w:val="0"/>
          <w:numId w:val="12"/>
        </w:numPr>
        <w:rPr>
          <w:sz w:val="22"/>
          <w:szCs w:val="22"/>
        </w:rPr>
      </w:pPr>
      <w:r w:rsidRPr="00720B94">
        <w:rPr>
          <w:sz w:val="22"/>
          <w:szCs w:val="22"/>
        </w:rPr>
        <w:t>A sign shall be posted indicating that a restricted experiment is in progress. The sign shall indicate the following: (</w:t>
      </w:r>
      <w:proofErr w:type="spellStart"/>
      <w:r w:rsidRPr="00720B94">
        <w:rPr>
          <w:sz w:val="22"/>
          <w:szCs w:val="22"/>
        </w:rPr>
        <w:t>i</w:t>
      </w:r>
      <w:proofErr w:type="spellEnd"/>
      <w:r w:rsidRPr="00720B94">
        <w:rPr>
          <w:sz w:val="22"/>
          <w:szCs w:val="22"/>
        </w:rPr>
        <w:t xml:space="preserve">) the name of the responsible individual, (ii) the plants in use, and (iii) any special requirements for using the area. </w:t>
      </w:r>
    </w:p>
    <w:p w14:paraId="4458400C" w14:textId="77777777" w:rsidR="0073221B" w:rsidRPr="00720B94" w:rsidRDefault="0073221B" w:rsidP="0092380E">
      <w:pPr>
        <w:pStyle w:val="ListParagraph"/>
        <w:numPr>
          <w:ilvl w:val="0"/>
          <w:numId w:val="12"/>
        </w:numPr>
        <w:rPr>
          <w:sz w:val="22"/>
          <w:szCs w:val="22"/>
        </w:rPr>
      </w:pPr>
      <w:r w:rsidRPr="00720B94">
        <w:rPr>
          <w:sz w:val="22"/>
          <w:szCs w:val="22"/>
        </w:rPr>
        <w:t xml:space="preserve">If organisms are used that have a recognized potential for causing serious detrimental impacts on managed or natural ecosystems, their presence shall be indicated on a sign posted on the greenhouse access doors. </w:t>
      </w:r>
    </w:p>
    <w:p w14:paraId="089DD3B2" w14:textId="77777777" w:rsidR="0073221B" w:rsidRPr="00720B94" w:rsidRDefault="0073221B" w:rsidP="0092380E">
      <w:pPr>
        <w:pStyle w:val="ListParagraph"/>
        <w:numPr>
          <w:ilvl w:val="0"/>
          <w:numId w:val="12"/>
        </w:numPr>
        <w:rPr>
          <w:sz w:val="22"/>
          <w:szCs w:val="22"/>
        </w:rPr>
      </w:pPr>
      <w:r w:rsidRPr="00720B94">
        <w:rPr>
          <w:sz w:val="22"/>
          <w:szCs w:val="22"/>
        </w:rPr>
        <w:t>If there is a risk to human health, a sign shall be posted incorporating the universal biosafety symbol.</w:t>
      </w:r>
    </w:p>
    <w:p w14:paraId="29CF0425" w14:textId="77777777" w:rsidR="0073221B" w:rsidRPr="00720B94" w:rsidRDefault="0073221B" w:rsidP="0092380E">
      <w:pPr>
        <w:pStyle w:val="ListParagraph"/>
        <w:numPr>
          <w:ilvl w:val="0"/>
          <w:numId w:val="12"/>
        </w:numPr>
        <w:rPr>
          <w:sz w:val="22"/>
          <w:szCs w:val="22"/>
        </w:rPr>
      </w:pPr>
      <w:r w:rsidRPr="00720B94">
        <w:rPr>
          <w:sz w:val="22"/>
          <w:szCs w:val="22"/>
        </w:rPr>
        <w:t>A greenhouse practices manual shall be prepared or adopted. This manual shall: (</w:t>
      </w:r>
      <w:proofErr w:type="spellStart"/>
      <w:r w:rsidRPr="00720B94">
        <w:rPr>
          <w:sz w:val="22"/>
          <w:szCs w:val="22"/>
        </w:rPr>
        <w:t>i</w:t>
      </w:r>
      <w:proofErr w:type="spellEnd"/>
      <w:r w:rsidRPr="00720B94">
        <w:rPr>
          <w:sz w:val="22"/>
          <w:szCs w:val="22"/>
        </w:rPr>
        <w:t xml:space="preserve">) advise personnel of the potential consequences if such practices are not followed, and (ii) outline contingency plans to be implemented in the event of the unintentional release of organisms. </w:t>
      </w:r>
    </w:p>
    <w:p w14:paraId="05DEC6ED" w14:textId="77777777" w:rsidR="0073221B" w:rsidRPr="00720B94" w:rsidRDefault="0073221B" w:rsidP="0092380E">
      <w:pPr>
        <w:pStyle w:val="ListParagraph"/>
        <w:numPr>
          <w:ilvl w:val="0"/>
          <w:numId w:val="12"/>
        </w:numPr>
        <w:rPr>
          <w:sz w:val="22"/>
          <w:szCs w:val="22"/>
        </w:rPr>
      </w:pPr>
      <w:r w:rsidRPr="00720B94">
        <w:rPr>
          <w:sz w:val="22"/>
          <w:szCs w:val="22"/>
        </w:rPr>
        <w:t xml:space="preserve">A greenhouse floor composed of an impervious material. Concrete is recommended, but gravel or other porous material under benches is acceptable unless propagules of experimental organisms are readily disseminated through soil. Soil beds are acceptable unless propagules of experimental organisms are readily disseminated through soil. </w:t>
      </w:r>
    </w:p>
    <w:p w14:paraId="4E823083" w14:textId="77777777" w:rsidR="0073221B" w:rsidRPr="00720B94" w:rsidRDefault="0073221B" w:rsidP="0092380E">
      <w:pPr>
        <w:pStyle w:val="ListParagraph"/>
        <w:numPr>
          <w:ilvl w:val="0"/>
          <w:numId w:val="12"/>
        </w:numPr>
        <w:rPr>
          <w:sz w:val="22"/>
          <w:szCs w:val="22"/>
        </w:rPr>
      </w:pPr>
      <w:r w:rsidRPr="00720B94">
        <w:rPr>
          <w:sz w:val="22"/>
          <w:szCs w:val="22"/>
        </w:rPr>
        <w:t xml:space="preserve">An autoclave shall be available for the treatment of contaminated greenhouse materials. </w:t>
      </w:r>
    </w:p>
    <w:p w14:paraId="738BF731" w14:textId="77777777" w:rsidR="0073221B" w:rsidRPr="00720B94" w:rsidRDefault="0073221B" w:rsidP="0092380E">
      <w:pPr>
        <w:pStyle w:val="ListParagraph"/>
        <w:numPr>
          <w:ilvl w:val="0"/>
          <w:numId w:val="12"/>
        </w:numPr>
        <w:rPr>
          <w:sz w:val="22"/>
          <w:szCs w:val="22"/>
        </w:rPr>
      </w:pPr>
      <w:r w:rsidRPr="00720B94">
        <w:rPr>
          <w:sz w:val="22"/>
          <w:szCs w:val="22"/>
        </w:rPr>
        <w:t xml:space="preserve">If intake fans are used, measures shall be taken to minimize the ingress of arthropods. Louvers or fans shall be constructed such that they can only be opened when the fan is in operation. </w:t>
      </w:r>
    </w:p>
    <w:p w14:paraId="5B96F854" w14:textId="77777777" w:rsidR="0073221B" w:rsidRPr="00720B94" w:rsidRDefault="0073221B" w:rsidP="0092380E">
      <w:pPr>
        <w:pStyle w:val="ListParagraph"/>
        <w:numPr>
          <w:ilvl w:val="0"/>
          <w:numId w:val="12"/>
        </w:numPr>
        <w:spacing w:after="160"/>
        <w:rPr>
          <w:sz w:val="22"/>
          <w:szCs w:val="22"/>
        </w:rPr>
      </w:pPr>
      <w:r w:rsidRPr="00720B94">
        <w:rPr>
          <w:sz w:val="22"/>
          <w:szCs w:val="22"/>
        </w:rPr>
        <w:t xml:space="preserve">BSL2-P greenhouse containment requirements may be satisfied by using a growth chamber or growth room within a building provided that the external physical structure limits access and escape of microorganisms and </w:t>
      </w:r>
      <w:proofErr w:type="spellStart"/>
      <w:r w:rsidRPr="00720B94">
        <w:rPr>
          <w:sz w:val="22"/>
          <w:szCs w:val="22"/>
        </w:rPr>
        <w:t>macroorganisms</w:t>
      </w:r>
      <w:proofErr w:type="spellEnd"/>
      <w:r w:rsidRPr="00720B94">
        <w:rPr>
          <w:sz w:val="22"/>
          <w:szCs w:val="22"/>
        </w:rPr>
        <w:t xml:space="preserve"> in a manner that satisfies the intent of the foregoing clauses.</w:t>
      </w:r>
    </w:p>
    <w:p w14:paraId="2A8AB408" w14:textId="77777777" w:rsidR="0073221B" w:rsidRPr="00720B94" w:rsidRDefault="0073221B" w:rsidP="00720B94">
      <w:pPr>
        <w:pStyle w:val="Heading3"/>
      </w:pPr>
    </w:p>
    <w:p w14:paraId="19B57C2A" w14:textId="77777777" w:rsidR="003356CD" w:rsidRPr="00720B94" w:rsidRDefault="003356CD" w:rsidP="00720B94"/>
    <w:p w14:paraId="1EC1495D" w14:textId="77777777" w:rsidR="003356CD" w:rsidRPr="00720B94" w:rsidRDefault="003356CD" w:rsidP="00720B94">
      <w:pPr>
        <w:sectPr w:rsidR="003356CD" w:rsidRPr="00720B94" w:rsidSect="0073221B">
          <w:type w:val="continuous"/>
          <w:pgSz w:w="12240" w:h="15840"/>
          <w:pgMar w:top="1080" w:right="1080" w:bottom="1080" w:left="1080" w:header="720" w:footer="720" w:gutter="0"/>
          <w:cols w:num="2" w:space="720"/>
          <w:titlePg/>
          <w:docGrid w:linePitch="360"/>
        </w:sectPr>
      </w:pPr>
    </w:p>
    <w:p w14:paraId="49C18D26" w14:textId="77777777" w:rsidR="0073221B" w:rsidRPr="00720B94" w:rsidRDefault="0073221B" w:rsidP="00720B94">
      <w:pPr>
        <w:pStyle w:val="Heading2"/>
      </w:pPr>
      <w:bookmarkStart w:id="112" w:name="_Toc192509412"/>
      <w:r w:rsidRPr="00720B94">
        <w:lastRenderedPageBreak/>
        <w:t>Plant Biosafety Level 3</w:t>
      </w:r>
      <w:bookmarkEnd w:id="112"/>
    </w:p>
    <w:p w14:paraId="2150D475" w14:textId="77777777" w:rsidR="0073221B" w:rsidRPr="00720B94" w:rsidRDefault="0073221B" w:rsidP="00720B94">
      <w:r w:rsidRPr="00720B94">
        <w:t xml:space="preserve">BSL3-P builds upon BSL2-P. BSL3-P describes additional containment conditions for research with plants and certain pathogens and other organisms that require special containment because of their recognized potential for significant detrimental impact on managed or natural ecosystems. </w:t>
      </w:r>
    </w:p>
    <w:p w14:paraId="34F34454" w14:textId="77777777" w:rsidR="0073221B" w:rsidRPr="00720B94" w:rsidRDefault="0073221B" w:rsidP="00720B94">
      <w:bookmarkStart w:id="113" w:name="_Toc192509413"/>
      <w:r w:rsidRPr="00720B94">
        <w:rPr>
          <w:rStyle w:val="Heading2Char"/>
        </w:rPr>
        <w:t>BSL3-P</w:t>
      </w:r>
      <w:bookmarkEnd w:id="113"/>
      <w:r w:rsidRPr="00720B94">
        <w:t>:</w:t>
      </w:r>
    </w:p>
    <w:p w14:paraId="78283B4A" w14:textId="77777777" w:rsidR="0073221B" w:rsidRPr="00720B94" w:rsidRDefault="0073221B" w:rsidP="0092380E">
      <w:pPr>
        <w:pStyle w:val="ListParagraph"/>
        <w:numPr>
          <w:ilvl w:val="0"/>
          <w:numId w:val="13"/>
        </w:numPr>
        <w:rPr>
          <w:sz w:val="22"/>
          <w:szCs w:val="22"/>
        </w:rPr>
        <w:sectPr w:rsidR="0073221B" w:rsidRPr="00720B94" w:rsidSect="00530BC2">
          <w:type w:val="continuous"/>
          <w:pgSz w:w="12240" w:h="15840"/>
          <w:pgMar w:top="1080" w:right="1080" w:bottom="1080" w:left="1080" w:header="720" w:footer="720" w:gutter="0"/>
          <w:cols w:space="720"/>
          <w:titlePg/>
          <w:docGrid w:linePitch="360"/>
        </w:sectPr>
      </w:pPr>
    </w:p>
    <w:p w14:paraId="73910A5A" w14:textId="77777777" w:rsidR="0073221B" w:rsidRPr="00720B94" w:rsidRDefault="0073221B" w:rsidP="0092380E">
      <w:pPr>
        <w:pStyle w:val="ListParagraph"/>
        <w:numPr>
          <w:ilvl w:val="0"/>
          <w:numId w:val="13"/>
        </w:numPr>
        <w:rPr>
          <w:sz w:val="22"/>
          <w:szCs w:val="22"/>
        </w:rPr>
      </w:pPr>
      <w:r w:rsidRPr="00720B94">
        <w:rPr>
          <w:sz w:val="22"/>
          <w:szCs w:val="22"/>
        </w:rPr>
        <w:t xml:space="preserve">Authorized entry into the greenhouse shall be restricted to individuals who are required for program or support purposes. </w:t>
      </w:r>
    </w:p>
    <w:p w14:paraId="1E47159C" w14:textId="77777777" w:rsidR="0073221B" w:rsidRPr="00720B94" w:rsidRDefault="0073221B" w:rsidP="0092380E">
      <w:pPr>
        <w:pStyle w:val="ListParagraph"/>
        <w:numPr>
          <w:ilvl w:val="0"/>
          <w:numId w:val="13"/>
        </w:numPr>
        <w:rPr>
          <w:sz w:val="22"/>
          <w:szCs w:val="22"/>
        </w:rPr>
      </w:pPr>
      <w:r w:rsidRPr="00720B94">
        <w:rPr>
          <w:sz w:val="22"/>
          <w:szCs w:val="22"/>
        </w:rPr>
        <w:t xml:space="preserve">Prior to entering the greenhouse, personnel shall be required to read and follow instructions on BL3-P practices and procedures. All procedures shall be conducted in accordance with accepted greenhouse practices that are appropriate to the experimental organisms. </w:t>
      </w:r>
    </w:p>
    <w:p w14:paraId="2814BF57" w14:textId="77777777" w:rsidR="0073221B" w:rsidRPr="00720B94" w:rsidRDefault="0073221B" w:rsidP="0092380E">
      <w:pPr>
        <w:pStyle w:val="ListParagraph"/>
        <w:numPr>
          <w:ilvl w:val="0"/>
          <w:numId w:val="13"/>
        </w:numPr>
        <w:rPr>
          <w:sz w:val="22"/>
          <w:szCs w:val="22"/>
        </w:rPr>
      </w:pPr>
      <w:r w:rsidRPr="00720B94">
        <w:rPr>
          <w:sz w:val="22"/>
          <w:szCs w:val="22"/>
        </w:rPr>
        <w:t xml:space="preserve">All experimental materials shall be sterilized in an autoclave or rendered biologically inactive by appropriate methods before disposal, except those that are to remain in a viable or intact state for experimental purposes; including water that </w:t>
      </w:r>
      <w:proofErr w:type="gramStart"/>
      <w:r w:rsidRPr="00720B94">
        <w:rPr>
          <w:sz w:val="22"/>
          <w:szCs w:val="22"/>
        </w:rPr>
        <w:t>comes in contact with</w:t>
      </w:r>
      <w:proofErr w:type="gramEnd"/>
      <w:r w:rsidRPr="00720B94">
        <w:rPr>
          <w:sz w:val="22"/>
          <w:szCs w:val="22"/>
        </w:rPr>
        <w:t xml:space="preserve"> experimental microorganisms or with material exposed to such microorganisms, and contaminated equipment and supplies. </w:t>
      </w:r>
    </w:p>
    <w:p w14:paraId="3EFD32E3" w14:textId="77777777" w:rsidR="0073221B" w:rsidRPr="00720B94" w:rsidRDefault="0073221B" w:rsidP="0092380E">
      <w:pPr>
        <w:pStyle w:val="ListParagraph"/>
        <w:numPr>
          <w:ilvl w:val="0"/>
          <w:numId w:val="13"/>
        </w:numPr>
        <w:rPr>
          <w:sz w:val="22"/>
          <w:szCs w:val="22"/>
        </w:rPr>
      </w:pPr>
      <w:r w:rsidRPr="00720B94">
        <w:rPr>
          <w:sz w:val="22"/>
          <w:szCs w:val="22"/>
        </w:rPr>
        <w:t xml:space="preserve">Experiments involving organisms that require a containment level lower than BSL3-P may be conducted in the greenhouse concurrently with experiments that require BSL3-P containment provided that all work is conducted in accordance with BSL3-P greenhouse practices. </w:t>
      </w:r>
    </w:p>
    <w:p w14:paraId="129616D8" w14:textId="77777777" w:rsidR="0073221B" w:rsidRPr="00720B94" w:rsidRDefault="0073221B" w:rsidP="0092380E">
      <w:pPr>
        <w:pStyle w:val="ListParagraph"/>
        <w:numPr>
          <w:ilvl w:val="0"/>
          <w:numId w:val="13"/>
        </w:numPr>
        <w:rPr>
          <w:sz w:val="22"/>
          <w:szCs w:val="22"/>
        </w:rPr>
      </w:pPr>
      <w:r w:rsidRPr="00720B94">
        <w:rPr>
          <w:sz w:val="22"/>
          <w:szCs w:val="22"/>
        </w:rPr>
        <w:t xml:space="preserve">Experimental materials that are brought into or removed from the greenhouse facility in a viable or intact state shall be transferred to a non-breakable sealed secondary container. At the time of transfer, if the same plant species, host, or vector are present within the effective dissemination distance of propagules of the experimental organism, the surface of the secondary container shall be decontaminated. Decontamination may be accomplished by passage through a chemical disinfectant or fumigation chamber or by an alternative procedure that has demonstrated effective </w:t>
      </w:r>
      <w:r w:rsidRPr="00720B94">
        <w:rPr>
          <w:sz w:val="22"/>
          <w:szCs w:val="22"/>
        </w:rPr>
        <w:t xml:space="preserve">inactivation of the experimental organism. </w:t>
      </w:r>
    </w:p>
    <w:p w14:paraId="22F710EC" w14:textId="77777777" w:rsidR="0073221B" w:rsidRPr="00720B94" w:rsidRDefault="0073221B" w:rsidP="0092380E">
      <w:pPr>
        <w:pStyle w:val="ListParagraph"/>
        <w:numPr>
          <w:ilvl w:val="0"/>
          <w:numId w:val="13"/>
        </w:numPr>
        <w:rPr>
          <w:sz w:val="22"/>
          <w:szCs w:val="22"/>
        </w:rPr>
      </w:pPr>
      <w:r w:rsidRPr="00720B94">
        <w:rPr>
          <w:sz w:val="22"/>
          <w:szCs w:val="22"/>
        </w:rPr>
        <w:t>Disposable clothing (e.g., solid front or wrap-around gowns, scrub suits, or other appropriate clothing) shall be worn in the greenhouse if deemed necessary by the Greenhouse Director because of potential dissemination of the experimental microorganisms.</w:t>
      </w:r>
    </w:p>
    <w:p w14:paraId="7B50E6E7" w14:textId="77777777" w:rsidR="0073221B" w:rsidRPr="00720B94" w:rsidRDefault="0073221B" w:rsidP="0092380E">
      <w:pPr>
        <w:pStyle w:val="ListParagraph"/>
        <w:numPr>
          <w:ilvl w:val="0"/>
          <w:numId w:val="13"/>
        </w:numPr>
        <w:rPr>
          <w:sz w:val="22"/>
          <w:szCs w:val="22"/>
        </w:rPr>
      </w:pPr>
      <w:r w:rsidRPr="00720B94">
        <w:rPr>
          <w:sz w:val="22"/>
          <w:szCs w:val="22"/>
        </w:rPr>
        <w:t xml:space="preserve">Protective clothing shall be removed before exiting the greenhouse and decontaminated prior to laundering or disposal. </w:t>
      </w:r>
    </w:p>
    <w:p w14:paraId="69B71C75" w14:textId="77777777" w:rsidR="0073221B" w:rsidRPr="00720B94" w:rsidRDefault="0073221B" w:rsidP="0092380E">
      <w:pPr>
        <w:pStyle w:val="ListParagraph"/>
        <w:numPr>
          <w:ilvl w:val="0"/>
          <w:numId w:val="13"/>
        </w:numPr>
        <w:rPr>
          <w:sz w:val="22"/>
          <w:szCs w:val="22"/>
        </w:rPr>
      </w:pPr>
      <w:r w:rsidRPr="00720B94">
        <w:rPr>
          <w:sz w:val="22"/>
          <w:szCs w:val="22"/>
        </w:rPr>
        <w:t xml:space="preserve">Personnel are required to thoroughly wash their hands upon exiting the greenhouse. </w:t>
      </w:r>
    </w:p>
    <w:p w14:paraId="30CBAE1D" w14:textId="77777777" w:rsidR="0073221B" w:rsidRPr="00720B94" w:rsidRDefault="0073221B" w:rsidP="0092380E">
      <w:pPr>
        <w:pStyle w:val="ListParagraph"/>
        <w:numPr>
          <w:ilvl w:val="0"/>
          <w:numId w:val="13"/>
        </w:numPr>
        <w:rPr>
          <w:sz w:val="22"/>
          <w:szCs w:val="22"/>
        </w:rPr>
      </w:pPr>
      <w:r w:rsidRPr="00720B94">
        <w:rPr>
          <w:sz w:val="22"/>
          <w:szCs w:val="22"/>
        </w:rPr>
        <w:t xml:space="preserve">All procedures shall be performed carefully to minimize the creation of aerosols and excessive splashing of potting material/soil during watering, transplanting, and all experimental manipulations. </w:t>
      </w:r>
    </w:p>
    <w:p w14:paraId="10E360CF" w14:textId="77777777" w:rsidR="0073221B" w:rsidRPr="00720B94" w:rsidRDefault="0073221B" w:rsidP="0092380E">
      <w:pPr>
        <w:pStyle w:val="ListParagraph"/>
        <w:numPr>
          <w:ilvl w:val="0"/>
          <w:numId w:val="13"/>
        </w:numPr>
        <w:rPr>
          <w:sz w:val="22"/>
          <w:szCs w:val="22"/>
        </w:rPr>
      </w:pPr>
      <w:r w:rsidRPr="00720B94">
        <w:rPr>
          <w:sz w:val="22"/>
          <w:szCs w:val="22"/>
        </w:rPr>
        <w:t xml:space="preserve">The need to maintain negative pressure should be considered when constructing or renovating the greenhouse. </w:t>
      </w:r>
    </w:p>
    <w:p w14:paraId="7E05A99B" w14:textId="77777777" w:rsidR="0073221B" w:rsidRPr="00720B94" w:rsidRDefault="0073221B" w:rsidP="0092380E">
      <w:pPr>
        <w:pStyle w:val="ListParagraph"/>
        <w:numPr>
          <w:ilvl w:val="0"/>
          <w:numId w:val="13"/>
        </w:numPr>
        <w:rPr>
          <w:sz w:val="22"/>
          <w:szCs w:val="22"/>
        </w:rPr>
      </w:pPr>
      <w:r w:rsidRPr="00720B94">
        <w:rPr>
          <w:sz w:val="22"/>
          <w:szCs w:val="22"/>
        </w:rPr>
        <w:t xml:space="preserve">The greenhouse floor shall be composed of concrete or other impervious material with provision for collection and decontamination of liquid run-off. </w:t>
      </w:r>
    </w:p>
    <w:p w14:paraId="3A48994B" w14:textId="77777777" w:rsidR="0073221B" w:rsidRPr="00720B94" w:rsidRDefault="0073221B" w:rsidP="0092380E">
      <w:pPr>
        <w:pStyle w:val="ListParagraph"/>
        <w:numPr>
          <w:ilvl w:val="0"/>
          <w:numId w:val="13"/>
        </w:numPr>
        <w:rPr>
          <w:sz w:val="22"/>
          <w:szCs w:val="22"/>
        </w:rPr>
      </w:pPr>
      <w:r w:rsidRPr="00720B94">
        <w:rPr>
          <w:sz w:val="22"/>
          <w:szCs w:val="22"/>
        </w:rPr>
        <w:t xml:space="preserve">Windows shall be closed and sealed. All glazing shall be resistant to breakage (e.g., double pane tempered glass or equivalent). The greenhouse shall be a closed self-contained structure with a continuous covering that is separated from areas that are open to unrestricted traffic flow. The minimum requirement for greenhouse entry shall be passage through two sets of self-closing locking doors. </w:t>
      </w:r>
    </w:p>
    <w:p w14:paraId="0E2DA100" w14:textId="77777777" w:rsidR="0073221B" w:rsidRPr="00720B94" w:rsidRDefault="0073221B" w:rsidP="0092380E">
      <w:pPr>
        <w:pStyle w:val="ListParagraph"/>
        <w:numPr>
          <w:ilvl w:val="0"/>
          <w:numId w:val="13"/>
        </w:numPr>
        <w:rPr>
          <w:sz w:val="22"/>
          <w:szCs w:val="22"/>
        </w:rPr>
      </w:pPr>
      <w:r w:rsidRPr="00720B94">
        <w:rPr>
          <w:sz w:val="22"/>
          <w:szCs w:val="22"/>
        </w:rPr>
        <w:t xml:space="preserve">The greenhouse facility shall be surrounded by a security fence or protected by equivalent security measures. </w:t>
      </w:r>
    </w:p>
    <w:p w14:paraId="07862CCF" w14:textId="77777777" w:rsidR="0073221B" w:rsidRPr="00720B94" w:rsidRDefault="0073221B" w:rsidP="0092380E">
      <w:pPr>
        <w:pStyle w:val="ListParagraph"/>
        <w:numPr>
          <w:ilvl w:val="0"/>
          <w:numId w:val="13"/>
        </w:numPr>
        <w:rPr>
          <w:sz w:val="22"/>
          <w:szCs w:val="22"/>
        </w:rPr>
      </w:pPr>
      <w:r w:rsidRPr="00720B94">
        <w:rPr>
          <w:sz w:val="22"/>
          <w:szCs w:val="22"/>
        </w:rPr>
        <w:lastRenderedPageBreak/>
        <w:t xml:space="preserve">Internal walls, ceilings, and floors shall be resistant to penetration by liquids and chemicals to facilitate cleaning and decontamination of the area. All penetrations into these structures and surfaces (e.g., plumbing and utilities) shall be sealed. </w:t>
      </w:r>
    </w:p>
    <w:p w14:paraId="4171B054" w14:textId="77777777" w:rsidR="0073221B" w:rsidRPr="00720B94" w:rsidRDefault="0073221B" w:rsidP="0092380E">
      <w:pPr>
        <w:pStyle w:val="ListParagraph"/>
        <w:numPr>
          <w:ilvl w:val="0"/>
          <w:numId w:val="13"/>
        </w:numPr>
        <w:rPr>
          <w:sz w:val="22"/>
          <w:szCs w:val="22"/>
        </w:rPr>
      </w:pPr>
      <w:r w:rsidRPr="00720B94">
        <w:rPr>
          <w:sz w:val="22"/>
          <w:szCs w:val="22"/>
        </w:rPr>
        <w:t xml:space="preserve">Bench tops and other work surfaces should have seamless surfaces that are impervious to water and resistant to acids, alkalis, organic solvents, and moderate heat. </w:t>
      </w:r>
    </w:p>
    <w:p w14:paraId="41866A05" w14:textId="77777777" w:rsidR="0073221B" w:rsidRPr="00720B94" w:rsidRDefault="0073221B" w:rsidP="0092380E">
      <w:pPr>
        <w:pStyle w:val="ListParagraph"/>
        <w:numPr>
          <w:ilvl w:val="0"/>
          <w:numId w:val="13"/>
        </w:numPr>
        <w:rPr>
          <w:sz w:val="22"/>
          <w:szCs w:val="22"/>
        </w:rPr>
      </w:pPr>
      <w:r w:rsidRPr="00720B94">
        <w:rPr>
          <w:sz w:val="22"/>
          <w:szCs w:val="22"/>
        </w:rPr>
        <w:t xml:space="preserve">The greenhouse contains a foot, elbow, or automatically operated sink, which is located near the exit door for hand washing. </w:t>
      </w:r>
    </w:p>
    <w:p w14:paraId="5C9E240C" w14:textId="77777777" w:rsidR="0073221B" w:rsidRPr="00720B94" w:rsidRDefault="0073221B" w:rsidP="0092380E">
      <w:pPr>
        <w:pStyle w:val="ListParagraph"/>
        <w:numPr>
          <w:ilvl w:val="0"/>
          <w:numId w:val="13"/>
        </w:numPr>
        <w:rPr>
          <w:sz w:val="22"/>
          <w:szCs w:val="22"/>
        </w:rPr>
      </w:pPr>
      <w:r w:rsidRPr="00720B94">
        <w:rPr>
          <w:sz w:val="22"/>
          <w:szCs w:val="22"/>
        </w:rPr>
        <w:t xml:space="preserve">An autoclave shall be available for decontaminating materials within the greenhouse facility. A double-door autoclave is recommended (not required) for the decontamination of materials passing out of the greenhouse facility. </w:t>
      </w:r>
    </w:p>
    <w:p w14:paraId="39D9BF38" w14:textId="77777777" w:rsidR="0073221B" w:rsidRPr="00720B94" w:rsidRDefault="0073221B" w:rsidP="0092380E">
      <w:pPr>
        <w:pStyle w:val="ListParagraph"/>
        <w:numPr>
          <w:ilvl w:val="0"/>
          <w:numId w:val="13"/>
        </w:numPr>
        <w:rPr>
          <w:sz w:val="22"/>
          <w:szCs w:val="22"/>
        </w:rPr>
      </w:pPr>
      <w:r w:rsidRPr="00720B94">
        <w:rPr>
          <w:sz w:val="22"/>
          <w:szCs w:val="22"/>
        </w:rPr>
        <w:t xml:space="preserve">An individual supply and exhaust air ventilation system shall be provided. The system maintains pressure differentials and directional airflow, as required, to assure inward (or zero) airflow from areas outside of the greenhouse. </w:t>
      </w:r>
    </w:p>
    <w:p w14:paraId="71899F88" w14:textId="77777777" w:rsidR="0073221B" w:rsidRPr="00720B94" w:rsidRDefault="0073221B" w:rsidP="0092380E">
      <w:pPr>
        <w:pStyle w:val="ListParagraph"/>
        <w:numPr>
          <w:ilvl w:val="0"/>
          <w:numId w:val="13"/>
        </w:numPr>
        <w:rPr>
          <w:sz w:val="22"/>
          <w:szCs w:val="22"/>
        </w:rPr>
      </w:pPr>
      <w:r w:rsidRPr="00720B94">
        <w:rPr>
          <w:sz w:val="22"/>
          <w:szCs w:val="22"/>
        </w:rPr>
        <w:t xml:space="preserve">The exhaust air from the greenhouse facility shall be filtered through high </w:t>
      </w:r>
      <w:r w:rsidRPr="00720B94">
        <w:rPr>
          <w:sz w:val="22"/>
          <w:szCs w:val="22"/>
        </w:rPr>
        <w:t xml:space="preserve">efficiency particulate air-HEPA filters and discharged to the outside. The filter chambers shall be designed to allow in situ decontamination before filters are removed and to facilitate certification testing after they are replaced. Air filters shall be 80-85% average efficiency by the American Society of Heating, Refrigerating, and Air Conditioning Engineers (ASHRAE) Standard 52-68 test method using atmosphere dust. Air supply fans shall be equipped with a backflow damper that closes when the air supply fan is off. Alternatively, a HEPA filter may be used on the air supply system instead of the filters and damper. The supply and exhaust airflow shall be interlocked to </w:t>
      </w:r>
      <w:proofErr w:type="gramStart"/>
      <w:r w:rsidRPr="00720B94">
        <w:rPr>
          <w:sz w:val="22"/>
          <w:szCs w:val="22"/>
        </w:rPr>
        <w:t>assure inward (or zero) airflow at all times</w:t>
      </w:r>
      <w:proofErr w:type="gramEnd"/>
      <w:r w:rsidRPr="00720B94">
        <w:rPr>
          <w:sz w:val="22"/>
          <w:szCs w:val="22"/>
        </w:rPr>
        <w:t xml:space="preserve">. </w:t>
      </w:r>
    </w:p>
    <w:p w14:paraId="47BA1C97" w14:textId="77777777" w:rsidR="0073221B" w:rsidRPr="00720B94" w:rsidRDefault="0073221B" w:rsidP="0092380E">
      <w:pPr>
        <w:pStyle w:val="ListParagraph"/>
        <w:numPr>
          <w:ilvl w:val="0"/>
          <w:numId w:val="13"/>
        </w:numPr>
        <w:rPr>
          <w:sz w:val="22"/>
          <w:szCs w:val="22"/>
        </w:rPr>
      </w:pPr>
      <w:r w:rsidRPr="00720B94">
        <w:rPr>
          <w:sz w:val="22"/>
          <w:szCs w:val="22"/>
        </w:rPr>
        <w:t xml:space="preserve">BSL3-P greenhouse containment requirements may be satisfied using a growth chamber or growth room within a building provided that the location, access, airflow patterns, and provisions for decontamination of experimental materials and supplies meet the intent of the foregoing clauses. </w:t>
      </w:r>
    </w:p>
    <w:p w14:paraId="49E7B42E" w14:textId="77777777" w:rsidR="0073221B" w:rsidRPr="00720B94" w:rsidRDefault="0073221B" w:rsidP="0092380E">
      <w:pPr>
        <w:pStyle w:val="ListParagraph"/>
        <w:numPr>
          <w:ilvl w:val="0"/>
          <w:numId w:val="13"/>
        </w:numPr>
        <w:spacing w:after="160"/>
        <w:rPr>
          <w:sz w:val="22"/>
          <w:szCs w:val="22"/>
        </w:rPr>
      </w:pPr>
      <w:r w:rsidRPr="00720B94">
        <w:rPr>
          <w:sz w:val="22"/>
          <w:szCs w:val="22"/>
        </w:rPr>
        <w:t>Vacuum lines shall be protected with high efficiency particulate air/HEPA or equivalent filters and liquid disinfectant traps.</w:t>
      </w:r>
    </w:p>
    <w:p w14:paraId="3A77832A" w14:textId="77777777" w:rsidR="0073221B" w:rsidRPr="00720B94" w:rsidRDefault="0073221B" w:rsidP="00720B94">
      <w:pPr>
        <w:spacing w:line="276" w:lineRule="auto"/>
        <w:rPr>
          <w:b/>
          <w:bCs/>
          <w:sz w:val="28"/>
          <w:szCs w:val="28"/>
        </w:rPr>
        <w:sectPr w:rsidR="0073221B" w:rsidRPr="00720B94" w:rsidSect="0073221B">
          <w:type w:val="continuous"/>
          <w:pgSz w:w="12240" w:h="15840"/>
          <w:pgMar w:top="1080" w:right="1080" w:bottom="1080" w:left="1080" w:header="720" w:footer="720" w:gutter="0"/>
          <w:cols w:num="2" w:space="720"/>
          <w:titlePg/>
          <w:docGrid w:linePitch="360"/>
        </w:sectPr>
      </w:pPr>
    </w:p>
    <w:p w14:paraId="71F28BE0" w14:textId="77777777" w:rsidR="0073221B" w:rsidRPr="00720B94" w:rsidRDefault="0073221B" w:rsidP="00720B94">
      <w:pPr>
        <w:spacing w:line="276" w:lineRule="auto"/>
        <w:rPr>
          <w:b/>
          <w:bCs/>
          <w:sz w:val="28"/>
          <w:szCs w:val="28"/>
        </w:rPr>
      </w:pPr>
    </w:p>
    <w:p w14:paraId="275AF06A" w14:textId="77777777" w:rsidR="0073221B" w:rsidRPr="00720B94" w:rsidRDefault="0073221B" w:rsidP="00720B94">
      <w:pPr>
        <w:spacing w:line="276" w:lineRule="auto"/>
        <w:rPr>
          <w:b/>
          <w:bCs/>
          <w:sz w:val="28"/>
          <w:szCs w:val="28"/>
        </w:rPr>
      </w:pPr>
    </w:p>
    <w:p w14:paraId="4E1AD144" w14:textId="77777777" w:rsidR="0073221B" w:rsidRPr="00720B94" w:rsidRDefault="0073221B" w:rsidP="00720B94">
      <w:pPr>
        <w:spacing w:line="276" w:lineRule="auto"/>
        <w:rPr>
          <w:b/>
          <w:bCs/>
          <w:sz w:val="28"/>
          <w:szCs w:val="28"/>
        </w:rPr>
      </w:pPr>
    </w:p>
    <w:p w14:paraId="6FB5BA5E" w14:textId="77777777" w:rsidR="0073221B" w:rsidRPr="00720B94" w:rsidRDefault="0073221B" w:rsidP="00720B94">
      <w:pPr>
        <w:spacing w:line="276" w:lineRule="auto"/>
        <w:rPr>
          <w:b/>
          <w:bCs/>
          <w:sz w:val="28"/>
          <w:szCs w:val="28"/>
        </w:rPr>
      </w:pPr>
    </w:p>
    <w:p w14:paraId="1DDD65F7" w14:textId="77777777" w:rsidR="0073221B" w:rsidRPr="00720B94" w:rsidRDefault="0073221B" w:rsidP="00720B94">
      <w:pPr>
        <w:spacing w:line="276" w:lineRule="auto"/>
        <w:rPr>
          <w:b/>
          <w:bCs/>
          <w:sz w:val="28"/>
          <w:szCs w:val="28"/>
        </w:rPr>
      </w:pPr>
    </w:p>
    <w:p w14:paraId="2E78D3C9" w14:textId="77777777" w:rsidR="00A112D5" w:rsidRPr="00720B94" w:rsidRDefault="00A112D5" w:rsidP="00720B94">
      <w:pPr>
        <w:spacing w:line="276" w:lineRule="auto"/>
        <w:rPr>
          <w:b/>
          <w:bCs/>
          <w:sz w:val="28"/>
          <w:szCs w:val="28"/>
        </w:rPr>
      </w:pPr>
    </w:p>
    <w:p w14:paraId="788F08F8" w14:textId="77777777" w:rsidR="00A112D5" w:rsidRPr="00720B94" w:rsidRDefault="00A112D5" w:rsidP="00720B94">
      <w:pPr>
        <w:spacing w:line="276" w:lineRule="auto"/>
        <w:rPr>
          <w:b/>
          <w:bCs/>
          <w:sz w:val="28"/>
          <w:szCs w:val="28"/>
        </w:rPr>
      </w:pPr>
    </w:p>
    <w:p w14:paraId="27ABC064" w14:textId="77777777" w:rsidR="00A112D5" w:rsidRPr="00720B94" w:rsidRDefault="00A112D5" w:rsidP="00720B94">
      <w:pPr>
        <w:spacing w:line="276" w:lineRule="auto"/>
        <w:rPr>
          <w:b/>
          <w:bCs/>
          <w:sz w:val="28"/>
          <w:szCs w:val="28"/>
        </w:rPr>
      </w:pPr>
    </w:p>
    <w:p w14:paraId="1F39CC78" w14:textId="77777777" w:rsidR="00A112D5" w:rsidRPr="00720B94" w:rsidRDefault="00A112D5" w:rsidP="00720B94">
      <w:pPr>
        <w:spacing w:line="276" w:lineRule="auto"/>
        <w:rPr>
          <w:b/>
          <w:bCs/>
          <w:sz w:val="28"/>
          <w:szCs w:val="28"/>
        </w:rPr>
      </w:pPr>
    </w:p>
    <w:p w14:paraId="6A3A2008" w14:textId="77777777" w:rsidR="00A112D5" w:rsidRPr="00720B94" w:rsidRDefault="00A112D5" w:rsidP="00720B94">
      <w:pPr>
        <w:spacing w:line="276" w:lineRule="auto"/>
        <w:rPr>
          <w:b/>
          <w:bCs/>
          <w:sz w:val="28"/>
          <w:szCs w:val="28"/>
        </w:rPr>
      </w:pPr>
    </w:p>
    <w:p w14:paraId="56EA4EF3" w14:textId="0418001A" w:rsidR="00C95E85" w:rsidRPr="00720B94" w:rsidRDefault="00C95E85" w:rsidP="00720B94">
      <w:pPr>
        <w:spacing w:line="276" w:lineRule="auto"/>
        <w:rPr>
          <w:b/>
          <w:bCs/>
          <w:i/>
          <w:iCs/>
          <w:sz w:val="28"/>
          <w:szCs w:val="28"/>
        </w:rPr>
      </w:pPr>
      <w:bookmarkStart w:id="114" w:name="_Toc192509414"/>
      <w:r w:rsidRPr="00720B94">
        <w:rPr>
          <w:rStyle w:val="Heading1Char"/>
          <w:b/>
          <w:bCs/>
        </w:rPr>
        <w:lastRenderedPageBreak/>
        <w:t>Appendix H</w:t>
      </w:r>
      <w:bookmarkEnd w:id="114"/>
      <w:r w:rsidRPr="00720B94">
        <w:rPr>
          <w:b/>
          <w:bCs/>
          <w:sz w:val="28"/>
          <w:szCs w:val="28"/>
        </w:rPr>
        <w:t xml:space="preserve"> </w:t>
      </w:r>
      <w:r w:rsidRPr="00720B94">
        <w:rPr>
          <w:rStyle w:val="Heading1Char"/>
        </w:rPr>
        <w:t>– Standards for Facilities &amp; Equipment for Biosafety</w:t>
      </w:r>
      <w:r w:rsidR="00F349FE" w:rsidRPr="00720B94">
        <w:rPr>
          <w:rStyle w:val="Heading1Char"/>
        </w:rPr>
        <w:t xml:space="preserve"> Levels</w:t>
      </w:r>
      <w:r w:rsidR="0008647F" w:rsidRPr="00720B94">
        <w:rPr>
          <w:sz w:val="28"/>
          <w:szCs w:val="28"/>
        </w:rPr>
        <w:t xml:space="preserve"> </w:t>
      </w:r>
      <w:r w:rsidRPr="00720B94">
        <w:rPr>
          <w:i/>
          <w:iCs/>
          <w:sz w:val="28"/>
          <w:szCs w:val="28"/>
        </w:rPr>
        <w:t xml:space="preserve">(see pg. </w:t>
      </w:r>
      <w:r w:rsidR="00F349FE" w:rsidRPr="00720B94">
        <w:rPr>
          <w:i/>
          <w:iCs/>
          <w:sz w:val="28"/>
          <w:szCs w:val="28"/>
        </w:rPr>
        <w:t>2</w:t>
      </w:r>
      <w:r w:rsidR="00777133" w:rsidRPr="00720B94">
        <w:rPr>
          <w:i/>
          <w:iCs/>
          <w:sz w:val="28"/>
          <w:szCs w:val="28"/>
        </w:rPr>
        <w:t>8</w:t>
      </w:r>
      <w:r w:rsidRPr="00720B94">
        <w:rPr>
          <w:i/>
          <w:iCs/>
          <w:sz w:val="28"/>
          <w:szCs w:val="28"/>
        </w:rPr>
        <w:t>)</w:t>
      </w:r>
    </w:p>
    <w:tbl>
      <w:tblPr>
        <w:tblStyle w:val="TableGrid"/>
        <w:tblW w:w="10800" w:type="dxa"/>
        <w:tblInd w:w="-365" w:type="dxa"/>
        <w:tblLook w:val="04A0" w:firstRow="1" w:lastRow="0" w:firstColumn="1" w:lastColumn="0" w:noHBand="0" w:noVBand="1"/>
      </w:tblPr>
      <w:tblGrid>
        <w:gridCol w:w="6570"/>
        <w:gridCol w:w="1440"/>
        <w:gridCol w:w="1440"/>
        <w:gridCol w:w="1350"/>
      </w:tblGrid>
      <w:tr w:rsidR="00F349FE" w:rsidRPr="00720B94" w14:paraId="1F17CC41" w14:textId="77777777" w:rsidTr="009637FD">
        <w:tc>
          <w:tcPr>
            <w:tcW w:w="6570" w:type="dxa"/>
          </w:tcPr>
          <w:p w14:paraId="12ED59B2" w14:textId="77777777" w:rsidR="00F349FE" w:rsidRPr="00720B94" w:rsidRDefault="00F349FE" w:rsidP="00720B94"/>
        </w:tc>
        <w:tc>
          <w:tcPr>
            <w:tcW w:w="1440" w:type="dxa"/>
          </w:tcPr>
          <w:p w14:paraId="3696C972" w14:textId="77777777" w:rsidR="00F349FE" w:rsidRPr="00720B94" w:rsidRDefault="00F349FE" w:rsidP="00720B94">
            <w:pPr>
              <w:jc w:val="center"/>
              <w:rPr>
                <w:b/>
                <w:bCs/>
              </w:rPr>
            </w:pPr>
            <w:r w:rsidRPr="00720B94">
              <w:rPr>
                <w:b/>
                <w:bCs/>
              </w:rPr>
              <w:t>BSL 1</w:t>
            </w:r>
          </w:p>
        </w:tc>
        <w:tc>
          <w:tcPr>
            <w:tcW w:w="1440" w:type="dxa"/>
          </w:tcPr>
          <w:p w14:paraId="51BAF4B4" w14:textId="77777777" w:rsidR="00F349FE" w:rsidRPr="00720B94" w:rsidRDefault="00F349FE" w:rsidP="00720B94">
            <w:pPr>
              <w:jc w:val="center"/>
              <w:rPr>
                <w:b/>
                <w:bCs/>
              </w:rPr>
            </w:pPr>
            <w:r w:rsidRPr="00720B94">
              <w:rPr>
                <w:b/>
                <w:bCs/>
              </w:rPr>
              <w:t>BSL 2</w:t>
            </w:r>
          </w:p>
        </w:tc>
        <w:tc>
          <w:tcPr>
            <w:tcW w:w="1350" w:type="dxa"/>
          </w:tcPr>
          <w:p w14:paraId="0C4A7283" w14:textId="77777777" w:rsidR="00F349FE" w:rsidRPr="00720B94" w:rsidRDefault="00F349FE" w:rsidP="00720B94">
            <w:pPr>
              <w:jc w:val="center"/>
              <w:rPr>
                <w:b/>
                <w:bCs/>
              </w:rPr>
            </w:pPr>
            <w:r w:rsidRPr="00720B94">
              <w:rPr>
                <w:b/>
                <w:bCs/>
              </w:rPr>
              <w:t>BSL 3</w:t>
            </w:r>
          </w:p>
        </w:tc>
      </w:tr>
      <w:tr w:rsidR="00F349FE" w:rsidRPr="00720B94" w14:paraId="79CD9D09" w14:textId="77777777" w:rsidTr="009637FD">
        <w:tc>
          <w:tcPr>
            <w:tcW w:w="6570" w:type="dxa"/>
          </w:tcPr>
          <w:p w14:paraId="6F03AA15" w14:textId="77777777" w:rsidR="00F349FE" w:rsidRPr="00720B94" w:rsidRDefault="00F349FE" w:rsidP="00720B94">
            <w:r w:rsidRPr="00720B94">
              <w:t xml:space="preserve">Laboratory visit by Environmental Health &amp; Safety </w:t>
            </w:r>
          </w:p>
        </w:tc>
        <w:tc>
          <w:tcPr>
            <w:tcW w:w="1440" w:type="dxa"/>
            <w:vAlign w:val="center"/>
          </w:tcPr>
          <w:p w14:paraId="7AA0EAFA" w14:textId="77777777" w:rsidR="00F349FE" w:rsidRPr="00720B94" w:rsidRDefault="00F349FE" w:rsidP="00720B94">
            <w:pPr>
              <w:jc w:val="center"/>
            </w:pPr>
            <w:r w:rsidRPr="00720B94">
              <w:t>Desirable</w:t>
            </w:r>
          </w:p>
        </w:tc>
        <w:tc>
          <w:tcPr>
            <w:tcW w:w="1440" w:type="dxa"/>
            <w:vAlign w:val="center"/>
          </w:tcPr>
          <w:p w14:paraId="0A6362B3" w14:textId="77777777" w:rsidR="00F349FE" w:rsidRPr="00720B94" w:rsidRDefault="00F349FE" w:rsidP="00720B94">
            <w:pPr>
              <w:jc w:val="center"/>
            </w:pPr>
            <w:r w:rsidRPr="00720B94">
              <w:t>Yes</w:t>
            </w:r>
          </w:p>
        </w:tc>
        <w:tc>
          <w:tcPr>
            <w:tcW w:w="1350" w:type="dxa"/>
            <w:vAlign w:val="center"/>
          </w:tcPr>
          <w:p w14:paraId="21CE1378" w14:textId="77777777" w:rsidR="00F349FE" w:rsidRPr="00720B94" w:rsidRDefault="00F349FE" w:rsidP="00720B94">
            <w:pPr>
              <w:jc w:val="center"/>
            </w:pPr>
            <w:r w:rsidRPr="00720B94">
              <w:t>Yes</w:t>
            </w:r>
          </w:p>
        </w:tc>
      </w:tr>
      <w:tr w:rsidR="00F349FE" w:rsidRPr="00720B94" w14:paraId="7D93BA2B" w14:textId="77777777" w:rsidTr="009637FD">
        <w:tc>
          <w:tcPr>
            <w:tcW w:w="6570" w:type="dxa"/>
          </w:tcPr>
          <w:p w14:paraId="600E562F" w14:textId="77777777" w:rsidR="00F349FE" w:rsidRPr="00720B94" w:rsidRDefault="00F349FE" w:rsidP="00720B94">
            <w:r w:rsidRPr="00720B94">
              <w:t>Isolation of laboratory from public areas</w:t>
            </w:r>
          </w:p>
        </w:tc>
        <w:tc>
          <w:tcPr>
            <w:tcW w:w="1440" w:type="dxa"/>
            <w:vAlign w:val="center"/>
          </w:tcPr>
          <w:p w14:paraId="210D22EA" w14:textId="77777777" w:rsidR="00F349FE" w:rsidRPr="00720B94" w:rsidRDefault="00F349FE" w:rsidP="00720B94">
            <w:pPr>
              <w:jc w:val="center"/>
            </w:pPr>
            <w:r w:rsidRPr="00720B94">
              <w:t>-</w:t>
            </w:r>
          </w:p>
        </w:tc>
        <w:tc>
          <w:tcPr>
            <w:tcW w:w="1440" w:type="dxa"/>
            <w:vAlign w:val="center"/>
          </w:tcPr>
          <w:p w14:paraId="10013CAF" w14:textId="77777777" w:rsidR="00F349FE" w:rsidRPr="00720B94" w:rsidRDefault="00F349FE" w:rsidP="00720B94">
            <w:pPr>
              <w:jc w:val="center"/>
            </w:pPr>
            <w:r w:rsidRPr="00720B94">
              <w:t>-</w:t>
            </w:r>
          </w:p>
        </w:tc>
        <w:tc>
          <w:tcPr>
            <w:tcW w:w="1350" w:type="dxa"/>
            <w:vAlign w:val="center"/>
          </w:tcPr>
          <w:p w14:paraId="1A81B89A" w14:textId="77777777" w:rsidR="00F349FE" w:rsidRPr="00720B94" w:rsidRDefault="00F349FE" w:rsidP="00720B94">
            <w:pPr>
              <w:jc w:val="center"/>
            </w:pPr>
            <w:r w:rsidRPr="00720B94">
              <w:t>Yes</w:t>
            </w:r>
          </w:p>
        </w:tc>
      </w:tr>
      <w:tr w:rsidR="00F349FE" w:rsidRPr="00720B94" w14:paraId="496979CA" w14:textId="77777777" w:rsidTr="009637FD">
        <w:tc>
          <w:tcPr>
            <w:tcW w:w="6570" w:type="dxa"/>
          </w:tcPr>
          <w:p w14:paraId="2759F5BD" w14:textId="77777777" w:rsidR="00F349FE" w:rsidRPr="00720B94" w:rsidRDefault="00F349FE" w:rsidP="00720B94">
            <w:r w:rsidRPr="00720B94">
              <w:t>Eyewash, plumbed</w:t>
            </w:r>
          </w:p>
        </w:tc>
        <w:tc>
          <w:tcPr>
            <w:tcW w:w="1440" w:type="dxa"/>
            <w:vAlign w:val="center"/>
          </w:tcPr>
          <w:p w14:paraId="41351FB6" w14:textId="77777777" w:rsidR="00F349FE" w:rsidRPr="00720B94" w:rsidRDefault="00F349FE" w:rsidP="00720B94">
            <w:pPr>
              <w:jc w:val="center"/>
            </w:pPr>
            <w:r w:rsidRPr="00720B94">
              <w:t>Desirable</w:t>
            </w:r>
          </w:p>
        </w:tc>
        <w:tc>
          <w:tcPr>
            <w:tcW w:w="1440" w:type="dxa"/>
            <w:vAlign w:val="center"/>
          </w:tcPr>
          <w:p w14:paraId="2E0E70F8" w14:textId="77777777" w:rsidR="00F349FE" w:rsidRPr="00720B94" w:rsidRDefault="00F349FE" w:rsidP="00720B94">
            <w:pPr>
              <w:jc w:val="center"/>
            </w:pPr>
            <w:r w:rsidRPr="00720B94">
              <w:t>Yes</w:t>
            </w:r>
          </w:p>
        </w:tc>
        <w:tc>
          <w:tcPr>
            <w:tcW w:w="1350" w:type="dxa"/>
            <w:vAlign w:val="center"/>
          </w:tcPr>
          <w:p w14:paraId="7B10AA7D" w14:textId="77777777" w:rsidR="00F349FE" w:rsidRPr="00720B94" w:rsidRDefault="00F349FE" w:rsidP="00720B94">
            <w:pPr>
              <w:jc w:val="center"/>
            </w:pPr>
            <w:r w:rsidRPr="00720B94">
              <w:t>Yes</w:t>
            </w:r>
          </w:p>
        </w:tc>
      </w:tr>
      <w:tr w:rsidR="00F349FE" w:rsidRPr="00720B94" w14:paraId="7A280B0D" w14:textId="77777777" w:rsidTr="009637FD">
        <w:tc>
          <w:tcPr>
            <w:tcW w:w="6570" w:type="dxa"/>
          </w:tcPr>
          <w:p w14:paraId="6E72284D" w14:textId="77777777" w:rsidR="00F349FE" w:rsidRPr="00720B94" w:rsidRDefault="00F349FE" w:rsidP="00720B94">
            <w:r w:rsidRPr="00720B94">
              <w:t>Interior surfaces impervious, cleanable:</w:t>
            </w:r>
          </w:p>
        </w:tc>
        <w:tc>
          <w:tcPr>
            <w:tcW w:w="1440" w:type="dxa"/>
            <w:vAlign w:val="center"/>
          </w:tcPr>
          <w:p w14:paraId="2C80FDB9" w14:textId="77777777" w:rsidR="00F349FE" w:rsidRPr="00720B94" w:rsidRDefault="00F349FE" w:rsidP="00720B94">
            <w:pPr>
              <w:jc w:val="center"/>
            </w:pPr>
            <w:r w:rsidRPr="00720B94">
              <w:t>Yes</w:t>
            </w:r>
          </w:p>
        </w:tc>
        <w:tc>
          <w:tcPr>
            <w:tcW w:w="1440" w:type="dxa"/>
            <w:vAlign w:val="center"/>
          </w:tcPr>
          <w:p w14:paraId="6B925D79" w14:textId="77777777" w:rsidR="00F349FE" w:rsidRPr="00720B94" w:rsidRDefault="00F349FE" w:rsidP="00720B94">
            <w:pPr>
              <w:jc w:val="center"/>
            </w:pPr>
            <w:r w:rsidRPr="00720B94">
              <w:t>Yes</w:t>
            </w:r>
          </w:p>
        </w:tc>
        <w:tc>
          <w:tcPr>
            <w:tcW w:w="1350" w:type="dxa"/>
            <w:vAlign w:val="center"/>
          </w:tcPr>
          <w:p w14:paraId="6918DECB" w14:textId="77777777" w:rsidR="00F349FE" w:rsidRPr="00720B94" w:rsidRDefault="00F349FE" w:rsidP="00720B94">
            <w:pPr>
              <w:jc w:val="center"/>
            </w:pPr>
            <w:r w:rsidRPr="00720B94">
              <w:t>Yes</w:t>
            </w:r>
          </w:p>
        </w:tc>
      </w:tr>
      <w:tr w:rsidR="00F349FE" w:rsidRPr="00720B94" w14:paraId="37EC05E0" w14:textId="77777777" w:rsidTr="009637FD">
        <w:tc>
          <w:tcPr>
            <w:tcW w:w="6570" w:type="dxa"/>
          </w:tcPr>
          <w:p w14:paraId="6D3CF4D8" w14:textId="77777777" w:rsidR="00F349FE" w:rsidRPr="00720B94" w:rsidRDefault="00F349FE" w:rsidP="00720B94">
            <w:r w:rsidRPr="00720B94">
              <w:t xml:space="preserve">     Bench tops</w:t>
            </w:r>
          </w:p>
        </w:tc>
        <w:tc>
          <w:tcPr>
            <w:tcW w:w="1440" w:type="dxa"/>
            <w:vAlign w:val="center"/>
          </w:tcPr>
          <w:p w14:paraId="5689FDE0" w14:textId="77777777" w:rsidR="00F349FE" w:rsidRPr="00720B94" w:rsidRDefault="00F349FE" w:rsidP="00720B94">
            <w:pPr>
              <w:jc w:val="center"/>
            </w:pPr>
            <w:r w:rsidRPr="00720B94">
              <w:t>Yes</w:t>
            </w:r>
          </w:p>
        </w:tc>
        <w:tc>
          <w:tcPr>
            <w:tcW w:w="1440" w:type="dxa"/>
            <w:vAlign w:val="center"/>
          </w:tcPr>
          <w:p w14:paraId="06DD5A83" w14:textId="77777777" w:rsidR="00F349FE" w:rsidRPr="00720B94" w:rsidRDefault="00F349FE" w:rsidP="00720B94">
            <w:pPr>
              <w:jc w:val="center"/>
            </w:pPr>
            <w:r w:rsidRPr="00720B94">
              <w:t>Yes</w:t>
            </w:r>
          </w:p>
        </w:tc>
        <w:tc>
          <w:tcPr>
            <w:tcW w:w="1350" w:type="dxa"/>
            <w:vAlign w:val="center"/>
          </w:tcPr>
          <w:p w14:paraId="74E608C9" w14:textId="77777777" w:rsidR="00F349FE" w:rsidRPr="00720B94" w:rsidRDefault="00F349FE" w:rsidP="00720B94">
            <w:pPr>
              <w:jc w:val="center"/>
            </w:pPr>
            <w:r w:rsidRPr="00720B94">
              <w:t>Yes</w:t>
            </w:r>
          </w:p>
        </w:tc>
      </w:tr>
      <w:tr w:rsidR="00F349FE" w:rsidRPr="00720B94" w14:paraId="495AA3D4" w14:textId="77777777" w:rsidTr="009637FD">
        <w:tc>
          <w:tcPr>
            <w:tcW w:w="6570" w:type="dxa"/>
          </w:tcPr>
          <w:p w14:paraId="74AA29C7" w14:textId="77777777" w:rsidR="00F349FE" w:rsidRPr="00720B94" w:rsidRDefault="00F349FE" w:rsidP="00720B94">
            <w:r w:rsidRPr="00720B94">
              <w:t xml:space="preserve">     Laboratory furniture</w:t>
            </w:r>
          </w:p>
        </w:tc>
        <w:tc>
          <w:tcPr>
            <w:tcW w:w="1440" w:type="dxa"/>
            <w:vAlign w:val="center"/>
          </w:tcPr>
          <w:p w14:paraId="3F11BB78" w14:textId="77777777" w:rsidR="00F349FE" w:rsidRPr="00720B94" w:rsidRDefault="00F349FE" w:rsidP="00720B94">
            <w:pPr>
              <w:jc w:val="center"/>
            </w:pPr>
            <w:r w:rsidRPr="00720B94">
              <w:t>Yes</w:t>
            </w:r>
          </w:p>
        </w:tc>
        <w:tc>
          <w:tcPr>
            <w:tcW w:w="1440" w:type="dxa"/>
            <w:vAlign w:val="center"/>
          </w:tcPr>
          <w:p w14:paraId="2651ADF5" w14:textId="77777777" w:rsidR="00F349FE" w:rsidRPr="00720B94" w:rsidRDefault="00F349FE" w:rsidP="00720B94">
            <w:pPr>
              <w:jc w:val="center"/>
            </w:pPr>
            <w:r w:rsidRPr="00720B94">
              <w:t>Yes</w:t>
            </w:r>
          </w:p>
        </w:tc>
        <w:tc>
          <w:tcPr>
            <w:tcW w:w="1350" w:type="dxa"/>
            <w:vAlign w:val="center"/>
          </w:tcPr>
          <w:p w14:paraId="268B4ECC" w14:textId="77777777" w:rsidR="00F349FE" w:rsidRPr="00720B94" w:rsidRDefault="00F349FE" w:rsidP="00720B94">
            <w:pPr>
              <w:jc w:val="center"/>
            </w:pPr>
            <w:r w:rsidRPr="00720B94">
              <w:t>Yes</w:t>
            </w:r>
          </w:p>
        </w:tc>
      </w:tr>
      <w:tr w:rsidR="00F349FE" w:rsidRPr="00720B94" w14:paraId="4264E695" w14:textId="77777777" w:rsidTr="009637FD">
        <w:tc>
          <w:tcPr>
            <w:tcW w:w="6570" w:type="dxa"/>
          </w:tcPr>
          <w:p w14:paraId="354BCCF0" w14:textId="77777777" w:rsidR="00F349FE" w:rsidRPr="00720B94" w:rsidRDefault="00F349FE" w:rsidP="00720B94">
            <w:r w:rsidRPr="00720B94">
              <w:t xml:space="preserve">     Floors, non-absorbent</w:t>
            </w:r>
          </w:p>
        </w:tc>
        <w:tc>
          <w:tcPr>
            <w:tcW w:w="1440" w:type="dxa"/>
            <w:vAlign w:val="center"/>
          </w:tcPr>
          <w:p w14:paraId="3801F39F" w14:textId="77777777" w:rsidR="00F349FE" w:rsidRPr="00720B94" w:rsidRDefault="00F349FE" w:rsidP="00720B94">
            <w:pPr>
              <w:jc w:val="center"/>
            </w:pPr>
            <w:r w:rsidRPr="00720B94">
              <w:t>Yes</w:t>
            </w:r>
          </w:p>
        </w:tc>
        <w:tc>
          <w:tcPr>
            <w:tcW w:w="1440" w:type="dxa"/>
            <w:vAlign w:val="center"/>
          </w:tcPr>
          <w:p w14:paraId="3DEBEBD6" w14:textId="77777777" w:rsidR="00F349FE" w:rsidRPr="00720B94" w:rsidRDefault="00F349FE" w:rsidP="00720B94">
            <w:pPr>
              <w:jc w:val="center"/>
            </w:pPr>
            <w:r w:rsidRPr="00720B94">
              <w:t>Yes</w:t>
            </w:r>
          </w:p>
        </w:tc>
        <w:tc>
          <w:tcPr>
            <w:tcW w:w="1350" w:type="dxa"/>
            <w:vAlign w:val="center"/>
          </w:tcPr>
          <w:p w14:paraId="1EC338C0" w14:textId="77777777" w:rsidR="00F349FE" w:rsidRPr="00720B94" w:rsidRDefault="00F349FE" w:rsidP="00720B94">
            <w:pPr>
              <w:jc w:val="center"/>
            </w:pPr>
            <w:r w:rsidRPr="00720B94">
              <w:t>Yes</w:t>
            </w:r>
          </w:p>
        </w:tc>
      </w:tr>
      <w:tr w:rsidR="00F349FE" w:rsidRPr="00720B94" w14:paraId="679CBC09" w14:textId="77777777" w:rsidTr="009637FD">
        <w:tc>
          <w:tcPr>
            <w:tcW w:w="6570" w:type="dxa"/>
          </w:tcPr>
          <w:p w14:paraId="33EEAAE3" w14:textId="77777777" w:rsidR="00F349FE" w:rsidRPr="00720B94" w:rsidRDefault="00F349FE" w:rsidP="00720B94">
            <w:r w:rsidRPr="00720B94">
              <w:t xml:space="preserve">     Floors, seamless with integral cove base</w:t>
            </w:r>
          </w:p>
        </w:tc>
        <w:tc>
          <w:tcPr>
            <w:tcW w:w="1440" w:type="dxa"/>
            <w:vAlign w:val="center"/>
          </w:tcPr>
          <w:p w14:paraId="661E8840" w14:textId="77777777" w:rsidR="00F349FE" w:rsidRPr="00720B94" w:rsidRDefault="00F349FE" w:rsidP="00720B94">
            <w:pPr>
              <w:jc w:val="center"/>
            </w:pPr>
            <w:r w:rsidRPr="00720B94">
              <w:t>-</w:t>
            </w:r>
          </w:p>
        </w:tc>
        <w:tc>
          <w:tcPr>
            <w:tcW w:w="1440" w:type="dxa"/>
            <w:vAlign w:val="center"/>
          </w:tcPr>
          <w:p w14:paraId="3C5DEB86" w14:textId="77777777" w:rsidR="00F349FE" w:rsidRPr="00720B94" w:rsidRDefault="00F349FE" w:rsidP="00720B94">
            <w:pPr>
              <w:jc w:val="center"/>
            </w:pPr>
            <w:r w:rsidRPr="00720B94">
              <w:t>Desirable</w:t>
            </w:r>
          </w:p>
        </w:tc>
        <w:tc>
          <w:tcPr>
            <w:tcW w:w="1350" w:type="dxa"/>
            <w:vAlign w:val="center"/>
          </w:tcPr>
          <w:p w14:paraId="7A213936" w14:textId="77777777" w:rsidR="00F349FE" w:rsidRPr="00720B94" w:rsidRDefault="00F349FE" w:rsidP="00720B94">
            <w:pPr>
              <w:jc w:val="center"/>
            </w:pPr>
            <w:r w:rsidRPr="00720B94">
              <w:t>Yes</w:t>
            </w:r>
          </w:p>
        </w:tc>
      </w:tr>
      <w:tr w:rsidR="00F349FE" w:rsidRPr="00720B94" w14:paraId="2944900B" w14:textId="77777777" w:rsidTr="009637FD">
        <w:tc>
          <w:tcPr>
            <w:tcW w:w="6570" w:type="dxa"/>
          </w:tcPr>
          <w:p w14:paraId="02E68302" w14:textId="77777777" w:rsidR="00F349FE" w:rsidRPr="00720B94" w:rsidRDefault="00F349FE" w:rsidP="00720B94">
            <w:r w:rsidRPr="00720B94">
              <w:t xml:space="preserve">     Ceiling, conventional or suspended</w:t>
            </w:r>
          </w:p>
        </w:tc>
        <w:tc>
          <w:tcPr>
            <w:tcW w:w="1440" w:type="dxa"/>
            <w:vAlign w:val="center"/>
          </w:tcPr>
          <w:p w14:paraId="603CA01E" w14:textId="77777777" w:rsidR="00F349FE" w:rsidRPr="00720B94" w:rsidRDefault="00F349FE" w:rsidP="00720B94">
            <w:pPr>
              <w:jc w:val="center"/>
            </w:pPr>
            <w:r w:rsidRPr="00720B94">
              <w:t>Yes</w:t>
            </w:r>
          </w:p>
        </w:tc>
        <w:tc>
          <w:tcPr>
            <w:tcW w:w="1440" w:type="dxa"/>
            <w:vAlign w:val="center"/>
          </w:tcPr>
          <w:p w14:paraId="10D7882E" w14:textId="77777777" w:rsidR="00F349FE" w:rsidRPr="00720B94" w:rsidRDefault="00F349FE" w:rsidP="00720B94">
            <w:pPr>
              <w:jc w:val="center"/>
            </w:pPr>
            <w:r w:rsidRPr="00720B94">
              <w:t>Yes</w:t>
            </w:r>
          </w:p>
        </w:tc>
        <w:tc>
          <w:tcPr>
            <w:tcW w:w="1350" w:type="dxa"/>
            <w:vAlign w:val="center"/>
          </w:tcPr>
          <w:p w14:paraId="378FF8B2" w14:textId="77777777" w:rsidR="00F349FE" w:rsidRPr="00720B94" w:rsidRDefault="00F349FE" w:rsidP="00720B94">
            <w:pPr>
              <w:jc w:val="center"/>
            </w:pPr>
            <w:r w:rsidRPr="00720B94">
              <w:t>-</w:t>
            </w:r>
          </w:p>
        </w:tc>
      </w:tr>
      <w:tr w:rsidR="00F349FE" w:rsidRPr="00720B94" w14:paraId="5DDEFDA3" w14:textId="77777777" w:rsidTr="009637FD">
        <w:tc>
          <w:tcPr>
            <w:tcW w:w="6570" w:type="dxa"/>
          </w:tcPr>
          <w:p w14:paraId="4656C57F" w14:textId="77777777" w:rsidR="00F349FE" w:rsidRPr="00720B94" w:rsidRDefault="00F349FE" w:rsidP="00720B94">
            <w:r w:rsidRPr="00720B94">
              <w:t xml:space="preserve">     Ceiling, permanent and sealed</w:t>
            </w:r>
          </w:p>
        </w:tc>
        <w:tc>
          <w:tcPr>
            <w:tcW w:w="1440" w:type="dxa"/>
            <w:vAlign w:val="center"/>
          </w:tcPr>
          <w:p w14:paraId="09E36844" w14:textId="77777777" w:rsidR="00F349FE" w:rsidRPr="00720B94" w:rsidRDefault="00F349FE" w:rsidP="00720B94">
            <w:pPr>
              <w:jc w:val="center"/>
            </w:pPr>
            <w:r w:rsidRPr="00720B94">
              <w:t>-</w:t>
            </w:r>
          </w:p>
        </w:tc>
        <w:tc>
          <w:tcPr>
            <w:tcW w:w="1440" w:type="dxa"/>
            <w:vAlign w:val="center"/>
          </w:tcPr>
          <w:p w14:paraId="7423A4FC" w14:textId="77777777" w:rsidR="00F349FE" w:rsidRPr="00720B94" w:rsidRDefault="00F349FE" w:rsidP="00720B94">
            <w:pPr>
              <w:jc w:val="center"/>
            </w:pPr>
            <w:r w:rsidRPr="00720B94">
              <w:t>-</w:t>
            </w:r>
          </w:p>
        </w:tc>
        <w:tc>
          <w:tcPr>
            <w:tcW w:w="1350" w:type="dxa"/>
            <w:vAlign w:val="center"/>
          </w:tcPr>
          <w:p w14:paraId="167D3ECD" w14:textId="77777777" w:rsidR="00F349FE" w:rsidRPr="00720B94" w:rsidRDefault="00F349FE" w:rsidP="00720B94">
            <w:pPr>
              <w:jc w:val="center"/>
            </w:pPr>
            <w:r w:rsidRPr="00720B94">
              <w:t>Yes</w:t>
            </w:r>
          </w:p>
        </w:tc>
      </w:tr>
      <w:tr w:rsidR="00F349FE" w:rsidRPr="00720B94" w14:paraId="42EB2C60" w14:textId="77777777" w:rsidTr="009637FD">
        <w:tc>
          <w:tcPr>
            <w:tcW w:w="6570" w:type="dxa"/>
          </w:tcPr>
          <w:p w14:paraId="4EB534C6" w14:textId="77777777" w:rsidR="00F349FE" w:rsidRPr="00720B94" w:rsidRDefault="00F349FE" w:rsidP="00720B94">
            <w:r w:rsidRPr="00720B94">
              <w:t>Sinks in laboratory</w:t>
            </w:r>
          </w:p>
        </w:tc>
        <w:tc>
          <w:tcPr>
            <w:tcW w:w="1440" w:type="dxa"/>
            <w:vAlign w:val="center"/>
          </w:tcPr>
          <w:p w14:paraId="18B6729D" w14:textId="77777777" w:rsidR="00F349FE" w:rsidRPr="00720B94" w:rsidRDefault="00F349FE" w:rsidP="00720B94">
            <w:pPr>
              <w:jc w:val="center"/>
            </w:pPr>
            <w:r w:rsidRPr="00720B94">
              <w:t>Yes</w:t>
            </w:r>
          </w:p>
        </w:tc>
        <w:tc>
          <w:tcPr>
            <w:tcW w:w="1440" w:type="dxa"/>
            <w:vAlign w:val="center"/>
          </w:tcPr>
          <w:p w14:paraId="2A57ACFB" w14:textId="77777777" w:rsidR="00F349FE" w:rsidRPr="00720B94" w:rsidRDefault="00F349FE" w:rsidP="00720B94">
            <w:pPr>
              <w:jc w:val="center"/>
            </w:pPr>
            <w:r w:rsidRPr="00720B94">
              <w:t>Yes</w:t>
            </w:r>
          </w:p>
        </w:tc>
        <w:tc>
          <w:tcPr>
            <w:tcW w:w="1350" w:type="dxa"/>
            <w:vAlign w:val="center"/>
          </w:tcPr>
          <w:p w14:paraId="0093D8A7" w14:textId="77777777" w:rsidR="00F349FE" w:rsidRPr="00720B94" w:rsidRDefault="00F349FE" w:rsidP="00720B94">
            <w:pPr>
              <w:jc w:val="center"/>
            </w:pPr>
            <w:r w:rsidRPr="00720B94">
              <w:t>Yes</w:t>
            </w:r>
          </w:p>
        </w:tc>
      </w:tr>
      <w:tr w:rsidR="00F349FE" w:rsidRPr="00720B94" w14:paraId="35EC5C90" w14:textId="77777777" w:rsidTr="009637FD">
        <w:tc>
          <w:tcPr>
            <w:tcW w:w="6570" w:type="dxa"/>
          </w:tcPr>
          <w:p w14:paraId="53123112" w14:textId="77777777" w:rsidR="00F349FE" w:rsidRPr="00720B94" w:rsidRDefault="00F349FE" w:rsidP="00720B94">
            <w:r w:rsidRPr="00720B94">
              <w:t xml:space="preserve">     Hands-free</w:t>
            </w:r>
          </w:p>
        </w:tc>
        <w:tc>
          <w:tcPr>
            <w:tcW w:w="1440" w:type="dxa"/>
            <w:vAlign w:val="center"/>
          </w:tcPr>
          <w:p w14:paraId="7BF16ECE" w14:textId="77777777" w:rsidR="00F349FE" w:rsidRPr="00720B94" w:rsidRDefault="00F349FE" w:rsidP="00720B94">
            <w:pPr>
              <w:jc w:val="center"/>
            </w:pPr>
            <w:r w:rsidRPr="00720B94">
              <w:t>-</w:t>
            </w:r>
          </w:p>
        </w:tc>
        <w:tc>
          <w:tcPr>
            <w:tcW w:w="1440" w:type="dxa"/>
            <w:vAlign w:val="center"/>
          </w:tcPr>
          <w:p w14:paraId="7834CAEB" w14:textId="77777777" w:rsidR="00F349FE" w:rsidRPr="00720B94" w:rsidRDefault="00F349FE" w:rsidP="00720B94">
            <w:pPr>
              <w:jc w:val="center"/>
            </w:pPr>
            <w:r w:rsidRPr="00720B94">
              <w:t>-</w:t>
            </w:r>
          </w:p>
        </w:tc>
        <w:tc>
          <w:tcPr>
            <w:tcW w:w="1350" w:type="dxa"/>
            <w:vAlign w:val="center"/>
          </w:tcPr>
          <w:p w14:paraId="1C59A3C4" w14:textId="77777777" w:rsidR="00F349FE" w:rsidRPr="00720B94" w:rsidRDefault="00F349FE" w:rsidP="00720B94">
            <w:pPr>
              <w:jc w:val="center"/>
            </w:pPr>
            <w:r w:rsidRPr="00720B94">
              <w:t>Yes</w:t>
            </w:r>
          </w:p>
        </w:tc>
      </w:tr>
      <w:tr w:rsidR="00F349FE" w:rsidRPr="00720B94" w14:paraId="5625CF83" w14:textId="77777777" w:rsidTr="009637FD">
        <w:tc>
          <w:tcPr>
            <w:tcW w:w="6570" w:type="dxa"/>
          </w:tcPr>
          <w:p w14:paraId="47A7C94B" w14:textId="77777777" w:rsidR="00F349FE" w:rsidRPr="00720B94" w:rsidRDefault="00F349FE" w:rsidP="00720B94">
            <w:r w:rsidRPr="00720B94">
              <w:t xml:space="preserve">     Water supply protected</w:t>
            </w:r>
          </w:p>
        </w:tc>
        <w:tc>
          <w:tcPr>
            <w:tcW w:w="1440" w:type="dxa"/>
            <w:vAlign w:val="center"/>
          </w:tcPr>
          <w:p w14:paraId="0AE218F1" w14:textId="77777777" w:rsidR="00F349FE" w:rsidRPr="00720B94" w:rsidRDefault="00F349FE" w:rsidP="00720B94">
            <w:pPr>
              <w:jc w:val="center"/>
            </w:pPr>
            <w:r w:rsidRPr="00720B94">
              <w:t>-</w:t>
            </w:r>
          </w:p>
        </w:tc>
        <w:tc>
          <w:tcPr>
            <w:tcW w:w="1440" w:type="dxa"/>
            <w:vAlign w:val="center"/>
          </w:tcPr>
          <w:p w14:paraId="1EE38F19" w14:textId="77777777" w:rsidR="00F349FE" w:rsidRPr="00720B94" w:rsidRDefault="00F349FE" w:rsidP="00720B94">
            <w:pPr>
              <w:jc w:val="center"/>
            </w:pPr>
            <w:r w:rsidRPr="00720B94">
              <w:t>-</w:t>
            </w:r>
          </w:p>
        </w:tc>
        <w:tc>
          <w:tcPr>
            <w:tcW w:w="1350" w:type="dxa"/>
            <w:vAlign w:val="center"/>
          </w:tcPr>
          <w:p w14:paraId="1AF578BE" w14:textId="77777777" w:rsidR="00F349FE" w:rsidRPr="00720B94" w:rsidRDefault="00F349FE" w:rsidP="00720B94">
            <w:pPr>
              <w:jc w:val="center"/>
            </w:pPr>
            <w:r w:rsidRPr="00720B94">
              <w:t>Yes</w:t>
            </w:r>
          </w:p>
        </w:tc>
      </w:tr>
      <w:tr w:rsidR="00F349FE" w:rsidRPr="00720B94" w14:paraId="7C594AC0" w14:textId="77777777" w:rsidTr="009637FD">
        <w:tc>
          <w:tcPr>
            <w:tcW w:w="6570" w:type="dxa"/>
          </w:tcPr>
          <w:p w14:paraId="0396C12A" w14:textId="77777777" w:rsidR="00F349FE" w:rsidRPr="00720B94" w:rsidRDefault="00F349FE" w:rsidP="00720B94">
            <w:r w:rsidRPr="00720B94">
              <w:t>Windows allowed</w:t>
            </w:r>
          </w:p>
        </w:tc>
        <w:tc>
          <w:tcPr>
            <w:tcW w:w="1440" w:type="dxa"/>
            <w:vAlign w:val="center"/>
          </w:tcPr>
          <w:p w14:paraId="497D234D" w14:textId="77777777" w:rsidR="00F349FE" w:rsidRPr="00720B94" w:rsidRDefault="00F349FE" w:rsidP="00720B94">
            <w:pPr>
              <w:jc w:val="center"/>
            </w:pPr>
            <w:r w:rsidRPr="00720B94">
              <w:t>Yes</w:t>
            </w:r>
          </w:p>
        </w:tc>
        <w:tc>
          <w:tcPr>
            <w:tcW w:w="1440" w:type="dxa"/>
            <w:vAlign w:val="center"/>
          </w:tcPr>
          <w:p w14:paraId="60C01FE8" w14:textId="77777777" w:rsidR="00F349FE" w:rsidRPr="00720B94" w:rsidRDefault="00F349FE" w:rsidP="00720B94">
            <w:pPr>
              <w:jc w:val="center"/>
            </w:pPr>
            <w:r w:rsidRPr="00720B94">
              <w:t>Yes</w:t>
            </w:r>
          </w:p>
        </w:tc>
        <w:tc>
          <w:tcPr>
            <w:tcW w:w="1350" w:type="dxa"/>
            <w:vAlign w:val="center"/>
          </w:tcPr>
          <w:p w14:paraId="4594E671" w14:textId="77777777" w:rsidR="00F349FE" w:rsidRPr="00720B94" w:rsidRDefault="00F349FE" w:rsidP="00720B94">
            <w:pPr>
              <w:jc w:val="center"/>
            </w:pPr>
            <w:r w:rsidRPr="00720B94">
              <w:t>Yes</w:t>
            </w:r>
          </w:p>
        </w:tc>
      </w:tr>
      <w:tr w:rsidR="00F349FE" w:rsidRPr="00720B94" w14:paraId="3A283EFB" w14:textId="77777777" w:rsidTr="009637FD">
        <w:tc>
          <w:tcPr>
            <w:tcW w:w="6570" w:type="dxa"/>
          </w:tcPr>
          <w:p w14:paraId="08958F74" w14:textId="77777777" w:rsidR="00F349FE" w:rsidRPr="00720B94" w:rsidRDefault="00F349FE" w:rsidP="00720B94">
            <w:r w:rsidRPr="00720B94">
              <w:t xml:space="preserve">     May be opened</w:t>
            </w:r>
          </w:p>
        </w:tc>
        <w:tc>
          <w:tcPr>
            <w:tcW w:w="1440" w:type="dxa"/>
            <w:vAlign w:val="center"/>
          </w:tcPr>
          <w:p w14:paraId="6CAD179A" w14:textId="77777777" w:rsidR="00F349FE" w:rsidRPr="00720B94" w:rsidRDefault="00F349FE" w:rsidP="00720B94">
            <w:pPr>
              <w:jc w:val="center"/>
            </w:pPr>
            <w:r w:rsidRPr="00720B94">
              <w:t>No</w:t>
            </w:r>
          </w:p>
        </w:tc>
        <w:tc>
          <w:tcPr>
            <w:tcW w:w="1440" w:type="dxa"/>
            <w:vAlign w:val="center"/>
          </w:tcPr>
          <w:p w14:paraId="476F4D34" w14:textId="77777777" w:rsidR="00F349FE" w:rsidRPr="00720B94" w:rsidRDefault="00F349FE" w:rsidP="00720B94">
            <w:pPr>
              <w:jc w:val="center"/>
            </w:pPr>
            <w:r w:rsidRPr="00720B94">
              <w:t>No</w:t>
            </w:r>
          </w:p>
        </w:tc>
        <w:tc>
          <w:tcPr>
            <w:tcW w:w="1350" w:type="dxa"/>
            <w:vAlign w:val="center"/>
          </w:tcPr>
          <w:p w14:paraId="13F1B137" w14:textId="77777777" w:rsidR="00F349FE" w:rsidRPr="00720B94" w:rsidRDefault="00F349FE" w:rsidP="00720B94">
            <w:pPr>
              <w:jc w:val="center"/>
            </w:pPr>
            <w:r w:rsidRPr="00720B94">
              <w:t>No</w:t>
            </w:r>
          </w:p>
        </w:tc>
      </w:tr>
      <w:tr w:rsidR="00F349FE" w:rsidRPr="00720B94" w14:paraId="65CD87D0" w14:textId="77777777" w:rsidTr="009637FD">
        <w:tc>
          <w:tcPr>
            <w:tcW w:w="6570" w:type="dxa"/>
          </w:tcPr>
          <w:p w14:paraId="3504FF45" w14:textId="77777777" w:rsidR="00F349FE" w:rsidRPr="00720B94" w:rsidRDefault="00F349FE" w:rsidP="00720B94">
            <w:r w:rsidRPr="00720B94">
              <w:t xml:space="preserve">     Must be sealed</w:t>
            </w:r>
          </w:p>
        </w:tc>
        <w:tc>
          <w:tcPr>
            <w:tcW w:w="1440" w:type="dxa"/>
            <w:vAlign w:val="center"/>
          </w:tcPr>
          <w:p w14:paraId="1BC1DCF9" w14:textId="77777777" w:rsidR="00F349FE" w:rsidRPr="00720B94" w:rsidRDefault="00F349FE" w:rsidP="00720B94">
            <w:pPr>
              <w:jc w:val="center"/>
            </w:pPr>
            <w:r w:rsidRPr="00720B94">
              <w:t>No</w:t>
            </w:r>
          </w:p>
        </w:tc>
        <w:tc>
          <w:tcPr>
            <w:tcW w:w="1440" w:type="dxa"/>
            <w:vAlign w:val="center"/>
          </w:tcPr>
          <w:p w14:paraId="77470D4D" w14:textId="77777777" w:rsidR="00F349FE" w:rsidRPr="00720B94" w:rsidRDefault="00F349FE" w:rsidP="00720B94">
            <w:pPr>
              <w:jc w:val="center"/>
            </w:pPr>
            <w:r w:rsidRPr="00720B94">
              <w:t>No</w:t>
            </w:r>
          </w:p>
        </w:tc>
        <w:tc>
          <w:tcPr>
            <w:tcW w:w="1350" w:type="dxa"/>
            <w:vAlign w:val="center"/>
          </w:tcPr>
          <w:p w14:paraId="7BD642CC" w14:textId="77777777" w:rsidR="00F349FE" w:rsidRPr="00720B94" w:rsidRDefault="00F349FE" w:rsidP="00720B94">
            <w:pPr>
              <w:jc w:val="center"/>
            </w:pPr>
            <w:r w:rsidRPr="00720B94">
              <w:t>Yes</w:t>
            </w:r>
          </w:p>
        </w:tc>
      </w:tr>
      <w:tr w:rsidR="00F349FE" w:rsidRPr="00720B94" w14:paraId="4CBDA3FF" w14:textId="77777777" w:rsidTr="009637FD">
        <w:tc>
          <w:tcPr>
            <w:tcW w:w="6570" w:type="dxa"/>
          </w:tcPr>
          <w:p w14:paraId="18E03292" w14:textId="77777777" w:rsidR="00F349FE" w:rsidRPr="00720B94" w:rsidRDefault="00F349FE" w:rsidP="00720B94">
            <w:r w:rsidRPr="00720B94">
              <w:t>Room penetrations sealed for gas decontamination (pressure decay testing)</w:t>
            </w:r>
          </w:p>
        </w:tc>
        <w:tc>
          <w:tcPr>
            <w:tcW w:w="1440" w:type="dxa"/>
            <w:vAlign w:val="center"/>
          </w:tcPr>
          <w:p w14:paraId="6C00D61D" w14:textId="77777777" w:rsidR="00F349FE" w:rsidRPr="00720B94" w:rsidRDefault="00F349FE" w:rsidP="00720B94">
            <w:pPr>
              <w:jc w:val="center"/>
            </w:pPr>
            <w:r w:rsidRPr="00720B94">
              <w:t>No</w:t>
            </w:r>
          </w:p>
        </w:tc>
        <w:tc>
          <w:tcPr>
            <w:tcW w:w="1440" w:type="dxa"/>
            <w:vAlign w:val="center"/>
          </w:tcPr>
          <w:p w14:paraId="772316E2" w14:textId="77777777" w:rsidR="00F349FE" w:rsidRPr="00720B94" w:rsidRDefault="00F349FE" w:rsidP="00720B94">
            <w:pPr>
              <w:jc w:val="center"/>
            </w:pPr>
            <w:r w:rsidRPr="00720B94">
              <w:t>No</w:t>
            </w:r>
          </w:p>
        </w:tc>
        <w:tc>
          <w:tcPr>
            <w:tcW w:w="1350" w:type="dxa"/>
            <w:vAlign w:val="center"/>
          </w:tcPr>
          <w:p w14:paraId="1831E227" w14:textId="77777777" w:rsidR="00F349FE" w:rsidRPr="00720B94" w:rsidRDefault="00F349FE" w:rsidP="00720B94">
            <w:pPr>
              <w:jc w:val="center"/>
            </w:pPr>
            <w:r w:rsidRPr="00720B94">
              <w:t>Desirable</w:t>
            </w:r>
          </w:p>
        </w:tc>
      </w:tr>
      <w:tr w:rsidR="00F349FE" w:rsidRPr="00720B94" w14:paraId="70F57AA1" w14:textId="77777777" w:rsidTr="009637FD">
        <w:tc>
          <w:tcPr>
            <w:tcW w:w="6570" w:type="dxa"/>
          </w:tcPr>
          <w:p w14:paraId="22493F76" w14:textId="77777777" w:rsidR="00F349FE" w:rsidRPr="00720B94" w:rsidRDefault="00F349FE" w:rsidP="00720B94">
            <w:r w:rsidRPr="00720B94">
              <w:t>Ventilation (supply/exhausted not recirculated):</w:t>
            </w:r>
          </w:p>
        </w:tc>
        <w:tc>
          <w:tcPr>
            <w:tcW w:w="1440" w:type="dxa"/>
            <w:vAlign w:val="center"/>
          </w:tcPr>
          <w:p w14:paraId="6F1452D4" w14:textId="77777777" w:rsidR="00F349FE" w:rsidRPr="00720B94" w:rsidRDefault="00F349FE" w:rsidP="00720B94">
            <w:pPr>
              <w:jc w:val="center"/>
            </w:pPr>
            <w:r w:rsidRPr="00720B94">
              <w:t>Yes</w:t>
            </w:r>
          </w:p>
        </w:tc>
        <w:tc>
          <w:tcPr>
            <w:tcW w:w="1440" w:type="dxa"/>
            <w:vAlign w:val="center"/>
          </w:tcPr>
          <w:p w14:paraId="79BA7B5C" w14:textId="77777777" w:rsidR="00F349FE" w:rsidRPr="00720B94" w:rsidRDefault="00F349FE" w:rsidP="00720B94">
            <w:pPr>
              <w:jc w:val="center"/>
            </w:pPr>
            <w:r w:rsidRPr="00720B94">
              <w:t>Yes</w:t>
            </w:r>
          </w:p>
        </w:tc>
        <w:tc>
          <w:tcPr>
            <w:tcW w:w="1350" w:type="dxa"/>
            <w:vAlign w:val="center"/>
          </w:tcPr>
          <w:p w14:paraId="021B6B71" w14:textId="77777777" w:rsidR="00F349FE" w:rsidRPr="00720B94" w:rsidRDefault="00F349FE" w:rsidP="00720B94">
            <w:pPr>
              <w:jc w:val="center"/>
            </w:pPr>
            <w:r w:rsidRPr="00720B94">
              <w:t>Yes</w:t>
            </w:r>
          </w:p>
        </w:tc>
      </w:tr>
      <w:tr w:rsidR="00F349FE" w:rsidRPr="00720B94" w14:paraId="7F96760B" w14:textId="77777777" w:rsidTr="009637FD">
        <w:tc>
          <w:tcPr>
            <w:tcW w:w="6570" w:type="dxa"/>
          </w:tcPr>
          <w:p w14:paraId="146E759E" w14:textId="77777777" w:rsidR="00F349FE" w:rsidRPr="00720B94" w:rsidRDefault="00F349FE" w:rsidP="00720B94">
            <w:r w:rsidRPr="00720B94">
              <w:t xml:space="preserve">     Inward air flow (negative pressure)</w:t>
            </w:r>
          </w:p>
        </w:tc>
        <w:tc>
          <w:tcPr>
            <w:tcW w:w="1440" w:type="dxa"/>
            <w:vAlign w:val="center"/>
          </w:tcPr>
          <w:p w14:paraId="6CA2F401" w14:textId="77777777" w:rsidR="00F349FE" w:rsidRPr="00720B94" w:rsidRDefault="00F349FE" w:rsidP="00720B94">
            <w:pPr>
              <w:jc w:val="center"/>
            </w:pPr>
            <w:r w:rsidRPr="00720B94">
              <w:t>Yes</w:t>
            </w:r>
          </w:p>
        </w:tc>
        <w:tc>
          <w:tcPr>
            <w:tcW w:w="1440" w:type="dxa"/>
            <w:vAlign w:val="center"/>
          </w:tcPr>
          <w:p w14:paraId="4277C0C0" w14:textId="77777777" w:rsidR="00F349FE" w:rsidRPr="00720B94" w:rsidRDefault="00F349FE" w:rsidP="00720B94">
            <w:pPr>
              <w:jc w:val="center"/>
            </w:pPr>
            <w:r w:rsidRPr="00720B94">
              <w:t>Yes</w:t>
            </w:r>
          </w:p>
        </w:tc>
        <w:tc>
          <w:tcPr>
            <w:tcW w:w="1350" w:type="dxa"/>
            <w:vAlign w:val="center"/>
          </w:tcPr>
          <w:p w14:paraId="072A5F4B" w14:textId="77777777" w:rsidR="00F349FE" w:rsidRPr="00720B94" w:rsidRDefault="00F349FE" w:rsidP="00720B94">
            <w:pPr>
              <w:jc w:val="center"/>
            </w:pPr>
            <w:r w:rsidRPr="00720B94">
              <w:t>Yes</w:t>
            </w:r>
          </w:p>
        </w:tc>
      </w:tr>
      <w:tr w:rsidR="00F349FE" w:rsidRPr="00720B94" w14:paraId="610D5D93" w14:textId="77777777" w:rsidTr="009637FD">
        <w:tc>
          <w:tcPr>
            <w:tcW w:w="6570" w:type="dxa"/>
          </w:tcPr>
          <w:p w14:paraId="4A3B6DDF" w14:textId="77777777" w:rsidR="00F349FE" w:rsidRPr="00720B94" w:rsidRDefault="00F349FE" w:rsidP="00720B94">
            <w:r w:rsidRPr="00720B94">
              <w:t xml:space="preserve">     Mechanical, centralized system</w:t>
            </w:r>
          </w:p>
        </w:tc>
        <w:tc>
          <w:tcPr>
            <w:tcW w:w="1440" w:type="dxa"/>
            <w:vAlign w:val="center"/>
          </w:tcPr>
          <w:p w14:paraId="64F2D0D0" w14:textId="77777777" w:rsidR="00F349FE" w:rsidRPr="00720B94" w:rsidRDefault="00F349FE" w:rsidP="00720B94">
            <w:pPr>
              <w:jc w:val="center"/>
            </w:pPr>
            <w:r w:rsidRPr="00720B94">
              <w:t>Yes</w:t>
            </w:r>
          </w:p>
        </w:tc>
        <w:tc>
          <w:tcPr>
            <w:tcW w:w="1440" w:type="dxa"/>
            <w:vAlign w:val="center"/>
          </w:tcPr>
          <w:p w14:paraId="52419C5E" w14:textId="77777777" w:rsidR="00F349FE" w:rsidRPr="00720B94" w:rsidRDefault="00F349FE" w:rsidP="00720B94">
            <w:pPr>
              <w:jc w:val="center"/>
            </w:pPr>
            <w:r w:rsidRPr="00720B94">
              <w:t>Yes</w:t>
            </w:r>
          </w:p>
        </w:tc>
        <w:tc>
          <w:tcPr>
            <w:tcW w:w="1350" w:type="dxa"/>
            <w:vAlign w:val="center"/>
          </w:tcPr>
          <w:p w14:paraId="3A18B610" w14:textId="77777777" w:rsidR="00F349FE" w:rsidRPr="00720B94" w:rsidRDefault="00F349FE" w:rsidP="00720B94">
            <w:pPr>
              <w:jc w:val="center"/>
            </w:pPr>
            <w:r w:rsidRPr="00720B94">
              <w:t>Yes</w:t>
            </w:r>
          </w:p>
        </w:tc>
      </w:tr>
      <w:tr w:rsidR="00F349FE" w:rsidRPr="00720B94" w14:paraId="4D9E09B4" w14:textId="77777777" w:rsidTr="009637FD">
        <w:tc>
          <w:tcPr>
            <w:tcW w:w="6570" w:type="dxa"/>
          </w:tcPr>
          <w:p w14:paraId="58CBC178" w14:textId="77777777" w:rsidR="00F349FE" w:rsidRPr="00720B94" w:rsidRDefault="00F349FE" w:rsidP="00720B94">
            <w:r w:rsidRPr="00720B94">
              <w:t xml:space="preserve">     Mechanical, independent system</w:t>
            </w:r>
          </w:p>
        </w:tc>
        <w:tc>
          <w:tcPr>
            <w:tcW w:w="1440" w:type="dxa"/>
            <w:vAlign w:val="center"/>
          </w:tcPr>
          <w:p w14:paraId="1BC9F61B" w14:textId="77777777" w:rsidR="00F349FE" w:rsidRPr="00720B94" w:rsidRDefault="00F349FE" w:rsidP="00720B94">
            <w:pPr>
              <w:jc w:val="center"/>
            </w:pPr>
            <w:r w:rsidRPr="00720B94">
              <w:t>No</w:t>
            </w:r>
          </w:p>
        </w:tc>
        <w:tc>
          <w:tcPr>
            <w:tcW w:w="1440" w:type="dxa"/>
            <w:vAlign w:val="center"/>
          </w:tcPr>
          <w:p w14:paraId="2DF337A9" w14:textId="77777777" w:rsidR="00F349FE" w:rsidRPr="00720B94" w:rsidRDefault="00F349FE" w:rsidP="00720B94">
            <w:pPr>
              <w:jc w:val="center"/>
            </w:pPr>
            <w:r w:rsidRPr="00720B94">
              <w:t>No</w:t>
            </w:r>
          </w:p>
        </w:tc>
        <w:tc>
          <w:tcPr>
            <w:tcW w:w="1350" w:type="dxa"/>
            <w:vAlign w:val="center"/>
          </w:tcPr>
          <w:p w14:paraId="66AB1DAB" w14:textId="77777777" w:rsidR="00F349FE" w:rsidRPr="00720B94" w:rsidRDefault="00F349FE" w:rsidP="00720B94">
            <w:pPr>
              <w:jc w:val="center"/>
            </w:pPr>
            <w:r w:rsidRPr="00720B94">
              <w:t>Desirable</w:t>
            </w:r>
          </w:p>
        </w:tc>
      </w:tr>
      <w:tr w:rsidR="00F349FE" w:rsidRPr="00720B94" w14:paraId="2FF8E067" w14:textId="77777777" w:rsidTr="009637FD">
        <w:tc>
          <w:tcPr>
            <w:tcW w:w="6570" w:type="dxa"/>
          </w:tcPr>
          <w:p w14:paraId="42E71D66" w14:textId="77777777" w:rsidR="00F349FE" w:rsidRPr="00720B94" w:rsidRDefault="00F349FE" w:rsidP="00720B94">
            <w:r w:rsidRPr="00720B94">
              <w:t xml:space="preserve">     Filtered exhaust required</w:t>
            </w:r>
          </w:p>
        </w:tc>
        <w:tc>
          <w:tcPr>
            <w:tcW w:w="1440" w:type="dxa"/>
            <w:vAlign w:val="center"/>
          </w:tcPr>
          <w:p w14:paraId="375FB82F" w14:textId="77777777" w:rsidR="00F349FE" w:rsidRPr="00720B94" w:rsidRDefault="00F349FE" w:rsidP="00720B94">
            <w:pPr>
              <w:jc w:val="center"/>
            </w:pPr>
            <w:r w:rsidRPr="00720B94">
              <w:t>No</w:t>
            </w:r>
          </w:p>
        </w:tc>
        <w:tc>
          <w:tcPr>
            <w:tcW w:w="1440" w:type="dxa"/>
            <w:vAlign w:val="center"/>
          </w:tcPr>
          <w:p w14:paraId="6E29ACA7" w14:textId="77777777" w:rsidR="00F349FE" w:rsidRPr="00720B94" w:rsidRDefault="00F349FE" w:rsidP="00720B94">
            <w:pPr>
              <w:jc w:val="center"/>
            </w:pPr>
            <w:r w:rsidRPr="00720B94">
              <w:t>No</w:t>
            </w:r>
          </w:p>
        </w:tc>
        <w:tc>
          <w:tcPr>
            <w:tcW w:w="1350" w:type="dxa"/>
            <w:vAlign w:val="center"/>
          </w:tcPr>
          <w:p w14:paraId="4FD16ABE" w14:textId="77777777" w:rsidR="00F349FE" w:rsidRPr="00720B94" w:rsidRDefault="00F349FE" w:rsidP="00720B94">
            <w:pPr>
              <w:jc w:val="center"/>
            </w:pPr>
            <w:r w:rsidRPr="00720B94">
              <w:t>Desirable</w:t>
            </w:r>
          </w:p>
        </w:tc>
      </w:tr>
      <w:tr w:rsidR="00F349FE" w:rsidRPr="00720B94" w14:paraId="4A0BFB3C" w14:textId="77777777" w:rsidTr="009637FD">
        <w:tc>
          <w:tcPr>
            <w:tcW w:w="6570" w:type="dxa"/>
          </w:tcPr>
          <w:p w14:paraId="79C5A00A" w14:textId="77777777" w:rsidR="00F349FE" w:rsidRPr="00720B94" w:rsidRDefault="00F349FE" w:rsidP="00720B94">
            <w:r w:rsidRPr="00720B94">
              <w:t xml:space="preserve">     Interlocked supply required</w:t>
            </w:r>
          </w:p>
        </w:tc>
        <w:tc>
          <w:tcPr>
            <w:tcW w:w="1440" w:type="dxa"/>
            <w:vAlign w:val="center"/>
          </w:tcPr>
          <w:p w14:paraId="2D998A8F" w14:textId="77777777" w:rsidR="00F349FE" w:rsidRPr="00720B94" w:rsidRDefault="00F349FE" w:rsidP="00720B94">
            <w:pPr>
              <w:jc w:val="center"/>
            </w:pPr>
            <w:r w:rsidRPr="00720B94">
              <w:t>No</w:t>
            </w:r>
          </w:p>
        </w:tc>
        <w:tc>
          <w:tcPr>
            <w:tcW w:w="1440" w:type="dxa"/>
            <w:vAlign w:val="center"/>
          </w:tcPr>
          <w:p w14:paraId="76654B37" w14:textId="77777777" w:rsidR="00F349FE" w:rsidRPr="00720B94" w:rsidRDefault="00F349FE" w:rsidP="00720B94">
            <w:pPr>
              <w:jc w:val="center"/>
            </w:pPr>
            <w:r w:rsidRPr="00720B94">
              <w:t>No</w:t>
            </w:r>
          </w:p>
        </w:tc>
        <w:tc>
          <w:tcPr>
            <w:tcW w:w="1350" w:type="dxa"/>
            <w:vAlign w:val="center"/>
          </w:tcPr>
          <w:p w14:paraId="270370D2" w14:textId="77777777" w:rsidR="00F349FE" w:rsidRPr="00720B94" w:rsidRDefault="00F349FE" w:rsidP="00720B94">
            <w:pPr>
              <w:jc w:val="center"/>
            </w:pPr>
            <w:r w:rsidRPr="00720B94">
              <w:t>Yes</w:t>
            </w:r>
          </w:p>
        </w:tc>
      </w:tr>
      <w:tr w:rsidR="00F349FE" w:rsidRPr="00720B94" w14:paraId="0AB81E2B" w14:textId="77777777" w:rsidTr="009637FD">
        <w:tc>
          <w:tcPr>
            <w:tcW w:w="6570" w:type="dxa"/>
          </w:tcPr>
          <w:p w14:paraId="48B2098F" w14:textId="77777777" w:rsidR="00F349FE" w:rsidRPr="00720B94" w:rsidRDefault="00F349FE" w:rsidP="00720B94">
            <w:r w:rsidRPr="00720B94">
              <w:t xml:space="preserve">     Annually test filters/HVAC systems</w:t>
            </w:r>
          </w:p>
        </w:tc>
        <w:tc>
          <w:tcPr>
            <w:tcW w:w="1440" w:type="dxa"/>
            <w:vAlign w:val="center"/>
          </w:tcPr>
          <w:p w14:paraId="712587D7" w14:textId="77777777" w:rsidR="00F349FE" w:rsidRPr="00720B94" w:rsidRDefault="00F349FE" w:rsidP="00720B94">
            <w:pPr>
              <w:jc w:val="center"/>
            </w:pPr>
            <w:r w:rsidRPr="00720B94">
              <w:t>No</w:t>
            </w:r>
          </w:p>
        </w:tc>
        <w:tc>
          <w:tcPr>
            <w:tcW w:w="1440" w:type="dxa"/>
            <w:vAlign w:val="center"/>
          </w:tcPr>
          <w:p w14:paraId="47D93B97" w14:textId="77777777" w:rsidR="00F349FE" w:rsidRPr="00720B94" w:rsidRDefault="00F349FE" w:rsidP="00720B94">
            <w:pPr>
              <w:jc w:val="center"/>
            </w:pPr>
            <w:r w:rsidRPr="00720B94">
              <w:t>No</w:t>
            </w:r>
          </w:p>
        </w:tc>
        <w:tc>
          <w:tcPr>
            <w:tcW w:w="1350" w:type="dxa"/>
            <w:vAlign w:val="center"/>
          </w:tcPr>
          <w:p w14:paraId="73CFECB0" w14:textId="77777777" w:rsidR="00F349FE" w:rsidRPr="00720B94" w:rsidRDefault="00F349FE" w:rsidP="00720B94">
            <w:pPr>
              <w:jc w:val="center"/>
            </w:pPr>
            <w:r w:rsidRPr="00720B94">
              <w:t>Yes</w:t>
            </w:r>
          </w:p>
        </w:tc>
      </w:tr>
      <w:tr w:rsidR="00F349FE" w:rsidRPr="00720B94" w14:paraId="72FB3B15" w14:textId="77777777" w:rsidTr="009637FD">
        <w:tc>
          <w:tcPr>
            <w:tcW w:w="6570" w:type="dxa"/>
          </w:tcPr>
          <w:p w14:paraId="5469FF68" w14:textId="77777777" w:rsidR="00F349FE" w:rsidRPr="00720B94" w:rsidRDefault="00F349FE" w:rsidP="00720B94">
            <w:r w:rsidRPr="00720B94">
              <w:t xml:space="preserve">     Annually test controls/alarms</w:t>
            </w:r>
          </w:p>
        </w:tc>
        <w:tc>
          <w:tcPr>
            <w:tcW w:w="1440" w:type="dxa"/>
            <w:vAlign w:val="center"/>
          </w:tcPr>
          <w:p w14:paraId="017823EF" w14:textId="77777777" w:rsidR="00F349FE" w:rsidRPr="00720B94" w:rsidRDefault="00F349FE" w:rsidP="00720B94">
            <w:pPr>
              <w:jc w:val="center"/>
            </w:pPr>
            <w:r w:rsidRPr="00720B94">
              <w:t>No</w:t>
            </w:r>
          </w:p>
        </w:tc>
        <w:tc>
          <w:tcPr>
            <w:tcW w:w="1440" w:type="dxa"/>
            <w:vAlign w:val="center"/>
          </w:tcPr>
          <w:p w14:paraId="7907318E" w14:textId="77777777" w:rsidR="00F349FE" w:rsidRPr="00720B94" w:rsidRDefault="00F349FE" w:rsidP="00720B94">
            <w:pPr>
              <w:jc w:val="center"/>
            </w:pPr>
            <w:r w:rsidRPr="00720B94">
              <w:t>No</w:t>
            </w:r>
          </w:p>
        </w:tc>
        <w:tc>
          <w:tcPr>
            <w:tcW w:w="1350" w:type="dxa"/>
            <w:vAlign w:val="center"/>
          </w:tcPr>
          <w:p w14:paraId="24051B76" w14:textId="77777777" w:rsidR="00F349FE" w:rsidRPr="00720B94" w:rsidRDefault="00F349FE" w:rsidP="00720B94">
            <w:pPr>
              <w:jc w:val="center"/>
            </w:pPr>
            <w:r w:rsidRPr="00720B94">
              <w:t>Yes</w:t>
            </w:r>
          </w:p>
        </w:tc>
      </w:tr>
      <w:tr w:rsidR="00F349FE" w:rsidRPr="00720B94" w14:paraId="6DE33D4F" w14:textId="77777777" w:rsidTr="009637FD">
        <w:tc>
          <w:tcPr>
            <w:tcW w:w="6570" w:type="dxa"/>
          </w:tcPr>
          <w:p w14:paraId="2B167DD4" w14:textId="77777777" w:rsidR="00F349FE" w:rsidRPr="00720B94" w:rsidRDefault="00F349FE" w:rsidP="00720B94">
            <w:r w:rsidRPr="00720B94">
              <w:t>Doors (self-closing):</w:t>
            </w:r>
          </w:p>
        </w:tc>
        <w:tc>
          <w:tcPr>
            <w:tcW w:w="1440" w:type="dxa"/>
            <w:vAlign w:val="center"/>
          </w:tcPr>
          <w:p w14:paraId="18E608C2" w14:textId="77777777" w:rsidR="00F349FE" w:rsidRPr="00720B94" w:rsidRDefault="00F349FE" w:rsidP="00720B94">
            <w:pPr>
              <w:jc w:val="center"/>
            </w:pPr>
            <w:r w:rsidRPr="00720B94">
              <w:t>Desirable</w:t>
            </w:r>
          </w:p>
        </w:tc>
        <w:tc>
          <w:tcPr>
            <w:tcW w:w="1440" w:type="dxa"/>
            <w:vAlign w:val="center"/>
          </w:tcPr>
          <w:p w14:paraId="4BEAACAE" w14:textId="77777777" w:rsidR="00F349FE" w:rsidRPr="00720B94" w:rsidRDefault="00F349FE" w:rsidP="00720B94">
            <w:pPr>
              <w:jc w:val="center"/>
            </w:pPr>
            <w:r w:rsidRPr="00720B94">
              <w:t>Desirable</w:t>
            </w:r>
          </w:p>
        </w:tc>
        <w:tc>
          <w:tcPr>
            <w:tcW w:w="1350" w:type="dxa"/>
            <w:vAlign w:val="center"/>
          </w:tcPr>
          <w:p w14:paraId="04EF5D84" w14:textId="77777777" w:rsidR="00F349FE" w:rsidRPr="00720B94" w:rsidRDefault="00F349FE" w:rsidP="00720B94">
            <w:pPr>
              <w:jc w:val="center"/>
            </w:pPr>
            <w:r w:rsidRPr="00720B94">
              <w:t>Yes</w:t>
            </w:r>
          </w:p>
        </w:tc>
      </w:tr>
      <w:tr w:rsidR="00F349FE" w:rsidRPr="00720B94" w14:paraId="152092EF" w14:textId="77777777" w:rsidTr="009637FD">
        <w:tc>
          <w:tcPr>
            <w:tcW w:w="6570" w:type="dxa"/>
          </w:tcPr>
          <w:p w14:paraId="41B3EDEB" w14:textId="77777777" w:rsidR="00F349FE" w:rsidRPr="00720B94" w:rsidRDefault="00F349FE" w:rsidP="00720B94">
            <w:r w:rsidRPr="00720B94">
              <w:t xml:space="preserve">    Double-door entry required</w:t>
            </w:r>
          </w:p>
        </w:tc>
        <w:tc>
          <w:tcPr>
            <w:tcW w:w="1440" w:type="dxa"/>
            <w:vAlign w:val="center"/>
          </w:tcPr>
          <w:p w14:paraId="2EBB31B4" w14:textId="77777777" w:rsidR="00F349FE" w:rsidRPr="00720B94" w:rsidRDefault="00F349FE" w:rsidP="00720B94">
            <w:pPr>
              <w:jc w:val="center"/>
            </w:pPr>
            <w:r w:rsidRPr="00720B94">
              <w:t>No</w:t>
            </w:r>
          </w:p>
        </w:tc>
        <w:tc>
          <w:tcPr>
            <w:tcW w:w="1440" w:type="dxa"/>
            <w:vAlign w:val="center"/>
          </w:tcPr>
          <w:p w14:paraId="5E6E9E5B" w14:textId="77777777" w:rsidR="00F349FE" w:rsidRPr="00720B94" w:rsidRDefault="00F349FE" w:rsidP="00720B94">
            <w:pPr>
              <w:jc w:val="center"/>
            </w:pPr>
            <w:r w:rsidRPr="00720B94">
              <w:t>No</w:t>
            </w:r>
          </w:p>
        </w:tc>
        <w:tc>
          <w:tcPr>
            <w:tcW w:w="1350" w:type="dxa"/>
            <w:vAlign w:val="center"/>
          </w:tcPr>
          <w:p w14:paraId="54BDEC56" w14:textId="77777777" w:rsidR="00F349FE" w:rsidRPr="00720B94" w:rsidRDefault="00F349FE" w:rsidP="00720B94">
            <w:pPr>
              <w:jc w:val="center"/>
            </w:pPr>
            <w:r w:rsidRPr="00720B94">
              <w:t>Yes</w:t>
            </w:r>
          </w:p>
        </w:tc>
      </w:tr>
      <w:tr w:rsidR="00F349FE" w:rsidRPr="00720B94" w14:paraId="786DA42A" w14:textId="77777777" w:rsidTr="009637FD">
        <w:tc>
          <w:tcPr>
            <w:tcW w:w="6570" w:type="dxa"/>
          </w:tcPr>
          <w:p w14:paraId="1DB19FB0" w14:textId="77777777" w:rsidR="00F349FE" w:rsidRPr="00720B94" w:rsidRDefault="00F349FE" w:rsidP="00720B94">
            <w:r w:rsidRPr="00720B94">
              <w:t xml:space="preserve">     Airlock with shower required</w:t>
            </w:r>
          </w:p>
        </w:tc>
        <w:tc>
          <w:tcPr>
            <w:tcW w:w="1440" w:type="dxa"/>
            <w:vAlign w:val="center"/>
          </w:tcPr>
          <w:p w14:paraId="4247D3A4" w14:textId="77777777" w:rsidR="00F349FE" w:rsidRPr="00720B94" w:rsidRDefault="00F349FE" w:rsidP="00720B94">
            <w:pPr>
              <w:jc w:val="center"/>
            </w:pPr>
            <w:r w:rsidRPr="00720B94">
              <w:t>No</w:t>
            </w:r>
          </w:p>
        </w:tc>
        <w:tc>
          <w:tcPr>
            <w:tcW w:w="1440" w:type="dxa"/>
            <w:vAlign w:val="center"/>
          </w:tcPr>
          <w:p w14:paraId="588F16F7" w14:textId="77777777" w:rsidR="00F349FE" w:rsidRPr="00720B94" w:rsidRDefault="00F349FE" w:rsidP="00720B94">
            <w:pPr>
              <w:jc w:val="center"/>
            </w:pPr>
            <w:r w:rsidRPr="00720B94">
              <w:t>No</w:t>
            </w:r>
          </w:p>
        </w:tc>
        <w:tc>
          <w:tcPr>
            <w:tcW w:w="1350" w:type="dxa"/>
            <w:vAlign w:val="center"/>
          </w:tcPr>
          <w:p w14:paraId="0470DA26" w14:textId="77777777" w:rsidR="00F349FE" w:rsidRPr="00720B94" w:rsidRDefault="00F349FE" w:rsidP="00720B94">
            <w:pPr>
              <w:jc w:val="center"/>
            </w:pPr>
            <w:r w:rsidRPr="00720B94">
              <w:t>Desirable</w:t>
            </w:r>
          </w:p>
        </w:tc>
      </w:tr>
      <w:tr w:rsidR="00F349FE" w:rsidRPr="00720B94" w14:paraId="1C2776FA" w14:textId="77777777" w:rsidTr="009637FD">
        <w:tc>
          <w:tcPr>
            <w:tcW w:w="6570" w:type="dxa"/>
          </w:tcPr>
          <w:p w14:paraId="213FE096" w14:textId="77777777" w:rsidR="00F349FE" w:rsidRPr="00720B94" w:rsidRDefault="00F349FE" w:rsidP="00720B94">
            <w:r w:rsidRPr="00720B94">
              <w:t>Autoclave on-site:</w:t>
            </w:r>
          </w:p>
        </w:tc>
        <w:tc>
          <w:tcPr>
            <w:tcW w:w="1440" w:type="dxa"/>
            <w:vAlign w:val="center"/>
          </w:tcPr>
          <w:p w14:paraId="2A97A1C0" w14:textId="77777777" w:rsidR="00F349FE" w:rsidRPr="00720B94" w:rsidRDefault="00F349FE" w:rsidP="00720B94">
            <w:pPr>
              <w:jc w:val="center"/>
            </w:pPr>
            <w:r w:rsidRPr="00720B94">
              <w:t>Desirable</w:t>
            </w:r>
          </w:p>
        </w:tc>
        <w:tc>
          <w:tcPr>
            <w:tcW w:w="1440" w:type="dxa"/>
            <w:vAlign w:val="center"/>
          </w:tcPr>
          <w:p w14:paraId="162512A0" w14:textId="77777777" w:rsidR="00F349FE" w:rsidRPr="00720B94" w:rsidRDefault="00F349FE" w:rsidP="00720B94">
            <w:pPr>
              <w:jc w:val="center"/>
            </w:pPr>
            <w:r w:rsidRPr="00720B94">
              <w:t>Yes</w:t>
            </w:r>
          </w:p>
        </w:tc>
        <w:tc>
          <w:tcPr>
            <w:tcW w:w="1350" w:type="dxa"/>
            <w:vAlign w:val="center"/>
          </w:tcPr>
          <w:p w14:paraId="27484FBB" w14:textId="77777777" w:rsidR="00F349FE" w:rsidRPr="00720B94" w:rsidRDefault="00F349FE" w:rsidP="00720B94">
            <w:pPr>
              <w:jc w:val="center"/>
            </w:pPr>
            <w:r w:rsidRPr="00720B94">
              <w:t>Yes</w:t>
            </w:r>
          </w:p>
        </w:tc>
      </w:tr>
      <w:tr w:rsidR="00F349FE" w:rsidRPr="00720B94" w14:paraId="1A294806" w14:textId="77777777" w:rsidTr="009637FD">
        <w:tc>
          <w:tcPr>
            <w:tcW w:w="6570" w:type="dxa"/>
          </w:tcPr>
          <w:p w14:paraId="310C1795" w14:textId="77777777" w:rsidR="00F349FE" w:rsidRPr="00720B94" w:rsidRDefault="00F349FE" w:rsidP="00720B94">
            <w:r w:rsidRPr="00720B94">
              <w:t xml:space="preserve">     In laboratory room</w:t>
            </w:r>
          </w:p>
        </w:tc>
        <w:tc>
          <w:tcPr>
            <w:tcW w:w="1440" w:type="dxa"/>
            <w:vAlign w:val="center"/>
          </w:tcPr>
          <w:p w14:paraId="37F182E6" w14:textId="77777777" w:rsidR="00F349FE" w:rsidRPr="00720B94" w:rsidRDefault="00F349FE" w:rsidP="00720B94">
            <w:pPr>
              <w:jc w:val="center"/>
            </w:pPr>
            <w:r w:rsidRPr="00720B94">
              <w:t>-</w:t>
            </w:r>
          </w:p>
        </w:tc>
        <w:tc>
          <w:tcPr>
            <w:tcW w:w="1440" w:type="dxa"/>
            <w:vAlign w:val="center"/>
          </w:tcPr>
          <w:p w14:paraId="47378E3E" w14:textId="77777777" w:rsidR="00F349FE" w:rsidRPr="00720B94" w:rsidRDefault="00F349FE" w:rsidP="00720B94">
            <w:pPr>
              <w:jc w:val="center"/>
            </w:pPr>
            <w:r w:rsidRPr="00720B94">
              <w:t>-</w:t>
            </w:r>
          </w:p>
        </w:tc>
        <w:tc>
          <w:tcPr>
            <w:tcW w:w="1350" w:type="dxa"/>
            <w:vAlign w:val="center"/>
          </w:tcPr>
          <w:p w14:paraId="3958AE73" w14:textId="77777777" w:rsidR="00F349FE" w:rsidRPr="00720B94" w:rsidRDefault="00F349FE" w:rsidP="00720B94">
            <w:pPr>
              <w:jc w:val="center"/>
            </w:pPr>
            <w:r w:rsidRPr="00720B94">
              <w:t>Desirable</w:t>
            </w:r>
          </w:p>
        </w:tc>
      </w:tr>
      <w:tr w:rsidR="00F349FE" w:rsidRPr="00720B94" w14:paraId="595672C5" w14:textId="77777777" w:rsidTr="009637FD">
        <w:tc>
          <w:tcPr>
            <w:tcW w:w="6570" w:type="dxa"/>
          </w:tcPr>
          <w:p w14:paraId="3CBCC447" w14:textId="77777777" w:rsidR="00F349FE" w:rsidRPr="00720B94" w:rsidRDefault="00F349FE" w:rsidP="00720B94">
            <w:r w:rsidRPr="00720B94">
              <w:t xml:space="preserve">     Pass-through (double-ended)</w:t>
            </w:r>
          </w:p>
        </w:tc>
        <w:tc>
          <w:tcPr>
            <w:tcW w:w="1440" w:type="dxa"/>
            <w:vAlign w:val="center"/>
          </w:tcPr>
          <w:p w14:paraId="30C2B72E" w14:textId="77777777" w:rsidR="00F349FE" w:rsidRPr="00720B94" w:rsidRDefault="00F349FE" w:rsidP="00720B94">
            <w:pPr>
              <w:jc w:val="center"/>
            </w:pPr>
            <w:r w:rsidRPr="00720B94">
              <w:t>-</w:t>
            </w:r>
          </w:p>
        </w:tc>
        <w:tc>
          <w:tcPr>
            <w:tcW w:w="1440" w:type="dxa"/>
            <w:vAlign w:val="center"/>
          </w:tcPr>
          <w:p w14:paraId="38FA1BF4" w14:textId="77777777" w:rsidR="00F349FE" w:rsidRPr="00720B94" w:rsidRDefault="00F349FE" w:rsidP="00720B94">
            <w:pPr>
              <w:jc w:val="center"/>
            </w:pPr>
            <w:r w:rsidRPr="00720B94">
              <w:t>-</w:t>
            </w:r>
          </w:p>
        </w:tc>
        <w:tc>
          <w:tcPr>
            <w:tcW w:w="1350" w:type="dxa"/>
            <w:vAlign w:val="center"/>
          </w:tcPr>
          <w:p w14:paraId="6E0F3AFA" w14:textId="77777777" w:rsidR="00F349FE" w:rsidRPr="00720B94" w:rsidRDefault="00F349FE" w:rsidP="00720B94">
            <w:pPr>
              <w:jc w:val="center"/>
            </w:pPr>
            <w:r w:rsidRPr="00720B94">
              <w:t>Desirable</w:t>
            </w:r>
          </w:p>
        </w:tc>
      </w:tr>
      <w:tr w:rsidR="00F349FE" w:rsidRPr="00720B94" w14:paraId="55CB4715" w14:textId="77777777" w:rsidTr="009637FD">
        <w:tc>
          <w:tcPr>
            <w:tcW w:w="6570" w:type="dxa"/>
          </w:tcPr>
          <w:p w14:paraId="647DC369" w14:textId="77777777" w:rsidR="00F349FE" w:rsidRPr="00720B94" w:rsidRDefault="00F349FE" w:rsidP="00720B94">
            <w:r w:rsidRPr="00720B94">
              <w:t>Biological safety cabinets:</w:t>
            </w:r>
          </w:p>
        </w:tc>
        <w:tc>
          <w:tcPr>
            <w:tcW w:w="1440" w:type="dxa"/>
            <w:shd w:val="clear" w:color="auto" w:fill="D9D9D9" w:themeFill="background1" w:themeFillShade="D9"/>
            <w:vAlign w:val="center"/>
          </w:tcPr>
          <w:p w14:paraId="47BE76CD" w14:textId="77777777" w:rsidR="00F349FE" w:rsidRPr="00720B94" w:rsidRDefault="00F349FE" w:rsidP="00720B94">
            <w:pPr>
              <w:jc w:val="center"/>
            </w:pPr>
          </w:p>
        </w:tc>
        <w:tc>
          <w:tcPr>
            <w:tcW w:w="1440" w:type="dxa"/>
            <w:shd w:val="clear" w:color="auto" w:fill="D9D9D9" w:themeFill="background1" w:themeFillShade="D9"/>
            <w:vAlign w:val="center"/>
          </w:tcPr>
          <w:p w14:paraId="70E06046" w14:textId="77777777" w:rsidR="00F349FE" w:rsidRPr="00720B94" w:rsidRDefault="00F349FE" w:rsidP="00720B94">
            <w:pPr>
              <w:jc w:val="center"/>
            </w:pPr>
          </w:p>
        </w:tc>
        <w:tc>
          <w:tcPr>
            <w:tcW w:w="1350" w:type="dxa"/>
            <w:shd w:val="clear" w:color="auto" w:fill="D9D9D9" w:themeFill="background1" w:themeFillShade="D9"/>
            <w:vAlign w:val="center"/>
          </w:tcPr>
          <w:p w14:paraId="6ADA5A68" w14:textId="77777777" w:rsidR="00F349FE" w:rsidRPr="00720B94" w:rsidRDefault="00F349FE" w:rsidP="00720B94">
            <w:pPr>
              <w:jc w:val="center"/>
            </w:pPr>
          </w:p>
        </w:tc>
      </w:tr>
      <w:tr w:rsidR="00F349FE" w:rsidRPr="00720B94" w14:paraId="7B153192" w14:textId="77777777" w:rsidTr="009637FD">
        <w:tc>
          <w:tcPr>
            <w:tcW w:w="6570" w:type="dxa"/>
          </w:tcPr>
          <w:p w14:paraId="7272E1D8" w14:textId="77777777" w:rsidR="00F349FE" w:rsidRPr="00720B94" w:rsidRDefault="00F349FE" w:rsidP="00720B94">
            <w:r w:rsidRPr="00720B94">
              <w:t xml:space="preserve">     Annual certification</w:t>
            </w:r>
          </w:p>
        </w:tc>
        <w:tc>
          <w:tcPr>
            <w:tcW w:w="1440" w:type="dxa"/>
            <w:vAlign w:val="center"/>
          </w:tcPr>
          <w:p w14:paraId="3C4F06EB" w14:textId="77777777" w:rsidR="00F349FE" w:rsidRPr="00720B94" w:rsidRDefault="00F349FE" w:rsidP="00720B94">
            <w:pPr>
              <w:jc w:val="center"/>
            </w:pPr>
            <w:r w:rsidRPr="00720B94">
              <w:t>Desirable</w:t>
            </w:r>
          </w:p>
        </w:tc>
        <w:tc>
          <w:tcPr>
            <w:tcW w:w="1440" w:type="dxa"/>
            <w:vAlign w:val="center"/>
          </w:tcPr>
          <w:p w14:paraId="3EC92B21" w14:textId="77777777" w:rsidR="00F349FE" w:rsidRPr="00720B94" w:rsidRDefault="00F349FE" w:rsidP="00720B94">
            <w:pPr>
              <w:jc w:val="center"/>
            </w:pPr>
            <w:r w:rsidRPr="00720B94">
              <w:t>Yes</w:t>
            </w:r>
          </w:p>
        </w:tc>
        <w:tc>
          <w:tcPr>
            <w:tcW w:w="1350" w:type="dxa"/>
            <w:vAlign w:val="center"/>
          </w:tcPr>
          <w:p w14:paraId="46886EF3" w14:textId="77777777" w:rsidR="00F349FE" w:rsidRPr="00720B94" w:rsidRDefault="00F349FE" w:rsidP="00720B94">
            <w:pPr>
              <w:jc w:val="center"/>
            </w:pPr>
            <w:r w:rsidRPr="00720B94">
              <w:t>Yes</w:t>
            </w:r>
          </w:p>
        </w:tc>
      </w:tr>
      <w:tr w:rsidR="00F349FE" w:rsidRPr="00720B94" w14:paraId="35D44935" w14:textId="77777777" w:rsidTr="009637FD">
        <w:tc>
          <w:tcPr>
            <w:tcW w:w="6570" w:type="dxa"/>
          </w:tcPr>
          <w:p w14:paraId="771BB14F" w14:textId="77777777" w:rsidR="00F349FE" w:rsidRPr="00720B94" w:rsidRDefault="00F349FE" w:rsidP="00720B94">
            <w:r w:rsidRPr="00720B94">
              <w:t xml:space="preserve">     Class I or Class II</w:t>
            </w:r>
          </w:p>
        </w:tc>
        <w:tc>
          <w:tcPr>
            <w:tcW w:w="1440" w:type="dxa"/>
            <w:vAlign w:val="center"/>
          </w:tcPr>
          <w:p w14:paraId="7C6E2CE4" w14:textId="77777777" w:rsidR="00F349FE" w:rsidRPr="00720B94" w:rsidRDefault="00F349FE" w:rsidP="00720B94">
            <w:pPr>
              <w:jc w:val="center"/>
            </w:pPr>
            <w:r w:rsidRPr="00720B94">
              <w:t>-</w:t>
            </w:r>
          </w:p>
        </w:tc>
        <w:tc>
          <w:tcPr>
            <w:tcW w:w="1440" w:type="dxa"/>
            <w:vAlign w:val="center"/>
          </w:tcPr>
          <w:p w14:paraId="29BD1726" w14:textId="77777777" w:rsidR="00F349FE" w:rsidRPr="00720B94" w:rsidRDefault="00F349FE" w:rsidP="00720B94">
            <w:pPr>
              <w:jc w:val="center"/>
            </w:pPr>
            <w:r w:rsidRPr="00720B94">
              <w:t>Desirable</w:t>
            </w:r>
          </w:p>
        </w:tc>
        <w:tc>
          <w:tcPr>
            <w:tcW w:w="1350" w:type="dxa"/>
            <w:vAlign w:val="center"/>
          </w:tcPr>
          <w:p w14:paraId="562DCB12" w14:textId="77777777" w:rsidR="00F349FE" w:rsidRPr="00720B94" w:rsidRDefault="00F349FE" w:rsidP="00720B94">
            <w:pPr>
              <w:jc w:val="center"/>
            </w:pPr>
            <w:r w:rsidRPr="00720B94">
              <w:t>Yes</w:t>
            </w:r>
          </w:p>
        </w:tc>
      </w:tr>
      <w:tr w:rsidR="00F349FE" w:rsidRPr="00720B94" w14:paraId="439C4564" w14:textId="77777777" w:rsidTr="009637FD">
        <w:tc>
          <w:tcPr>
            <w:tcW w:w="6570" w:type="dxa"/>
          </w:tcPr>
          <w:p w14:paraId="2C093DAA" w14:textId="77777777" w:rsidR="00F349FE" w:rsidRPr="00720B94" w:rsidRDefault="00F349FE" w:rsidP="00720B94">
            <w:r w:rsidRPr="00720B94">
              <w:t xml:space="preserve">     Class III</w:t>
            </w:r>
          </w:p>
        </w:tc>
        <w:tc>
          <w:tcPr>
            <w:tcW w:w="1440" w:type="dxa"/>
            <w:vAlign w:val="center"/>
          </w:tcPr>
          <w:p w14:paraId="798F5A34" w14:textId="77777777" w:rsidR="00F349FE" w:rsidRPr="00720B94" w:rsidRDefault="00F349FE" w:rsidP="00720B94">
            <w:pPr>
              <w:jc w:val="center"/>
            </w:pPr>
            <w:r w:rsidRPr="00720B94">
              <w:t>-</w:t>
            </w:r>
          </w:p>
        </w:tc>
        <w:tc>
          <w:tcPr>
            <w:tcW w:w="1440" w:type="dxa"/>
            <w:vAlign w:val="center"/>
          </w:tcPr>
          <w:p w14:paraId="0B84669E" w14:textId="77777777" w:rsidR="00F349FE" w:rsidRPr="00720B94" w:rsidRDefault="00F349FE" w:rsidP="00720B94">
            <w:pPr>
              <w:jc w:val="center"/>
            </w:pPr>
            <w:r w:rsidRPr="00720B94">
              <w:t>-</w:t>
            </w:r>
          </w:p>
        </w:tc>
        <w:tc>
          <w:tcPr>
            <w:tcW w:w="1350" w:type="dxa"/>
            <w:vAlign w:val="center"/>
          </w:tcPr>
          <w:p w14:paraId="71617A43" w14:textId="77777777" w:rsidR="00F349FE" w:rsidRPr="00720B94" w:rsidRDefault="00F349FE" w:rsidP="00720B94">
            <w:pPr>
              <w:jc w:val="center"/>
            </w:pPr>
            <w:r w:rsidRPr="00720B94">
              <w:t>Desirable</w:t>
            </w:r>
          </w:p>
        </w:tc>
      </w:tr>
      <w:tr w:rsidR="00F349FE" w:rsidRPr="00720B94" w14:paraId="2460A257" w14:textId="77777777" w:rsidTr="009637FD">
        <w:tc>
          <w:tcPr>
            <w:tcW w:w="6570" w:type="dxa"/>
          </w:tcPr>
          <w:p w14:paraId="5D1EDA47" w14:textId="77777777" w:rsidR="00F349FE" w:rsidRPr="00720B94" w:rsidRDefault="00F349FE" w:rsidP="00720B94">
            <w:r w:rsidRPr="00720B94">
              <w:t>Vacuum lines should be protected with liquid trap or in-line HEPA filter</w:t>
            </w:r>
          </w:p>
        </w:tc>
        <w:tc>
          <w:tcPr>
            <w:tcW w:w="1440" w:type="dxa"/>
            <w:vAlign w:val="center"/>
          </w:tcPr>
          <w:p w14:paraId="03A8C48A" w14:textId="77777777" w:rsidR="00F349FE" w:rsidRPr="00720B94" w:rsidRDefault="00F349FE" w:rsidP="00720B94">
            <w:pPr>
              <w:jc w:val="center"/>
            </w:pPr>
            <w:r w:rsidRPr="00720B94">
              <w:t>Desirable</w:t>
            </w:r>
          </w:p>
        </w:tc>
        <w:tc>
          <w:tcPr>
            <w:tcW w:w="1440" w:type="dxa"/>
            <w:vAlign w:val="center"/>
          </w:tcPr>
          <w:p w14:paraId="7C88A770" w14:textId="77777777" w:rsidR="00F349FE" w:rsidRPr="00720B94" w:rsidRDefault="00F349FE" w:rsidP="00720B94">
            <w:pPr>
              <w:jc w:val="center"/>
            </w:pPr>
            <w:r w:rsidRPr="00720B94">
              <w:t>Yes</w:t>
            </w:r>
          </w:p>
        </w:tc>
        <w:tc>
          <w:tcPr>
            <w:tcW w:w="1350" w:type="dxa"/>
            <w:vAlign w:val="center"/>
          </w:tcPr>
          <w:p w14:paraId="218C7491" w14:textId="77777777" w:rsidR="00F349FE" w:rsidRPr="00720B94" w:rsidRDefault="00F349FE" w:rsidP="00720B94">
            <w:pPr>
              <w:jc w:val="center"/>
            </w:pPr>
            <w:r w:rsidRPr="00720B94">
              <w:t>Yes</w:t>
            </w:r>
          </w:p>
        </w:tc>
      </w:tr>
      <w:tr w:rsidR="00F349FE" w:rsidRPr="00720B94" w14:paraId="49E25AE7" w14:textId="77777777" w:rsidTr="009637FD">
        <w:tc>
          <w:tcPr>
            <w:tcW w:w="6570" w:type="dxa"/>
          </w:tcPr>
          <w:p w14:paraId="2A4097E8" w14:textId="77777777" w:rsidR="00F349FE" w:rsidRPr="00720B94" w:rsidRDefault="00F349FE" w:rsidP="00720B94">
            <w:r w:rsidRPr="00720B94">
              <w:t>Waste effluent treatment</w:t>
            </w:r>
          </w:p>
        </w:tc>
        <w:tc>
          <w:tcPr>
            <w:tcW w:w="1440" w:type="dxa"/>
            <w:vAlign w:val="center"/>
          </w:tcPr>
          <w:p w14:paraId="0B1070E2" w14:textId="77777777" w:rsidR="00F349FE" w:rsidRPr="00720B94" w:rsidRDefault="00F349FE" w:rsidP="00720B94">
            <w:pPr>
              <w:jc w:val="center"/>
            </w:pPr>
            <w:r w:rsidRPr="00720B94">
              <w:t>-</w:t>
            </w:r>
          </w:p>
        </w:tc>
        <w:tc>
          <w:tcPr>
            <w:tcW w:w="1440" w:type="dxa"/>
            <w:vAlign w:val="center"/>
          </w:tcPr>
          <w:p w14:paraId="10C73A2A" w14:textId="77777777" w:rsidR="00F349FE" w:rsidRPr="00720B94" w:rsidRDefault="00F349FE" w:rsidP="00720B94">
            <w:pPr>
              <w:jc w:val="center"/>
            </w:pPr>
            <w:r w:rsidRPr="00720B94">
              <w:t>-</w:t>
            </w:r>
          </w:p>
        </w:tc>
        <w:tc>
          <w:tcPr>
            <w:tcW w:w="1350" w:type="dxa"/>
            <w:vAlign w:val="center"/>
          </w:tcPr>
          <w:p w14:paraId="460F093E" w14:textId="77777777" w:rsidR="00F349FE" w:rsidRPr="00720B94" w:rsidRDefault="00F349FE" w:rsidP="00720B94">
            <w:pPr>
              <w:jc w:val="center"/>
            </w:pPr>
            <w:r w:rsidRPr="00720B94">
              <w:t>Desirable</w:t>
            </w:r>
          </w:p>
        </w:tc>
      </w:tr>
      <w:tr w:rsidR="00F349FE" w:rsidRPr="00720B94" w14:paraId="2E755B29" w14:textId="77777777" w:rsidTr="009637FD">
        <w:tc>
          <w:tcPr>
            <w:tcW w:w="6570" w:type="dxa"/>
          </w:tcPr>
          <w:p w14:paraId="0BC61F6C" w14:textId="77777777" w:rsidR="00F349FE" w:rsidRPr="00720B94" w:rsidRDefault="00F349FE" w:rsidP="00720B94">
            <w:r w:rsidRPr="00720B94">
              <w:t>Centrifuge with sealed rotors, buckets, or safety cups; HEPA filter required</w:t>
            </w:r>
          </w:p>
        </w:tc>
        <w:tc>
          <w:tcPr>
            <w:tcW w:w="1440" w:type="dxa"/>
            <w:vAlign w:val="center"/>
          </w:tcPr>
          <w:p w14:paraId="4AB01AFF" w14:textId="77777777" w:rsidR="00F349FE" w:rsidRPr="00720B94" w:rsidRDefault="00F349FE" w:rsidP="00720B94">
            <w:pPr>
              <w:jc w:val="center"/>
            </w:pPr>
            <w:r w:rsidRPr="00720B94">
              <w:t>-</w:t>
            </w:r>
          </w:p>
        </w:tc>
        <w:tc>
          <w:tcPr>
            <w:tcW w:w="1440" w:type="dxa"/>
            <w:vAlign w:val="center"/>
          </w:tcPr>
          <w:p w14:paraId="61087B48" w14:textId="77777777" w:rsidR="00F349FE" w:rsidRPr="00720B94" w:rsidRDefault="00F349FE" w:rsidP="00720B94">
            <w:pPr>
              <w:jc w:val="center"/>
            </w:pPr>
            <w:r w:rsidRPr="00720B94">
              <w:t>Desirable</w:t>
            </w:r>
          </w:p>
        </w:tc>
        <w:tc>
          <w:tcPr>
            <w:tcW w:w="1350" w:type="dxa"/>
            <w:vAlign w:val="center"/>
          </w:tcPr>
          <w:p w14:paraId="1D6E6069" w14:textId="77777777" w:rsidR="00F349FE" w:rsidRPr="00720B94" w:rsidRDefault="00F349FE" w:rsidP="00720B94">
            <w:pPr>
              <w:jc w:val="center"/>
            </w:pPr>
            <w:r w:rsidRPr="00720B94">
              <w:t>Yes</w:t>
            </w:r>
          </w:p>
        </w:tc>
      </w:tr>
    </w:tbl>
    <w:p w14:paraId="4715305E" w14:textId="77777777" w:rsidR="00F349FE" w:rsidRPr="00720B94" w:rsidRDefault="00F349FE" w:rsidP="00720B94">
      <w:pPr>
        <w:spacing w:line="276" w:lineRule="auto"/>
        <w:rPr>
          <w:b/>
          <w:bCs/>
          <w:sz w:val="28"/>
          <w:szCs w:val="28"/>
        </w:rPr>
      </w:pPr>
    </w:p>
    <w:p w14:paraId="279B75E6" w14:textId="77777777" w:rsidR="00F349FE" w:rsidRPr="00720B94" w:rsidRDefault="00F349FE" w:rsidP="00720B94">
      <w:pPr>
        <w:spacing w:line="276" w:lineRule="auto"/>
        <w:rPr>
          <w:b/>
          <w:bCs/>
          <w:sz w:val="28"/>
          <w:szCs w:val="28"/>
        </w:rPr>
      </w:pPr>
    </w:p>
    <w:p w14:paraId="254A5D59" w14:textId="77777777" w:rsidR="00F349FE" w:rsidRPr="00720B94" w:rsidRDefault="00F349FE" w:rsidP="00720B94">
      <w:pPr>
        <w:spacing w:line="276" w:lineRule="auto"/>
        <w:rPr>
          <w:b/>
          <w:bCs/>
          <w:sz w:val="28"/>
          <w:szCs w:val="28"/>
        </w:rPr>
      </w:pPr>
    </w:p>
    <w:p w14:paraId="58357A0E" w14:textId="547FF456" w:rsidR="00A112D5" w:rsidRPr="00720B94" w:rsidRDefault="00C95E85" w:rsidP="00720B94">
      <w:pPr>
        <w:spacing w:line="276" w:lineRule="auto"/>
        <w:rPr>
          <w:b/>
          <w:bCs/>
          <w:sz w:val="28"/>
          <w:szCs w:val="28"/>
        </w:rPr>
      </w:pPr>
      <w:bookmarkStart w:id="115" w:name="_Toc192509415"/>
      <w:r w:rsidRPr="00720B94">
        <w:rPr>
          <w:rStyle w:val="Heading1Char"/>
          <w:b/>
          <w:bCs/>
        </w:rPr>
        <w:lastRenderedPageBreak/>
        <w:t>Appendix I</w:t>
      </w:r>
      <w:bookmarkEnd w:id="115"/>
      <w:r w:rsidRPr="00720B94">
        <w:rPr>
          <w:b/>
          <w:bCs/>
          <w:sz w:val="28"/>
          <w:szCs w:val="28"/>
        </w:rPr>
        <w:t xml:space="preserve"> </w:t>
      </w:r>
      <w:r w:rsidRPr="00720B94">
        <w:rPr>
          <w:rStyle w:val="Heading1Char"/>
        </w:rPr>
        <w:t>– Chemical Disinfection</w:t>
      </w:r>
      <w:r w:rsidRPr="00720B94">
        <w:rPr>
          <w:b/>
          <w:bCs/>
          <w:sz w:val="28"/>
          <w:szCs w:val="28"/>
        </w:rPr>
        <w:t xml:space="preserve"> </w:t>
      </w:r>
      <w:r w:rsidRPr="00720B94">
        <w:rPr>
          <w:i/>
          <w:iCs/>
          <w:sz w:val="28"/>
          <w:szCs w:val="28"/>
        </w:rPr>
        <w:t xml:space="preserve">(see pg. </w:t>
      </w:r>
      <w:r w:rsidR="00A112D5" w:rsidRPr="00720B94">
        <w:rPr>
          <w:i/>
          <w:iCs/>
          <w:sz w:val="28"/>
          <w:szCs w:val="28"/>
        </w:rPr>
        <w:t>3</w:t>
      </w:r>
      <w:r w:rsidR="00777133" w:rsidRPr="00720B94">
        <w:rPr>
          <w:i/>
          <w:iCs/>
          <w:sz w:val="28"/>
          <w:szCs w:val="28"/>
        </w:rPr>
        <w:t>1</w:t>
      </w:r>
      <w:r w:rsidRPr="00720B94">
        <w:rPr>
          <w:i/>
          <w:iCs/>
          <w:sz w:val="28"/>
          <w:szCs w:val="28"/>
        </w:rPr>
        <w:t>)</w:t>
      </w:r>
    </w:p>
    <w:tbl>
      <w:tblPr>
        <w:tblStyle w:val="TableGrid"/>
        <w:tblW w:w="11610" w:type="dxa"/>
        <w:tblInd w:w="-725" w:type="dxa"/>
        <w:tblLook w:val="04A0" w:firstRow="1" w:lastRow="0" w:firstColumn="1" w:lastColumn="0" w:noHBand="0" w:noVBand="1"/>
      </w:tblPr>
      <w:tblGrid>
        <w:gridCol w:w="1800"/>
        <w:gridCol w:w="7820"/>
        <w:gridCol w:w="1990"/>
      </w:tblGrid>
      <w:tr w:rsidR="00BD5EB1" w:rsidRPr="00720B94" w14:paraId="0CB9200D" w14:textId="58804E52" w:rsidTr="00A6026B">
        <w:tc>
          <w:tcPr>
            <w:tcW w:w="1800" w:type="dxa"/>
          </w:tcPr>
          <w:p w14:paraId="642D7B8E" w14:textId="066981F1" w:rsidR="00AD4E21" w:rsidRPr="00720B94" w:rsidRDefault="00AD4E21" w:rsidP="00720B94">
            <w:pPr>
              <w:spacing w:line="276" w:lineRule="auto"/>
              <w:jc w:val="center"/>
              <w:rPr>
                <w:b/>
                <w:bCs/>
              </w:rPr>
            </w:pPr>
            <w:r w:rsidRPr="00720B94">
              <w:rPr>
                <w:b/>
                <w:bCs/>
              </w:rPr>
              <w:t>Disinfectant</w:t>
            </w:r>
            <w:r w:rsidR="00A6026B" w:rsidRPr="00720B94">
              <w:rPr>
                <w:b/>
                <w:bCs/>
              </w:rPr>
              <w:t xml:space="preserve"> </w:t>
            </w:r>
          </w:p>
        </w:tc>
        <w:tc>
          <w:tcPr>
            <w:tcW w:w="7820" w:type="dxa"/>
          </w:tcPr>
          <w:p w14:paraId="3FE9F06B" w14:textId="592D0711" w:rsidR="00AD4E21" w:rsidRPr="00720B94" w:rsidRDefault="00AD4E21" w:rsidP="00720B94">
            <w:pPr>
              <w:spacing w:line="276" w:lineRule="auto"/>
              <w:jc w:val="center"/>
              <w:rPr>
                <w:b/>
                <w:bCs/>
              </w:rPr>
            </w:pPr>
            <w:r w:rsidRPr="00720B94">
              <w:rPr>
                <w:b/>
                <w:bCs/>
              </w:rPr>
              <w:t>Properties</w:t>
            </w:r>
          </w:p>
        </w:tc>
        <w:tc>
          <w:tcPr>
            <w:tcW w:w="1990" w:type="dxa"/>
          </w:tcPr>
          <w:p w14:paraId="4D498C6F" w14:textId="27EA3B7B" w:rsidR="00AD4E21" w:rsidRPr="00720B94" w:rsidRDefault="00A6026B" w:rsidP="00720B94">
            <w:pPr>
              <w:spacing w:line="276" w:lineRule="auto"/>
              <w:jc w:val="center"/>
              <w:rPr>
                <w:b/>
                <w:bCs/>
              </w:rPr>
            </w:pPr>
            <w:r w:rsidRPr="00720B94">
              <w:rPr>
                <w:b/>
                <w:bCs/>
              </w:rPr>
              <w:t xml:space="preserve">Ex. </w:t>
            </w:r>
            <w:r w:rsidR="00AD4E21" w:rsidRPr="00720B94">
              <w:rPr>
                <w:b/>
                <w:bCs/>
              </w:rPr>
              <w:t>Products</w:t>
            </w:r>
          </w:p>
        </w:tc>
      </w:tr>
      <w:tr w:rsidR="00BD5EB1" w:rsidRPr="00720B94" w14:paraId="6B7A8D3F" w14:textId="199D66B4" w:rsidTr="00A6026B">
        <w:tc>
          <w:tcPr>
            <w:tcW w:w="1800" w:type="dxa"/>
          </w:tcPr>
          <w:p w14:paraId="60E1D6FA" w14:textId="77777777" w:rsidR="00AD4E21" w:rsidRPr="00720B94" w:rsidRDefault="00AD4E21" w:rsidP="00720B94">
            <w:r w:rsidRPr="00720B94">
              <w:rPr>
                <w:b/>
                <w:bCs/>
              </w:rPr>
              <w:t xml:space="preserve">Alcohol </w:t>
            </w:r>
            <w:r w:rsidRPr="00720B94">
              <w:t xml:space="preserve">(ethanol, isopropanol) </w:t>
            </w:r>
          </w:p>
          <w:p w14:paraId="350F4AC5" w14:textId="77777777" w:rsidR="00AD4E21" w:rsidRPr="00720B94" w:rsidRDefault="00AD4E21" w:rsidP="00720B94">
            <w:pPr>
              <w:spacing w:line="276" w:lineRule="auto"/>
              <w:rPr>
                <w:b/>
                <w:bCs/>
                <w:sz w:val="28"/>
                <w:szCs w:val="28"/>
              </w:rPr>
            </w:pPr>
          </w:p>
        </w:tc>
        <w:tc>
          <w:tcPr>
            <w:tcW w:w="7820" w:type="dxa"/>
          </w:tcPr>
          <w:p w14:paraId="26B43C50" w14:textId="44F2B66F" w:rsidR="00AD4E21" w:rsidRPr="00720B94" w:rsidRDefault="00AD4E21" w:rsidP="00720B94">
            <w:pPr>
              <w:spacing w:line="276" w:lineRule="auto"/>
              <w:rPr>
                <w:b/>
                <w:bCs/>
                <w:sz w:val="28"/>
                <w:szCs w:val="28"/>
              </w:rPr>
            </w:pPr>
            <w:r w:rsidRPr="00720B94">
              <w:t>Effective against vegetative forms of bacteria, including mycobacteria and fungi, and hydrophobic (enveloped) viruses, but will not destroy spores or hydrophilic viruses. The recommended strength is 70–90%; higher levels may be less efficacious. Alcohol typically is used for disinfection of instruments or surfaces that have low organic burden. Characteristics limiting usefulness are flammability, poor penetration of protein-rich materials, and rapid evaporation making extended contact time difficult to achieve. Alcohol-based hand-rubs may be used for the decontamination of lightly soiled hands in situations where proper handwashing is inconvenient or impossible.</w:t>
            </w:r>
          </w:p>
        </w:tc>
        <w:tc>
          <w:tcPr>
            <w:tcW w:w="1990" w:type="dxa"/>
          </w:tcPr>
          <w:p w14:paraId="4679BBD7" w14:textId="77777777" w:rsidR="00AD4E21" w:rsidRPr="00720B94" w:rsidRDefault="00AD4E21" w:rsidP="00720B94">
            <w:pPr>
              <w:spacing w:line="276" w:lineRule="auto"/>
            </w:pPr>
          </w:p>
        </w:tc>
      </w:tr>
      <w:tr w:rsidR="00BD5EB1" w:rsidRPr="00720B94" w14:paraId="1E183763" w14:textId="472806A4" w:rsidTr="00A6026B">
        <w:trPr>
          <w:trHeight w:val="926"/>
        </w:trPr>
        <w:tc>
          <w:tcPr>
            <w:tcW w:w="1800" w:type="dxa"/>
          </w:tcPr>
          <w:p w14:paraId="146569BA" w14:textId="77777777" w:rsidR="00AD4E21" w:rsidRPr="00720B94" w:rsidRDefault="00AD4E21" w:rsidP="00720B94">
            <w:r w:rsidRPr="00720B94">
              <w:rPr>
                <w:b/>
                <w:bCs/>
              </w:rPr>
              <w:t>Aldehydes</w:t>
            </w:r>
            <w:r w:rsidRPr="00720B94">
              <w:t xml:space="preserve"> (formaldehyde, glutaraldehyde) </w:t>
            </w:r>
          </w:p>
          <w:p w14:paraId="57898EF7" w14:textId="77777777" w:rsidR="00AD4E21" w:rsidRPr="00720B94" w:rsidRDefault="00AD4E21" w:rsidP="00720B94">
            <w:pPr>
              <w:spacing w:line="276" w:lineRule="auto"/>
              <w:rPr>
                <w:b/>
                <w:bCs/>
                <w:sz w:val="28"/>
                <w:szCs w:val="28"/>
              </w:rPr>
            </w:pPr>
          </w:p>
        </w:tc>
        <w:tc>
          <w:tcPr>
            <w:tcW w:w="7820" w:type="dxa"/>
          </w:tcPr>
          <w:p w14:paraId="533E74EB" w14:textId="1317C66D" w:rsidR="00AD4E21" w:rsidRPr="00720B94" w:rsidRDefault="00AD4E21" w:rsidP="00720B94">
            <w:pPr>
              <w:spacing w:line="276" w:lineRule="auto"/>
              <w:rPr>
                <w:b/>
                <w:bCs/>
                <w:sz w:val="28"/>
                <w:szCs w:val="28"/>
              </w:rPr>
            </w:pPr>
            <w:r w:rsidRPr="00720B94">
              <w:t xml:space="preserve">Have broad germicidal activity, but toxicity to humans limits their usefulness as laboratory disinfectants. </w:t>
            </w:r>
          </w:p>
        </w:tc>
        <w:tc>
          <w:tcPr>
            <w:tcW w:w="1990" w:type="dxa"/>
          </w:tcPr>
          <w:p w14:paraId="68FED3FF" w14:textId="77777777" w:rsidR="00AD4E21" w:rsidRPr="00720B94" w:rsidRDefault="00AD4E21" w:rsidP="0092380E">
            <w:pPr>
              <w:pStyle w:val="ListParagraph"/>
              <w:numPr>
                <w:ilvl w:val="0"/>
                <w:numId w:val="48"/>
              </w:numPr>
              <w:spacing w:line="276" w:lineRule="auto"/>
            </w:pPr>
            <w:proofErr w:type="spellStart"/>
            <w:r w:rsidRPr="00720B94">
              <w:t>Cidex</w:t>
            </w:r>
            <w:proofErr w:type="spellEnd"/>
          </w:p>
          <w:p w14:paraId="65938BC1" w14:textId="1D15D0FA" w:rsidR="00AD4E21" w:rsidRPr="00720B94" w:rsidRDefault="00AD4E21" w:rsidP="0092380E">
            <w:pPr>
              <w:pStyle w:val="ListParagraph"/>
              <w:numPr>
                <w:ilvl w:val="0"/>
                <w:numId w:val="48"/>
              </w:numPr>
              <w:spacing w:line="276" w:lineRule="auto"/>
            </w:pPr>
            <w:r w:rsidRPr="00720B94">
              <w:t>Wavicide-01</w:t>
            </w:r>
          </w:p>
        </w:tc>
      </w:tr>
      <w:tr w:rsidR="00BD5EB1" w:rsidRPr="00720B94" w14:paraId="195F8B8A" w14:textId="68656492" w:rsidTr="00A6026B">
        <w:tc>
          <w:tcPr>
            <w:tcW w:w="1800" w:type="dxa"/>
          </w:tcPr>
          <w:p w14:paraId="171C48E6" w14:textId="77777777" w:rsidR="00AD4E21" w:rsidRPr="00720B94" w:rsidRDefault="00AD4E21" w:rsidP="00720B94">
            <w:proofErr w:type="spellStart"/>
            <w:r w:rsidRPr="00720B94">
              <w:rPr>
                <w:b/>
                <w:bCs/>
              </w:rPr>
              <w:t>Peroxygen</w:t>
            </w:r>
            <w:proofErr w:type="spellEnd"/>
            <w:r w:rsidRPr="00720B94">
              <w:rPr>
                <w:b/>
                <w:bCs/>
              </w:rPr>
              <w:t xml:space="preserve"> compounds </w:t>
            </w:r>
          </w:p>
          <w:p w14:paraId="2211868A" w14:textId="77777777" w:rsidR="00AD4E21" w:rsidRPr="00720B94" w:rsidRDefault="00AD4E21" w:rsidP="00720B94">
            <w:pPr>
              <w:spacing w:line="276" w:lineRule="auto"/>
              <w:rPr>
                <w:b/>
                <w:bCs/>
                <w:sz w:val="28"/>
                <w:szCs w:val="28"/>
              </w:rPr>
            </w:pPr>
          </w:p>
        </w:tc>
        <w:tc>
          <w:tcPr>
            <w:tcW w:w="7820" w:type="dxa"/>
          </w:tcPr>
          <w:p w14:paraId="1563311B" w14:textId="16B44CC5" w:rsidR="00AD4E21" w:rsidRPr="00720B94" w:rsidRDefault="00AD4E21" w:rsidP="00720B94">
            <w:pPr>
              <w:spacing w:line="276" w:lineRule="auto"/>
              <w:rPr>
                <w:b/>
                <w:bCs/>
                <w:sz w:val="28"/>
                <w:szCs w:val="28"/>
              </w:rPr>
            </w:pPr>
            <w:r w:rsidRPr="00720B94">
              <w:t xml:space="preserve">Provide a wide range of bactericidal, viricidal, and fungicidal activity, although activity is variable against bacterial spores and mycobacteria. Corrosivity varies with different products but is less problematic than with hypochlorite disinfectants. Their detergent properties combine cleaning with disinfection. </w:t>
            </w:r>
          </w:p>
        </w:tc>
        <w:tc>
          <w:tcPr>
            <w:tcW w:w="1990" w:type="dxa"/>
          </w:tcPr>
          <w:p w14:paraId="14D01FBD" w14:textId="4858EE21" w:rsidR="00AD4E21" w:rsidRPr="00720B94" w:rsidRDefault="00AD4E21" w:rsidP="0092380E">
            <w:pPr>
              <w:pStyle w:val="ListParagraph"/>
              <w:numPr>
                <w:ilvl w:val="0"/>
                <w:numId w:val="49"/>
              </w:numPr>
              <w:spacing w:line="276" w:lineRule="auto"/>
            </w:pPr>
            <w:r w:rsidRPr="00720B94">
              <w:t>Virkon</w:t>
            </w:r>
          </w:p>
        </w:tc>
      </w:tr>
      <w:tr w:rsidR="00BD5EB1" w:rsidRPr="00720B94" w14:paraId="65D3DEFF" w14:textId="0F5E6251" w:rsidTr="00A6026B">
        <w:tc>
          <w:tcPr>
            <w:tcW w:w="1800" w:type="dxa"/>
          </w:tcPr>
          <w:p w14:paraId="7FB218B2" w14:textId="2E8CBB0C" w:rsidR="00AD4E21" w:rsidRPr="00720B94" w:rsidRDefault="00AD4E21" w:rsidP="00720B94">
            <w:r w:rsidRPr="00720B94">
              <w:rPr>
                <w:b/>
                <w:bCs/>
              </w:rPr>
              <w:t xml:space="preserve">Halogens </w:t>
            </w:r>
          </w:p>
          <w:p w14:paraId="0178DF7D" w14:textId="77777777" w:rsidR="00AD4E21" w:rsidRPr="00720B94" w:rsidRDefault="00AD4E21" w:rsidP="00720B94">
            <w:pPr>
              <w:spacing w:line="276" w:lineRule="auto"/>
              <w:rPr>
                <w:b/>
                <w:bCs/>
                <w:sz w:val="28"/>
                <w:szCs w:val="28"/>
              </w:rPr>
            </w:pPr>
          </w:p>
        </w:tc>
        <w:tc>
          <w:tcPr>
            <w:tcW w:w="7820" w:type="dxa"/>
          </w:tcPr>
          <w:p w14:paraId="15227449" w14:textId="067AC7C3" w:rsidR="00AD4E21" w:rsidRPr="00720B94" w:rsidRDefault="00BD5EB1" w:rsidP="00720B94">
            <w:pPr>
              <w:spacing w:line="276" w:lineRule="auto"/>
              <w:rPr>
                <w:b/>
                <w:bCs/>
                <w:sz w:val="28"/>
                <w:szCs w:val="28"/>
              </w:rPr>
            </w:pPr>
            <w:r w:rsidRPr="00720B94">
              <w:t>Can be</w:t>
            </w:r>
            <w:r w:rsidR="00AD4E21" w:rsidRPr="00720B94">
              <w:t xml:space="preserve"> inexpensive and highly effective in decontaminating large spills. Their drawbacks include short shelf life, easy binding to nontarget organic substances, and corrosiveness, even when diluted. Household bleach typically contains 5.25%-6.15%. </w:t>
            </w:r>
            <w:proofErr w:type="spellStart"/>
            <w:r w:rsidR="00AD4E21" w:rsidRPr="00720B94">
              <w:t>NaOCl</w:t>
            </w:r>
            <w:proofErr w:type="spellEnd"/>
            <w:r w:rsidR="00AD4E21" w:rsidRPr="00720B94">
              <w:t xml:space="preserve"> Solutions should be stored in an opaque bottle to reduce decay during storage. A freshly prepared solution should be used for sanitary purposes such as cleaning a blood spill. Solutions containing bleach should not be autoclaved as chlorine gas will be released. Also be aware that using chlorine compounds to disinfect substances co-contaminated with radioiodine may cause gaseous release of the isotope. Contact with skin should be avoided. </w:t>
            </w:r>
          </w:p>
        </w:tc>
        <w:tc>
          <w:tcPr>
            <w:tcW w:w="1990" w:type="dxa"/>
          </w:tcPr>
          <w:p w14:paraId="00E8CA68" w14:textId="77777777" w:rsidR="00AD4E21" w:rsidRPr="00720B94" w:rsidRDefault="00AD4E21" w:rsidP="0092380E">
            <w:pPr>
              <w:pStyle w:val="ListParagraph"/>
              <w:numPr>
                <w:ilvl w:val="0"/>
                <w:numId w:val="49"/>
              </w:numPr>
              <w:spacing w:line="276" w:lineRule="auto"/>
            </w:pPr>
            <w:r w:rsidRPr="00720B94">
              <w:t>Clidox</w:t>
            </w:r>
          </w:p>
          <w:p w14:paraId="1ACC4750" w14:textId="77777777" w:rsidR="00AD4E21" w:rsidRPr="00720B94" w:rsidRDefault="00AD4E21" w:rsidP="0092380E">
            <w:pPr>
              <w:pStyle w:val="ListParagraph"/>
              <w:numPr>
                <w:ilvl w:val="0"/>
                <w:numId w:val="49"/>
              </w:numPr>
              <w:spacing w:line="276" w:lineRule="auto"/>
            </w:pPr>
            <w:r w:rsidRPr="00720B94">
              <w:t>Clorox</w:t>
            </w:r>
          </w:p>
          <w:p w14:paraId="32EE69EF" w14:textId="6F6FDDCB" w:rsidR="00AD4E21" w:rsidRPr="00720B94" w:rsidRDefault="00AD4E21" w:rsidP="0092380E">
            <w:pPr>
              <w:pStyle w:val="ListParagraph"/>
              <w:numPr>
                <w:ilvl w:val="0"/>
                <w:numId w:val="49"/>
              </w:numPr>
              <w:spacing w:line="276" w:lineRule="auto"/>
            </w:pPr>
            <w:r w:rsidRPr="00720B94">
              <w:t>Household bleach</w:t>
            </w:r>
            <w:r w:rsidR="00BD5EB1" w:rsidRPr="00720B94">
              <w:t xml:space="preserve"> (active ingredient of Hypochlorite)</w:t>
            </w:r>
          </w:p>
        </w:tc>
      </w:tr>
      <w:tr w:rsidR="00BD5EB1" w:rsidRPr="00720B94" w14:paraId="267A77FC" w14:textId="7F62CB9D" w:rsidTr="00A6026B">
        <w:tc>
          <w:tcPr>
            <w:tcW w:w="1800" w:type="dxa"/>
          </w:tcPr>
          <w:p w14:paraId="77C2AA47" w14:textId="77777777" w:rsidR="00AD4E21" w:rsidRPr="00720B94" w:rsidRDefault="00AD4E21" w:rsidP="00720B94">
            <w:r w:rsidRPr="00720B94">
              <w:rPr>
                <w:b/>
                <w:bCs/>
              </w:rPr>
              <w:t>Iodophors</w:t>
            </w:r>
            <w:r w:rsidRPr="00720B94">
              <w:t xml:space="preserve"> </w:t>
            </w:r>
          </w:p>
          <w:p w14:paraId="0C1ED71C" w14:textId="77777777" w:rsidR="00AD4E21" w:rsidRPr="00720B94" w:rsidRDefault="00AD4E21" w:rsidP="00720B94">
            <w:pPr>
              <w:spacing w:line="276" w:lineRule="auto"/>
              <w:rPr>
                <w:b/>
                <w:bCs/>
                <w:sz w:val="28"/>
                <w:szCs w:val="28"/>
              </w:rPr>
            </w:pPr>
          </w:p>
        </w:tc>
        <w:tc>
          <w:tcPr>
            <w:tcW w:w="7820" w:type="dxa"/>
          </w:tcPr>
          <w:p w14:paraId="162F0FB6" w14:textId="48695CC8" w:rsidR="00AD4E21" w:rsidRPr="00720B94" w:rsidRDefault="00AD4E21" w:rsidP="00720B94">
            <w:pPr>
              <w:spacing w:line="276" w:lineRule="auto"/>
              <w:rPr>
                <w:b/>
                <w:bCs/>
                <w:sz w:val="28"/>
                <w:szCs w:val="28"/>
              </w:rPr>
            </w:pPr>
            <w:r w:rsidRPr="00720B94">
              <w:t xml:space="preserve">Complexes of iodine and carrier have good germicidal properties with relatively low toxicity and irritancy. Efficacy has been demonstrated against bacteria including mycobacteria, viruses, and fungi; prolonged contact time may be needed to kill certain fungi and bacterial spores. </w:t>
            </w:r>
          </w:p>
        </w:tc>
        <w:tc>
          <w:tcPr>
            <w:tcW w:w="1990" w:type="dxa"/>
          </w:tcPr>
          <w:p w14:paraId="542DC865" w14:textId="77777777" w:rsidR="00AD4E21" w:rsidRPr="00720B94" w:rsidRDefault="00AD4E21" w:rsidP="0092380E">
            <w:pPr>
              <w:pStyle w:val="ListParagraph"/>
              <w:numPr>
                <w:ilvl w:val="0"/>
                <w:numId w:val="50"/>
              </w:numPr>
              <w:spacing w:line="276" w:lineRule="auto"/>
            </w:pPr>
            <w:proofErr w:type="spellStart"/>
            <w:r w:rsidRPr="00720B94">
              <w:t>Povidine</w:t>
            </w:r>
            <w:proofErr w:type="spellEnd"/>
          </w:p>
          <w:p w14:paraId="0C2A456B" w14:textId="0D0BD1F1" w:rsidR="00AD4E21" w:rsidRPr="00720B94" w:rsidRDefault="00AD4E21" w:rsidP="0092380E">
            <w:pPr>
              <w:pStyle w:val="ListParagraph"/>
              <w:numPr>
                <w:ilvl w:val="0"/>
                <w:numId w:val="50"/>
              </w:numPr>
              <w:spacing w:line="276" w:lineRule="auto"/>
            </w:pPr>
            <w:r w:rsidRPr="00720B94">
              <w:t>Betadine</w:t>
            </w:r>
          </w:p>
        </w:tc>
      </w:tr>
      <w:tr w:rsidR="00BD5EB1" w:rsidRPr="00720B94" w14:paraId="51FFB963" w14:textId="4CB5C541" w:rsidTr="00A6026B">
        <w:tc>
          <w:tcPr>
            <w:tcW w:w="1800" w:type="dxa"/>
          </w:tcPr>
          <w:p w14:paraId="4359C13C" w14:textId="6AA119B1" w:rsidR="00AD4E21" w:rsidRPr="00720B94" w:rsidRDefault="00AD4E21" w:rsidP="00720B94">
            <w:pPr>
              <w:spacing w:line="276" w:lineRule="auto"/>
              <w:rPr>
                <w:b/>
                <w:bCs/>
                <w:sz w:val="28"/>
                <w:szCs w:val="28"/>
              </w:rPr>
            </w:pPr>
            <w:r w:rsidRPr="00720B94">
              <w:rPr>
                <w:b/>
                <w:bCs/>
              </w:rPr>
              <w:t>Phenolic compounds</w:t>
            </w:r>
          </w:p>
        </w:tc>
        <w:tc>
          <w:tcPr>
            <w:tcW w:w="7820" w:type="dxa"/>
          </w:tcPr>
          <w:p w14:paraId="6556E799" w14:textId="09D9AF32" w:rsidR="00AD4E21" w:rsidRPr="00720B94" w:rsidRDefault="00AD4E21" w:rsidP="00720B94">
            <w:pPr>
              <w:spacing w:line="276" w:lineRule="auto"/>
              <w:rPr>
                <w:b/>
                <w:bCs/>
                <w:sz w:val="28"/>
                <w:szCs w:val="28"/>
              </w:rPr>
            </w:pPr>
            <w:r w:rsidRPr="00720B94">
              <w:t xml:space="preserve">Effective against vegetative bacteria, particularly gram-positive species, and enveloped viruses but not against spores. Phenolics may be used in combination with detergents for one-step cleaning and disinfection of surfaces. Phenolic disinfectants maintain their activity in the presence of organic material and are generally considered safe, although prolonged exposure of skin may cause irritation. </w:t>
            </w:r>
          </w:p>
        </w:tc>
        <w:tc>
          <w:tcPr>
            <w:tcW w:w="1990" w:type="dxa"/>
          </w:tcPr>
          <w:p w14:paraId="1B8F6A06" w14:textId="77777777" w:rsidR="00AD4E21" w:rsidRPr="00720B94" w:rsidRDefault="00AD4E21" w:rsidP="0092380E">
            <w:pPr>
              <w:pStyle w:val="ListParagraph"/>
              <w:numPr>
                <w:ilvl w:val="0"/>
                <w:numId w:val="51"/>
              </w:numPr>
              <w:spacing w:line="276" w:lineRule="auto"/>
            </w:pPr>
            <w:proofErr w:type="spellStart"/>
            <w:r w:rsidRPr="00720B94">
              <w:t>Vesphene</w:t>
            </w:r>
            <w:proofErr w:type="spellEnd"/>
          </w:p>
          <w:p w14:paraId="745D2EF8" w14:textId="45D4A563" w:rsidR="00AD4E21" w:rsidRPr="00720B94" w:rsidRDefault="00AD4E21" w:rsidP="0092380E">
            <w:pPr>
              <w:pStyle w:val="ListParagraph"/>
              <w:numPr>
                <w:ilvl w:val="0"/>
                <w:numId w:val="51"/>
              </w:numPr>
              <w:spacing w:line="276" w:lineRule="auto"/>
            </w:pPr>
            <w:proofErr w:type="spellStart"/>
            <w:r w:rsidRPr="00720B94">
              <w:t>LpH</w:t>
            </w:r>
            <w:proofErr w:type="spellEnd"/>
          </w:p>
        </w:tc>
      </w:tr>
      <w:tr w:rsidR="00BD5EB1" w:rsidRPr="00720B94" w14:paraId="054D3A92" w14:textId="35DFD090" w:rsidTr="00A6026B">
        <w:trPr>
          <w:trHeight w:val="1448"/>
        </w:trPr>
        <w:tc>
          <w:tcPr>
            <w:tcW w:w="1800" w:type="dxa"/>
          </w:tcPr>
          <w:p w14:paraId="09A39EA0" w14:textId="77777777" w:rsidR="00AD4E21" w:rsidRPr="00720B94" w:rsidRDefault="00AD4E21" w:rsidP="00720B94">
            <w:r w:rsidRPr="00720B94">
              <w:rPr>
                <w:b/>
                <w:bCs/>
              </w:rPr>
              <w:t>Quaternary ammonia disinfectants</w:t>
            </w:r>
            <w:r w:rsidRPr="00720B94">
              <w:t xml:space="preserve"> </w:t>
            </w:r>
          </w:p>
          <w:p w14:paraId="5A77FEE1" w14:textId="77777777" w:rsidR="00AD4E21" w:rsidRPr="00720B94" w:rsidRDefault="00AD4E21" w:rsidP="00720B94">
            <w:pPr>
              <w:spacing w:line="276" w:lineRule="auto"/>
              <w:rPr>
                <w:b/>
                <w:bCs/>
                <w:sz w:val="28"/>
                <w:szCs w:val="28"/>
              </w:rPr>
            </w:pPr>
          </w:p>
        </w:tc>
        <w:tc>
          <w:tcPr>
            <w:tcW w:w="7820" w:type="dxa"/>
          </w:tcPr>
          <w:p w14:paraId="4879D781" w14:textId="16BB9876" w:rsidR="00AD4E21" w:rsidRPr="00720B94" w:rsidRDefault="00BD5EB1" w:rsidP="00720B94">
            <w:pPr>
              <w:spacing w:line="276" w:lineRule="auto"/>
              <w:rPr>
                <w:b/>
                <w:bCs/>
                <w:sz w:val="28"/>
                <w:szCs w:val="28"/>
              </w:rPr>
            </w:pPr>
            <w:r w:rsidRPr="00720B94">
              <w:t>K</w:t>
            </w:r>
            <w:r w:rsidR="00AD4E21" w:rsidRPr="00720B94">
              <w:t xml:space="preserve">ill most fungi and vegetative gram-positive bacteria but lack efficacy against mycobacteria, spores, and some viruses including adenovirus. Quaternary ammonium compounds generally have low toxicity and irritancy and are relatively inexpensive. </w:t>
            </w:r>
          </w:p>
        </w:tc>
        <w:tc>
          <w:tcPr>
            <w:tcW w:w="1990" w:type="dxa"/>
          </w:tcPr>
          <w:p w14:paraId="105CD8FC" w14:textId="77777777" w:rsidR="00AD4E21" w:rsidRPr="00720B94" w:rsidRDefault="00AD4E21" w:rsidP="0092380E">
            <w:pPr>
              <w:pStyle w:val="ListParagraph"/>
              <w:numPr>
                <w:ilvl w:val="0"/>
                <w:numId w:val="52"/>
              </w:numPr>
              <w:spacing w:line="276" w:lineRule="auto"/>
            </w:pPr>
            <w:proofErr w:type="spellStart"/>
            <w:r w:rsidRPr="00720B94">
              <w:t>CaviCide</w:t>
            </w:r>
            <w:proofErr w:type="spellEnd"/>
          </w:p>
          <w:p w14:paraId="694DEC2D" w14:textId="77777777" w:rsidR="00AD4E21" w:rsidRPr="00720B94" w:rsidRDefault="00AD4E21" w:rsidP="0092380E">
            <w:pPr>
              <w:pStyle w:val="ListParagraph"/>
              <w:numPr>
                <w:ilvl w:val="0"/>
                <w:numId w:val="52"/>
              </w:numPr>
              <w:spacing w:line="276" w:lineRule="auto"/>
            </w:pPr>
            <w:r w:rsidRPr="00720B94">
              <w:t>HB Quat</w:t>
            </w:r>
          </w:p>
          <w:p w14:paraId="4CEE3778" w14:textId="77777777" w:rsidR="00AD4E21" w:rsidRPr="00720B94" w:rsidRDefault="00AD4E21" w:rsidP="0092380E">
            <w:pPr>
              <w:pStyle w:val="ListParagraph"/>
              <w:numPr>
                <w:ilvl w:val="0"/>
                <w:numId w:val="52"/>
              </w:numPr>
              <w:spacing w:line="276" w:lineRule="auto"/>
            </w:pPr>
            <w:proofErr w:type="spellStart"/>
            <w:r w:rsidRPr="00720B94">
              <w:t>Roccal</w:t>
            </w:r>
            <w:proofErr w:type="spellEnd"/>
          </w:p>
          <w:p w14:paraId="6650F083" w14:textId="1D0E9C58" w:rsidR="00AD4E21" w:rsidRPr="00720B94" w:rsidRDefault="00AD4E21" w:rsidP="0092380E">
            <w:pPr>
              <w:pStyle w:val="ListParagraph"/>
              <w:numPr>
                <w:ilvl w:val="0"/>
                <w:numId w:val="52"/>
              </w:numPr>
              <w:spacing w:line="276" w:lineRule="auto"/>
            </w:pPr>
            <w:proofErr w:type="spellStart"/>
            <w:r w:rsidRPr="00720B94">
              <w:t>Solucide</w:t>
            </w:r>
            <w:proofErr w:type="spellEnd"/>
          </w:p>
        </w:tc>
      </w:tr>
    </w:tbl>
    <w:p w14:paraId="39A49EB5" w14:textId="77777777" w:rsidR="00A6026B" w:rsidRPr="00720B94" w:rsidRDefault="00A6026B" w:rsidP="00720B94">
      <w:pPr>
        <w:spacing w:line="276" w:lineRule="auto"/>
        <w:rPr>
          <w:b/>
          <w:bCs/>
          <w:sz w:val="28"/>
          <w:szCs w:val="28"/>
        </w:rPr>
      </w:pPr>
    </w:p>
    <w:p w14:paraId="7C468C92" w14:textId="0EF765C3" w:rsidR="00837D90" w:rsidRPr="00720B94" w:rsidRDefault="00C95E85" w:rsidP="00720B94">
      <w:pPr>
        <w:spacing w:line="276" w:lineRule="auto"/>
        <w:rPr>
          <w:i/>
          <w:iCs/>
          <w:sz w:val="28"/>
          <w:szCs w:val="28"/>
        </w:rPr>
      </w:pPr>
      <w:bookmarkStart w:id="116" w:name="_Toc192509416"/>
      <w:r w:rsidRPr="00720B94">
        <w:rPr>
          <w:rStyle w:val="Heading1Char"/>
          <w:b/>
          <w:bCs/>
        </w:rPr>
        <w:lastRenderedPageBreak/>
        <w:t xml:space="preserve">Appendix </w:t>
      </w:r>
      <w:r w:rsidR="00D13E86" w:rsidRPr="00720B94">
        <w:rPr>
          <w:rStyle w:val="Heading1Char"/>
          <w:b/>
          <w:bCs/>
        </w:rPr>
        <w:t>J</w:t>
      </w:r>
      <w:bookmarkEnd w:id="116"/>
      <w:r w:rsidRPr="00720B94">
        <w:rPr>
          <w:b/>
          <w:bCs/>
          <w:sz w:val="28"/>
          <w:szCs w:val="28"/>
        </w:rPr>
        <w:t xml:space="preserve"> </w:t>
      </w:r>
      <w:r w:rsidRPr="00720B94">
        <w:rPr>
          <w:rStyle w:val="Heading1Char"/>
        </w:rPr>
        <w:t xml:space="preserve">– </w:t>
      </w:r>
      <w:r w:rsidR="00D13E86" w:rsidRPr="00720B94">
        <w:rPr>
          <w:rStyle w:val="Heading1Char"/>
        </w:rPr>
        <w:t xml:space="preserve">DURC &amp; PEPP </w:t>
      </w:r>
      <w:r w:rsidR="00543338" w:rsidRPr="00720B94">
        <w:rPr>
          <w:rStyle w:val="Heading1Char"/>
        </w:rPr>
        <w:t>Risk, Scope, and Review</w:t>
      </w:r>
      <w:r w:rsidR="00543338" w:rsidRPr="00720B94">
        <w:rPr>
          <w:sz w:val="28"/>
          <w:szCs w:val="28"/>
        </w:rPr>
        <w:t xml:space="preserve"> </w:t>
      </w:r>
      <w:r w:rsidR="00543338" w:rsidRPr="00720B94">
        <w:rPr>
          <w:i/>
          <w:iCs/>
          <w:sz w:val="28"/>
          <w:szCs w:val="28"/>
        </w:rPr>
        <w:t>(see pg. 3</w:t>
      </w:r>
      <w:r w:rsidR="00777133" w:rsidRPr="00720B94">
        <w:rPr>
          <w:i/>
          <w:iCs/>
          <w:sz w:val="28"/>
          <w:szCs w:val="28"/>
        </w:rPr>
        <w:t>4</w:t>
      </w:r>
      <w:r w:rsidR="00543338" w:rsidRPr="00720B94">
        <w:rPr>
          <w:i/>
          <w:iCs/>
          <w:sz w:val="28"/>
          <w:szCs w:val="28"/>
        </w:rPr>
        <w:t>)</w:t>
      </w:r>
    </w:p>
    <w:p w14:paraId="73841A16" w14:textId="2B503477" w:rsidR="00DC26BC" w:rsidRPr="00720B94" w:rsidRDefault="00DC26BC" w:rsidP="00720B94">
      <w:pPr>
        <w:pStyle w:val="Heading3"/>
        <w:rPr>
          <w:b/>
          <w:bCs/>
        </w:rPr>
      </w:pPr>
      <w:r w:rsidRPr="00720B94">
        <w:t>Summary of DURC &amp; PEPP Risk, Scope, and Review</w:t>
      </w:r>
    </w:p>
    <w:tbl>
      <w:tblPr>
        <w:tblStyle w:val="TableGrid"/>
        <w:tblW w:w="10890" w:type="dxa"/>
        <w:tblInd w:w="-545" w:type="dxa"/>
        <w:tblLook w:val="04A0" w:firstRow="1" w:lastRow="0" w:firstColumn="1" w:lastColumn="0" w:noHBand="0" w:noVBand="1"/>
      </w:tblPr>
      <w:tblGrid>
        <w:gridCol w:w="2160"/>
        <w:gridCol w:w="4770"/>
        <w:gridCol w:w="3960"/>
      </w:tblGrid>
      <w:tr w:rsidR="755F9515" w:rsidRPr="00720B94" w14:paraId="29365E88" w14:textId="77777777" w:rsidTr="00190273">
        <w:trPr>
          <w:trHeight w:val="300"/>
        </w:trPr>
        <w:tc>
          <w:tcPr>
            <w:tcW w:w="2160" w:type="dxa"/>
          </w:tcPr>
          <w:p w14:paraId="7C4F075B" w14:textId="77777777" w:rsidR="755F9515" w:rsidRPr="00720B94" w:rsidRDefault="755F9515" w:rsidP="00720B94">
            <w:pPr>
              <w:rPr>
                <w:rFonts w:eastAsia="Arial" w:cs="Arial"/>
              </w:rPr>
            </w:pPr>
          </w:p>
        </w:tc>
        <w:tc>
          <w:tcPr>
            <w:tcW w:w="4770" w:type="dxa"/>
          </w:tcPr>
          <w:p w14:paraId="38D80132" w14:textId="1855A027" w:rsidR="755F9515" w:rsidRPr="00720B94" w:rsidRDefault="755F9515" w:rsidP="00720B94">
            <w:pPr>
              <w:jc w:val="center"/>
              <w:rPr>
                <w:rFonts w:eastAsia="Arial" w:cs="Arial"/>
                <w:b/>
                <w:bCs/>
              </w:rPr>
            </w:pPr>
            <w:r w:rsidRPr="00720B94">
              <w:rPr>
                <w:rFonts w:eastAsia="Arial" w:cs="Arial"/>
                <w:b/>
                <w:bCs/>
              </w:rPr>
              <w:t>Category 1 Research</w:t>
            </w:r>
          </w:p>
        </w:tc>
        <w:tc>
          <w:tcPr>
            <w:tcW w:w="3960" w:type="dxa"/>
          </w:tcPr>
          <w:p w14:paraId="3465F4B8" w14:textId="32989254" w:rsidR="755F9515" w:rsidRPr="00720B94" w:rsidRDefault="755F9515" w:rsidP="00720B94">
            <w:pPr>
              <w:jc w:val="center"/>
              <w:rPr>
                <w:rFonts w:eastAsia="Arial" w:cs="Arial"/>
                <w:b/>
                <w:bCs/>
              </w:rPr>
            </w:pPr>
            <w:r w:rsidRPr="00720B94">
              <w:rPr>
                <w:rFonts w:eastAsia="Arial" w:cs="Arial"/>
                <w:b/>
                <w:bCs/>
              </w:rPr>
              <w:t>Category 2 Research</w:t>
            </w:r>
          </w:p>
        </w:tc>
      </w:tr>
      <w:tr w:rsidR="755F9515" w:rsidRPr="00720B94" w14:paraId="1221794B" w14:textId="77777777" w:rsidTr="00190273">
        <w:trPr>
          <w:trHeight w:val="300"/>
        </w:trPr>
        <w:tc>
          <w:tcPr>
            <w:tcW w:w="2160" w:type="dxa"/>
          </w:tcPr>
          <w:p w14:paraId="718CB71B" w14:textId="3574A80D" w:rsidR="755F9515" w:rsidRPr="00720B94" w:rsidRDefault="755F9515" w:rsidP="00720B94">
            <w:pPr>
              <w:rPr>
                <w:rFonts w:eastAsia="Arial" w:cs="Arial"/>
              </w:rPr>
            </w:pPr>
            <w:r w:rsidRPr="00720B94">
              <w:rPr>
                <w:rFonts w:eastAsia="Arial" w:cs="Arial"/>
              </w:rPr>
              <w:t>Primary risk</w:t>
            </w:r>
          </w:p>
        </w:tc>
        <w:tc>
          <w:tcPr>
            <w:tcW w:w="4770" w:type="dxa"/>
          </w:tcPr>
          <w:p w14:paraId="1CA956E5" w14:textId="4E408FD3" w:rsidR="755F9515" w:rsidRPr="00720B94" w:rsidRDefault="755F9515" w:rsidP="00720B94">
            <w:pPr>
              <w:rPr>
                <w:rFonts w:eastAsia="Arial" w:cs="Arial"/>
              </w:rPr>
            </w:pPr>
            <w:r w:rsidRPr="00720B94">
              <w:rPr>
                <w:rFonts w:eastAsia="Arial" w:cs="Arial"/>
              </w:rPr>
              <w:t>Research constitutes DURC as assessed by the IBC and/or federal funding agency.</w:t>
            </w:r>
          </w:p>
        </w:tc>
        <w:tc>
          <w:tcPr>
            <w:tcW w:w="3960" w:type="dxa"/>
          </w:tcPr>
          <w:p w14:paraId="2D9CE2EB" w14:textId="5F2B7760" w:rsidR="755F9515" w:rsidRPr="00720B94" w:rsidRDefault="755F9515" w:rsidP="00720B94">
            <w:pPr>
              <w:rPr>
                <w:rFonts w:eastAsia="Arial" w:cs="Arial"/>
              </w:rPr>
            </w:pPr>
            <w:r w:rsidRPr="00720B94">
              <w:rPr>
                <w:rFonts w:eastAsia="Arial" w:cs="Arial"/>
              </w:rPr>
              <w:t xml:space="preserve">Research can be reasonably anticipated to result in the development, use, or </w:t>
            </w:r>
            <w:r w:rsidRPr="00720B94">
              <w:t>transfer of a PEPP or an eradicated or extinct PPP that may pose a significant threat to public health, the capacity of health systems to function, or national security, through the potential accidental or deliberate introduction of a PEPP or an eradicated or extinct PPP into a human population. It may also have dual use risks.</w:t>
            </w:r>
          </w:p>
        </w:tc>
      </w:tr>
      <w:tr w:rsidR="755F9515" w:rsidRPr="00720B94" w14:paraId="610486A1" w14:textId="77777777" w:rsidTr="00190273">
        <w:trPr>
          <w:trHeight w:val="300"/>
        </w:trPr>
        <w:tc>
          <w:tcPr>
            <w:tcW w:w="2160" w:type="dxa"/>
          </w:tcPr>
          <w:p w14:paraId="76494662" w14:textId="23E44494" w:rsidR="755F9515" w:rsidRPr="00720B94" w:rsidRDefault="755F9515" w:rsidP="00720B94">
            <w:pPr>
              <w:rPr>
                <w:rFonts w:eastAsia="Arial" w:cs="Arial"/>
              </w:rPr>
            </w:pPr>
            <w:r w:rsidRPr="00720B94">
              <w:rPr>
                <w:rFonts w:eastAsia="Arial" w:cs="Arial"/>
              </w:rPr>
              <w:t>Types of pathogens in scope</w:t>
            </w:r>
          </w:p>
        </w:tc>
        <w:tc>
          <w:tcPr>
            <w:tcW w:w="4770" w:type="dxa"/>
          </w:tcPr>
          <w:p w14:paraId="04992DF6" w14:textId="0BCCA715" w:rsidR="755F9515" w:rsidRPr="00720B94" w:rsidRDefault="002E797F" w:rsidP="00720B94">
            <w:pPr>
              <w:spacing w:line="279" w:lineRule="auto"/>
            </w:pPr>
            <w:r w:rsidRPr="00720B94">
              <w:t xml:space="preserve">The general scope includes: </w:t>
            </w:r>
          </w:p>
          <w:p w14:paraId="397E04E9" w14:textId="2AC5711B" w:rsidR="755F9515" w:rsidRPr="00720B94" w:rsidRDefault="755F9515" w:rsidP="0092380E">
            <w:pPr>
              <w:pStyle w:val="ListParagraph"/>
              <w:numPr>
                <w:ilvl w:val="0"/>
                <w:numId w:val="43"/>
              </w:numPr>
              <w:spacing w:after="160" w:line="279" w:lineRule="auto"/>
              <w:rPr>
                <w:sz w:val="22"/>
                <w:szCs w:val="22"/>
              </w:rPr>
            </w:pPr>
            <w:r w:rsidRPr="00720B94">
              <w:rPr>
                <w:sz w:val="22"/>
                <w:szCs w:val="22"/>
              </w:rPr>
              <w:t xml:space="preserve">All </w:t>
            </w:r>
            <w:hyperlink r:id="rId173" w:history="1">
              <w:r w:rsidRPr="00717676">
                <w:rPr>
                  <w:rStyle w:val="Hyperlink"/>
                  <w:color w:val="007D89" w:themeColor="accent3" w:themeShade="BF"/>
                  <w:sz w:val="22"/>
                  <w:szCs w:val="22"/>
                </w:rPr>
                <w:t>Biological Select Agents &amp; Toxins</w:t>
              </w:r>
            </w:hyperlink>
            <w:r w:rsidRPr="00720B94">
              <w:rPr>
                <w:sz w:val="22"/>
                <w:szCs w:val="22"/>
              </w:rPr>
              <w:t xml:space="preserve"> in 9 CFR 121.3-121.4, 42 CFR 73.3-73.4, 7 CFR 331.3, and regulated by the USDA and/or HHS</w:t>
            </w:r>
          </w:p>
          <w:p w14:paraId="6F7596A9" w14:textId="77777777" w:rsidR="755F9515" w:rsidRPr="00720B94" w:rsidRDefault="755F9515" w:rsidP="0092380E">
            <w:pPr>
              <w:pStyle w:val="ListParagraph"/>
              <w:numPr>
                <w:ilvl w:val="0"/>
                <w:numId w:val="43"/>
              </w:numPr>
              <w:spacing w:after="160" w:line="279" w:lineRule="auto"/>
              <w:rPr>
                <w:sz w:val="22"/>
                <w:szCs w:val="22"/>
              </w:rPr>
            </w:pPr>
            <w:r w:rsidRPr="00720B94">
              <w:rPr>
                <w:sz w:val="22"/>
                <w:szCs w:val="22"/>
              </w:rPr>
              <w:t xml:space="preserve">All Risk Group 4 pathogens in </w:t>
            </w:r>
            <w:hyperlink r:id="rId174" w:anchor="_Toc3457093" w:history="1">
              <w:r w:rsidRPr="00717676">
                <w:rPr>
                  <w:rStyle w:val="Hyperlink"/>
                  <w:color w:val="007D89" w:themeColor="accent3" w:themeShade="BF"/>
                  <w:sz w:val="22"/>
                  <w:szCs w:val="22"/>
                </w:rPr>
                <w:t>Appendix B</w:t>
              </w:r>
            </w:hyperlink>
            <w:r w:rsidRPr="00720B94">
              <w:rPr>
                <w:sz w:val="22"/>
                <w:szCs w:val="22"/>
              </w:rPr>
              <w:t xml:space="preserve"> of the NIH Guidelines</w:t>
            </w:r>
          </w:p>
          <w:p w14:paraId="09AB9986" w14:textId="72C44311" w:rsidR="755F9515" w:rsidRPr="00720B94" w:rsidRDefault="755F9515" w:rsidP="0092380E">
            <w:pPr>
              <w:pStyle w:val="ListParagraph"/>
              <w:numPr>
                <w:ilvl w:val="0"/>
                <w:numId w:val="43"/>
              </w:numPr>
              <w:spacing w:after="160" w:line="279" w:lineRule="auto"/>
              <w:rPr>
                <w:sz w:val="22"/>
                <w:szCs w:val="22"/>
              </w:rPr>
            </w:pPr>
            <w:r w:rsidRPr="00720B94">
              <w:rPr>
                <w:sz w:val="22"/>
                <w:szCs w:val="22"/>
              </w:rPr>
              <w:t xml:space="preserve">A subset of Risk Group 3 pathogens listed in </w:t>
            </w:r>
            <w:hyperlink r:id="rId175" w:anchor="_Toc3457093" w:history="1">
              <w:r w:rsidRPr="00717676">
                <w:rPr>
                  <w:rStyle w:val="Hyperlink"/>
                  <w:color w:val="007D89" w:themeColor="accent3" w:themeShade="BF"/>
                  <w:sz w:val="22"/>
                  <w:szCs w:val="22"/>
                </w:rPr>
                <w:t>Appendix B</w:t>
              </w:r>
            </w:hyperlink>
            <w:r w:rsidRPr="00720B94">
              <w:rPr>
                <w:sz w:val="22"/>
                <w:szCs w:val="22"/>
              </w:rPr>
              <w:t xml:space="preserve"> of the NIH Guidelines</w:t>
            </w:r>
            <w:r w:rsidRPr="00720B94">
              <w:rPr>
                <w:rStyle w:val="FootnoteReference"/>
                <w:sz w:val="22"/>
                <w:szCs w:val="22"/>
              </w:rPr>
              <w:footnoteReference w:id="3"/>
            </w:r>
          </w:p>
          <w:p w14:paraId="189AF160" w14:textId="1D936004" w:rsidR="755F9515" w:rsidRPr="00720B94" w:rsidRDefault="755F9515" w:rsidP="0092380E">
            <w:pPr>
              <w:pStyle w:val="ListParagraph"/>
              <w:numPr>
                <w:ilvl w:val="0"/>
                <w:numId w:val="43"/>
              </w:numPr>
              <w:spacing w:after="160" w:line="279" w:lineRule="auto"/>
              <w:rPr>
                <w:sz w:val="22"/>
                <w:szCs w:val="22"/>
              </w:rPr>
            </w:pPr>
            <w:r w:rsidRPr="00720B94">
              <w:rPr>
                <w:sz w:val="22"/>
                <w:szCs w:val="22"/>
              </w:rPr>
              <w:t xml:space="preserve">For biological agents affecting humans that have not been assigned a Risk Group in the NIH Guidelines, agents affecting humans that are recommended to be handled at BSL3 or BSL4 per the </w:t>
            </w:r>
            <w:hyperlink r:id="rId176" w:history="1">
              <w:r w:rsidRPr="00717676">
                <w:rPr>
                  <w:rStyle w:val="Hyperlink"/>
                  <w:color w:val="007D89" w:themeColor="accent3" w:themeShade="BF"/>
                  <w:sz w:val="22"/>
                  <w:szCs w:val="22"/>
                </w:rPr>
                <w:t>BMBL</w:t>
              </w:r>
            </w:hyperlink>
            <w:r w:rsidRPr="00720B94">
              <w:rPr>
                <w:rStyle w:val="FootnoteReference"/>
                <w:sz w:val="22"/>
                <w:szCs w:val="22"/>
              </w:rPr>
              <w:footnoteReference w:id="4"/>
            </w:r>
            <w:r w:rsidRPr="00720B94">
              <w:rPr>
                <w:sz w:val="22"/>
                <w:szCs w:val="22"/>
              </w:rPr>
              <w:t xml:space="preserve"> (Section VIII)</w:t>
            </w:r>
          </w:p>
        </w:tc>
        <w:tc>
          <w:tcPr>
            <w:tcW w:w="3960" w:type="dxa"/>
          </w:tcPr>
          <w:p w14:paraId="67B93B5F" w14:textId="5DE05EA0" w:rsidR="755F9515" w:rsidRPr="00720B94" w:rsidRDefault="755F9515" w:rsidP="0092380E">
            <w:pPr>
              <w:pStyle w:val="ListParagraph"/>
              <w:numPr>
                <w:ilvl w:val="0"/>
                <w:numId w:val="43"/>
              </w:numPr>
              <w:spacing w:after="160" w:line="279" w:lineRule="auto"/>
              <w:rPr>
                <w:sz w:val="22"/>
                <w:szCs w:val="22"/>
              </w:rPr>
            </w:pPr>
            <w:r w:rsidRPr="00720B94">
              <w:rPr>
                <w:sz w:val="22"/>
                <w:szCs w:val="22"/>
              </w:rPr>
              <w:t>Any pathogen modified in such a way that is reasonably anticipated to result in the development, use, or transfer of a PEPP. Includes development of new PPPs from non-PPPs as well as the enhancement of existing PPPs</w:t>
            </w:r>
          </w:p>
          <w:p w14:paraId="208B82F2" w14:textId="080DBDD3" w:rsidR="755F9515" w:rsidRPr="00720B94" w:rsidRDefault="755F9515" w:rsidP="0092380E">
            <w:pPr>
              <w:pStyle w:val="ListParagraph"/>
              <w:numPr>
                <w:ilvl w:val="0"/>
                <w:numId w:val="43"/>
              </w:numPr>
              <w:spacing w:after="160" w:line="279" w:lineRule="auto"/>
              <w:rPr>
                <w:sz w:val="22"/>
                <w:szCs w:val="22"/>
              </w:rPr>
            </w:pPr>
            <w:r w:rsidRPr="00720B94">
              <w:rPr>
                <w:sz w:val="22"/>
                <w:szCs w:val="22"/>
              </w:rPr>
              <w:t>Eradicated or extinct PPPs that may pose significant threat to public health, the capacity of health systems to function, or national security</w:t>
            </w:r>
          </w:p>
        </w:tc>
      </w:tr>
      <w:tr w:rsidR="755F9515" w:rsidRPr="00720B94" w14:paraId="1A793599" w14:textId="77777777" w:rsidTr="00190273">
        <w:trPr>
          <w:trHeight w:val="300"/>
        </w:trPr>
        <w:tc>
          <w:tcPr>
            <w:tcW w:w="2160" w:type="dxa"/>
          </w:tcPr>
          <w:p w14:paraId="0F2A6B4C" w14:textId="151EB977" w:rsidR="755F9515" w:rsidRPr="00720B94" w:rsidRDefault="3C1A023F" w:rsidP="00720B94">
            <w:pPr>
              <w:rPr>
                <w:rFonts w:eastAsia="Arial" w:cs="Arial"/>
              </w:rPr>
            </w:pPr>
            <w:r w:rsidRPr="00720B94">
              <w:rPr>
                <w:rFonts w:eastAsia="Arial" w:cs="Arial"/>
              </w:rPr>
              <w:t>Types of experimental outcomes in scope</w:t>
            </w:r>
          </w:p>
        </w:tc>
        <w:tc>
          <w:tcPr>
            <w:tcW w:w="4770" w:type="dxa"/>
          </w:tcPr>
          <w:p w14:paraId="22A86836" w14:textId="33C64E14" w:rsidR="755F9515" w:rsidRPr="00720B94" w:rsidRDefault="755F9515" w:rsidP="00720B94">
            <w:r w:rsidRPr="00720B94">
              <w:t>Experimental outcomes or actions with a pathogen are reasonably anticipated to:</w:t>
            </w:r>
          </w:p>
          <w:p w14:paraId="549CACF2" w14:textId="77777777" w:rsidR="755F9515" w:rsidRPr="00720B94" w:rsidRDefault="755F9515" w:rsidP="0092380E">
            <w:pPr>
              <w:pStyle w:val="ListParagraph"/>
              <w:numPr>
                <w:ilvl w:val="0"/>
                <w:numId w:val="44"/>
              </w:numPr>
              <w:rPr>
                <w:sz w:val="22"/>
                <w:szCs w:val="22"/>
              </w:rPr>
            </w:pPr>
            <w:r w:rsidRPr="00720B94">
              <w:rPr>
                <w:sz w:val="22"/>
                <w:szCs w:val="22"/>
              </w:rPr>
              <w:t xml:space="preserve">Increase transmissibility of a pathogen within or between host </w:t>
            </w:r>
            <w:proofErr w:type="gramStart"/>
            <w:r w:rsidRPr="00720B94">
              <w:rPr>
                <w:sz w:val="22"/>
                <w:szCs w:val="22"/>
              </w:rPr>
              <w:t>species;</w:t>
            </w:r>
            <w:proofErr w:type="gramEnd"/>
          </w:p>
          <w:p w14:paraId="091EF6E8" w14:textId="77777777" w:rsidR="755F9515" w:rsidRPr="00720B94" w:rsidRDefault="755F9515" w:rsidP="0092380E">
            <w:pPr>
              <w:pStyle w:val="ListParagraph"/>
              <w:numPr>
                <w:ilvl w:val="0"/>
                <w:numId w:val="44"/>
              </w:numPr>
              <w:rPr>
                <w:sz w:val="22"/>
                <w:szCs w:val="22"/>
              </w:rPr>
            </w:pPr>
            <w:r w:rsidRPr="00720B94">
              <w:rPr>
                <w:sz w:val="22"/>
                <w:szCs w:val="22"/>
              </w:rPr>
              <w:t>Increase the virulence of a pathogen or convey virulence to a non-</w:t>
            </w:r>
            <w:proofErr w:type="gramStart"/>
            <w:r w:rsidRPr="00720B94">
              <w:rPr>
                <w:sz w:val="22"/>
                <w:szCs w:val="22"/>
              </w:rPr>
              <w:t>pathogen;</w:t>
            </w:r>
            <w:proofErr w:type="gramEnd"/>
            <w:r w:rsidRPr="00720B94">
              <w:rPr>
                <w:sz w:val="22"/>
                <w:szCs w:val="22"/>
              </w:rPr>
              <w:t xml:space="preserve"> </w:t>
            </w:r>
          </w:p>
          <w:p w14:paraId="6B907ECC" w14:textId="77777777" w:rsidR="755F9515" w:rsidRPr="00720B94" w:rsidRDefault="755F9515" w:rsidP="0092380E">
            <w:pPr>
              <w:pStyle w:val="ListParagraph"/>
              <w:numPr>
                <w:ilvl w:val="0"/>
                <w:numId w:val="44"/>
              </w:numPr>
              <w:rPr>
                <w:sz w:val="22"/>
                <w:szCs w:val="22"/>
              </w:rPr>
            </w:pPr>
            <w:r w:rsidRPr="00720B94">
              <w:rPr>
                <w:sz w:val="22"/>
                <w:szCs w:val="22"/>
              </w:rPr>
              <w:t xml:space="preserve">Increase the toxicity of a known toxin or produce a novel </w:t>
            </w:r>
            <w:proofErr w:type="gramStart"/>
            <w:r w:rsidRPr="00720B94">
              <w:rPr>
                <w:sz w:val="22"/>
                <w:szCs w:val="22"/>
              </w:rPr>
              <w:t>toxin;</w:t>
            </w:r>
            <w:proofErr w:type="gramEnd"/>
            <w:r w:rsidRPr="00720B94">
              <w:rPr>
                <w:sz w:val="22"/>
                <w:szCs w:val="22"/>
              </w:rPr>
              <w:t xml:space="preserve"> </w:t>
            </w:r>
          </w:p>
          <w:p w14:paraId="3350708F" w14:textId="77777777" w:rsidR="755F9515" w:rsidRPr="00720B94" w:rsidRDefault="755F9515" w:rsidP="0092380E">
            <w:pPr>
              <w:pStyle w:val="ListParagraph"/>
              <w:numPr>
                <w:ilvl w:val="0"/>
                <w:numId w:val="44"/>
              </w:numPr>
              <w:rPr>
                <w:sz w:val="22"/>
                <w:szCs w:val="22"/>
              </w:rPr>
            </w:pPr>
            <w:r w:rsidRPr="00720B94">
              <w:rPr>
                <w:sz w:val="22"/>
                <w:szCs w:val="22"/>
              </w:rPr>
              <w:lastRenderedPageBreak/>
              <w:t xml:space="preserve">Increase the stability of a pathogen or toxin in the environment, or increase the ability to disseminate a pathogen or </w:t>
            </w:r>
            <w:proofErr w:type="gramStart"/>
            <w:r w:rsidRPr="00720B94">
              <w:rPr>
                <w:sz w:val="22"/>
                <w:szCs w:val="22"/>
              </w:rPr>
              <w:t>toxin;</w:t>
            </w:r>
            <w:proofErr w:type="gramEnd"/>
          </w:p>
          <w:p w14:paraId="1C087336" w14:textId="77777777" w:rsidR="755F9515" w:rsidRPr="00720B94" w:rsidRDefault="755F9515" w:rsidP="0092380E">
            <w:pPr>
              <w:pStyle w:val="ListParagraph"/>
              <w:numPr>
                <w:ilvl w:val="0"/>
                <w:numId w:val="44"/>
              </w:numPr>
              <w:rPr>
                <w:sz w:val="22"/>
                <w:szCs w:val="22"/>
              </w:rPr>
            </w:pPr>
            <w:r w:rsidRPr="00720B94">
              <w:rPr>
                <w:sz w:val="22"/>
                <w:szCs w:val="22"/>
              </w:rPr>
              <w:t xml:space="preserve">Alter the host range or tropism of a pathogen or </w:t>
            </w:r>
            <w:proofErr w:type="gramStart"/>
            <w:r w:rsidRPr="00720B94">
              <w:rPr>
                <w:sz w:val="22"/>
                <w:szCs w:val="22"/>
              </w:rPr>
              <w:t>toxin;</w:t>
            </w:r>
            <w:proofErr w:type="gramEnd"/>
          </w:p>
          <w:p w14:paraId="26998658" w14:textId="77777777" w:rsidR="755F9515" w:rsidRPr="00720B94" w:rsidRDefault="755F9515" w:rsidP="0092380E">
            <w:pPr>
              <w:pStyle w:val="ListParagraph"/>
              <w:numPr>
                <w:ilvl w:val="0"/>
                <w:numId w:val="44"/>
              </w:numPr>
              <w:rPr>
                <w:sz w:val="22"/>
                <w:szCs w:val="22"/>
              </w:rPr>
            </w:pPr>
            <w:r w:rsidRPr="00720B94">
              <w:rPr>
                <w:sz w:val="22"/>
                <w:szCs w:val="22"/>
              </w:rPr>
              <w:t xml:space="preserve">Decrease the ability for a human or veterinary pathogen or toxin to be detected using standard diagnostic or analytical </w:t>
            </w:r>
            <w:proofErr w:type="gramStart"/>
            <w:r w:rsidRPr="00720B94">
              <w:rPr>
                <w:sz w:val="22"/>
                <w:szCs w:val="22"/>
              </w:rPr>
              <w:t>methods;</w:t>
            </w:r>
            <w:proofErr w:type="gramEnd"/>
            <w:r w:rsidRPr="00720B94">
              <w:rPr>
                <w:sz w:val="22"/>
                <w:szCs w:val="22"/>
              </w:rPr>
              <w:t xml:space="preserve"> </w:t>
            </w:r>
          </w:p>
          <w:p w14:paraId="0F30A8CC" w14:textId="7BD244B0" w:rsidR="755F9515" w:rsidRPr="00720B94" w:rsidRDefault="755F9515" w:rsidP="0092380E">
            <w:pPr>
              <w:pStyle w:val="ListParagraph"/>
              <w:numPr>
                <w:ilvl w:val="0"/>
                <w:numId w:val="44"/>
              </w:numPr>
              <w:rPr>
                <w:sz w:val="22"/>
                <w:szCs w:val="22"/>
              </w:rPr>
            </w:pPr>
            <w:r w:rsidRPr="00720B94">
              <w:rPr>
                <w:sz w:val="22"/>
                <w:szCs w:val="22"/>
              </w:rPr>
              <w:t xml:space="preserve">Increase resistance of a pathogen or toxin to clinical and/or veterinary prophylactic or therapeutic </w:t>
            </w:r>
            <w:proofErr w:type="gramStart"/>
            <w:r w:rsidRPr="00720B94">
              <w:rPr>
                <w:sz w:val="22"/>
                <w:szCs w:val="22"/>
              </w:rPr>
              <w:t>interventions;</w:t>
            </w:r>
            <w:proofErr w:type="gramEnd"/>
          </w:p>
          <w:p w14:paraId="67611B9D" w14:textId="77777777" w:rsidR="755F9515" w:rsidRPr="00720B94" w:rsidRDefault="755F9515" w:rsidP="0092380E">
            <w:pPr>
              <w:pStyle w:val="ListParagraph"/>
              <w:numPr>
                <w:ilvl w:val="0"/>
                <w:numId w:val="44"/>
              </w:numPr>
              <w:rPr>
                <w:sz w:val="22"/>
                <w:szCs w:val="22"/>
              </w:rPr>
            </w:pPr>
            <w:r w:rsidRPr="00720B94">
              <w:rPr>
                <w:sz w:val="22"/>
                <w:szCs w:val="22"/>
              </w:rPr>
              <w:t xml:space="preserve">Alter a human or veterinary pathogen or toxin to disrupt the effectiveness of preexisting immunity, via immunization or natural infection, against the pathogen or toxin; or </w:t>
            </w:r>
          </w:p>
          <w:p w14:paraId="633B03ED" w14:textId="62019E03" w:rsidR="755F9515" w:rsidRPr="00720B94" w:rsidRDefault="755F9515" w:rsidP="0092380E">
            <w:pPr>
              <w:pStyle w:val="ListParagraph"/>
              <w:numPr>
                <w:ilvl w:val="0"/>
                <w:numId w:val="44"/>
              </w:numPr>
              <w:rPr>
                <w:sz w:val="22"/>
                <w:szCs w:val="22"/>
              </w:rPr>
            </w:pPr>
            <w:r w:rsidRPr="00720B94">
              <w:rPr>
                <w:sz w:val="22"/>
                <w:szCs w:val="22"/>
              </w:rPr>
              <w:t>Enhance the susceptibility of a host population to a pathogen or toxin.</w:t>
            </w:r>
          </w:p>
        </w:tc>
        <w:tc>
          <w:tcPr>
            <w:tcW w:w="3960" w:type="dxa"/>
          </w:tcPr>
          <w:p w14:paraId="3C98AF45" w14:textId="77777777" w:rsidR="755F9515" w:rsidRPr="00720B94" w:rsidRDefault="755F9515" w:rsidP="00720B94">
            <w:r w:rsidRPr="00720B94">
              <w:lastRenderedPageBreak/>
              <w:t>Experimental outcomes or actions with a pathogen are reasonably anticipated to:</w:t>
            </w:r>
          </w:p>
          <w:p w14:paraId="17FA211D" w14:textId="77777777" w:rsidR="755F9515" w:rsidRPr="00720B94" w:rsidRDefault="755F9515" w:rsidP="0092380E">
            <w:pPr>
              <w:pStyle w:val="ListParagraph"/>
              <w:numPr>
                <w:ilvl w:val="0"/>
                <w:numId w:val="45"/>
              </w:numPr>
              <w:rPr>
                <w:sz w:val="22"/>
                <w:szCs w:val="22"/>
              </w:rPr>
            </w:pPr>
            <w:r w:rsidRPr="00720B94">
              <w:rPr>
                <w:sz w:val="22"/>
                <w:szCs w:val="22"/>
              </w:rPr>
              <w:t xml:space="preserve">Enhance transmissibility of the pathogen in </w:t>
            </w:r>
            <w:proofErr w:type="gramStart"/>
            <w:r w:rsidRPr="00720B94">
              <w:rPr>
                <w:sz w:val="22"/>
                <w:szCs w:val="22"/>
              </w:rPr>
              <w:t>humans;</w:t>
            </w:r>
            <w:proofErr w:type="gramEnd"/>
            <w:r w:rsidRPr="00720B94">
              <w:rPr>
                <w:sz w:val="22"/>
                <w:szCs w:val="22"/>
              </w:rPr>
              <w:t xml:space="preserve"> </w:t>
            </w:r>
          </w:p>
          <w:p w14:paraId="3863DC5A" w14:textId="77777777" w:rsidR="755F9515" w:rsidRPr="00720B94" w:rsidRDefault="755F9515" w:rsidP="0092380E">
            <w:pPr>
              <w:pStyle w:val="ListParagraph"/>
              <w:numPr>
                <w:ilvl w:val="0"/>
                <w:numId w:val="45"/>
              </w:numPr>
              <w:rPr>
                <w:sz w:val="22"/>
                <w:szCs w:val="22"/>
              </w:rPr>
            </w:pPr>
            <w:r w:rsidRPr="00720B94">
              <w:rPr>
                <w:sz w:val="22"/>
                <w:szCs w:val="22"/>
              </w:rPr>
              <w:t xml:space="preserve">Enhance the virulence of the pathogen in </w:t>
            </w:r>
            <w:proofErr w:type="gramStart"/>
            <w:r w:rsidRPr="00720B94">
              <w:rPr>
                <w:sz w:val="22"/>
                <w:szCs w:val="22"/>
              </w:rPr>
              <w:t>humans;</w:t>
            </w:r>
            <w:proofErr w:type="gramEnd"/>
            <w:r w:rsidRPr="00720B94">
              <w:rPr>
                <w:sz w:val="22"/>
                <w:szCs w:val="22"/>
              </w:rPr>
              <w:t xml:space="preserve"> </w:t>
            </w:r>
          </w:p>
          <w:p w14:paraId="426F3648" w14:textId="77777777" w:rsidR="755F9515" w:rsidRPr="00720B94" w:rsidRDefault="755F9515" w:rsidP="0092380E">
            <w:pPr>
              <w:pStyle w:val="ListParagraph"/>
              <w:numPr>
                <w:ilvl w:val="0"/>
                <w:numId w:val="45"/>
              </w:numPr>
              <w:rPr>
                <w:sz w:val="22"/>
                <w:szCs w:val="22"/>
              </w:rPr>
            </w:pPr>
            <w:r w:rsidRPr="00720B94">
              <w:rPr>
                <w:sz w:val="22"/>
                <w:szCs w:val="22"/>
              </w:rPr>
              <w:t xml:space="preserve">Enhance the immune evasion of the pathogen in humans such as by modifying the pathogen to </w:t>
            </w:r>
            <w:r w:rsidRPr="00720B94">
              <w:rPr>
                <w:sz w:val="22"/>
                <w:szCs w:val="22"/>
              </w:rPr>
              <w:lastRenderedPageBreak/>
              <w:t xml:space="preserve">disrupt the effectiveness of pre-existing immunity via immunization or natural infection; or </w:t>
            </w:r>
          </w:p>
          <w:p w14:paraId="326A8E03" w14:textId="0BB63475" w:rsidR="755F9515" w:rsidRPr="00720B94" w:rsidRDefault="755F9515" w:rsidP="0092380E">
            <w:pPr>
              <w:pStyle w:val="ListParagraph"/>
              <w:numPr>
                <w:ilvl w:val="0"/>
                <w:numId w:val="45"/>
              </w:numPr>
              <w:rPr>
                <w:sz w:val="22"/>
                <w:szCs w:val="22"/>
              </w:rPr>
            </w:pPr>
            <w:r w:rsidRPr="00720B94">
              <w:rPr>
                <w:sz w:val="22"/>
                <w:szCs w:val="22"/>
              </w:rPr>
              <w:t>Generate, use, reconstitute, or transfer an eradicated or extinct PPP, or a previously identified PEPP.</w:t>
            </w:r>
          </w:p>
        </w:tc>
      </w:tr>
      <w:tr w:rsidR="755F9515" w:rsidRPr="00720B94" w14:paraId="3C726D71" w14:textId="77777777" w:rsidTr="00190273">
        <w:trPr>
          <w:trHeight w:val="300"/>
        </w:trPr>
        <w:tc>
          <w:tcPr>
            <w:tcW w:w="2160" w:type="dxa"/>
          </w:tcPr>
          <w:p w14:paraId="5B74FC24" w14:textId="0A933B6A" w:rsidR="755F9515" w:rsidRPr="00720B94" w:rsidRDefault="755F9515" w:rsidP="00720B94">
            <w:pPr>
              <w:rPr>
                <w:rFonts w:eastAsia="Arial" w:cs="Arial"/>
              </w:rPr>
            </w:pPr>
            <w:r w:rsidRPr="00720B94">
              <w:rPr>
                <w:rFonts w:eastAsia="Arial" w:cs="Arial"/>
              </w:rPr>
              <w:t>Level of federal review</w:t>
            </w:r>
            <w:r w:rsidRPr="00720B94">
              <w:rPr>
                <w:rStyle w:val="FootnoteReference"/>
                <w:rFonts w:eastAsia="Arial" w:cs="Arial"/>
              </w:rPr>
              <w:footnoteReference w:id="5"/>
            </w:r>
            <w:r w:rsidRPr="00720B94">
              <w:rPr>
                <w:rFonts w:eastAsia="Arial" w:cs="Arial"/>
              </w:rPr>
              <w:t xml:space="preserve"> (if research is federally funded)</w:t>
            </w:r>
          </w:p>
        </w:tc>
        <w:tc>
          <w:tcPr>
            <w:tcW w:w="4770" w:type="dxa"/>
          </w:tcPr>
          <w:p w14:paraId="4399515C" w14:textId="089B1945" w:rsidR="755F9515" w:rsidRPr="00720B94" w:rsidRDefault="755F9515" w:rsidP="00720B94">
            <w:r w:rsidRPr="00720B94">
              <w:t>Funding agency review</w:t>
            </w:r>
          </w:p>
        </w:tc>
        <w:tc>
          <w:tcPr>
            <w:tcW w:w="3960" w:type="dxa"/>
          </w:tcPr>
          <w:p w14:paraId="3BD335AC" w14:textId="56691015" w:rsidR="755F9515" w:rsidRPr="00720B94" w:rsidRDefault="755F9515" w:rsidP="00720B94">
            <w:r w:rsidRPr="00720B94">
              <w:t>Funding agency and federal department-level review</w:t>
            </w:r>
          </w:p>
        </w:tc>
      </w:tr>
    </w:tbl>
    <w:p w14:paraId="6633895A" w14:textId="791DF39A" w:rsidR="755F9515" w:rsidRPr="00720B94" w:rsidRDefault="755F9515" w:rsidP="00720B94">
      <w:pPr>
        <w:spacing w:line="276" w:lineRule="auto"/>
      </w:pPr>
    </w:p>
    <w:p w14:paraId="174CE078" w14:textId="77777777" w:rsidR="004B2276" w:rsidRPr="00720B94" w:rsidRDefault="004B2276" w:rsidP="00720B94">
      <w:pPr>
        <w:spacing w:line="279" w:lineRule="auto"/>
        <w:rPr>
          <w:rStyle w:val="Heading3Char"/>
        </w:rPr>
      </w:pPr>
    </w:p>
    <w:p w14:paraId="3368EEFE" w14:textId="77777777" w:rsidR="004B2276" w:rsidRPr="00720B94" w:rsidRDefault="004B2276" w:rsidP="00720B94">
      <w:pPr>
        <w:spacing w:line="279" w:lineRule="auto"/>
        <w:rPr>
          <w:rStyle w:val="Heading3Char"/>
        </w:rPr>
      </w:pPr>
    </w:p>
    <w:p w14:paraId="6FFDE5E1" w14:textId="77777777" w:rsidR="004B2276" w:rsidRPr="00720B94" w:rsidRDefault="004B2276" w:rsidP="00720B94">
      <w:pPr>
        <w:spacing w:line="279" w:lineRule="auto"/>
        <w:rPr>
          <w:rStyle w:val="Heading3Char"/>
        </w:rPr>
      </w:pPr>
    </w:p>
    <w:p w14:paraId="259AB8DA" w14:textId="77777777" w:rsidR="004B2276" w:rsidRPr="00720B94" w:rsidRDefault="004B2276" w:rsidP="00720B94">
      <w:pPr>
        <w:spacing w:line="279" w:lineRule="auto"/>
        <w:rPr>
          <w:rStyle w:val="Heading3Char"/>
        </w:rPr>
      </w:pPr>
    </w:p>
    <w:p w14:paraId="418E97A3" w14:textId="77777777" w:rsidR="004B2276" w:rsidRPr="00720B94" w:rsidRDefault="004B2276" w:rsidP="00720B94">
      <w:pPr>
        <w:spacing w:line="279" w:lineRule="auto"/>
        <w:rPr>
          <w:rStyle w:val="Heading3Char"/>
        </w:rPr>
      </w:pPr>
    </w:p>
    <w:p w14:paraId="657C9CCF" w14:textId="77777777" w:rsidR="004B2276" w:rsidRPr="00720B94" w:rsidRDefault="004B2276" w:rsidP="00720B94">
      <w:pPr>
        <w:spacing w:line="279" w:lineRule="auto"/>
        <w:rPr>
          <w:rStyle w:val="Heading3Char"/>
        </w:rPr>
      </w:pPr>
    </w:p>
    <w:p w14:paraId="14AC9029" w14:textId="77777777" w:rsidR="004B2276" w:rsidRPr="00720B94" w:rsidRDefault="004B2276" w:rsidP="00720B94">
      <w:pPr>
        <w:spacing w:line="279" w:lineRule="auto"/>
        <w:rPr>
          <w:rStyle w:val="Heading3Char"/>
        </w:rPr>
      </w:pPr>
    </w:p>
    <w:p w14:paraId="52E6E71C" w14:textId="77777777" w:rsidR="004B2276" w:rsidRPr="00720B94" w:rsidRDefault="004B2276" w:rsidP="00720B94">
      <w:pPr>
        <w:spacing w:line="279" w:lineRule="auto"/>
        <w:rPr>
          <w:rStyle w:val="Heading3Char"/>
        </w:rPr>
      </w:pPr>
    </w:p>
    <w:p w14:paraId="60364743" w14:textId="77777777" w:rsidR="004B2276" w:rsidRPr="00720B94" w:rsidRDefault="004B2276" w:rsidP="00720B94">
      <w:pPr>
        <w:spacing w:line="279" w:lineRule="auto"/>
        <w:rPr>
          <w:rStyle w:val="Heading3Char"/>
        </w:rPr>
      </w:pPr>
    </w:p>
    <w:p w14:paraId="6F873AE5" w14:textId="77777777" w:rsidR="004B2276" w:rsidRPr="00720B94" w:rsidRDefault="004B2276" w:rsidP="00720B94">
      <w:pPr>
        <w:spacing w:line="279" w:lineRule="auto"/>
        <w:rPr>
          <w:rStyle w:val="Heading3Char"/>
        </w:rPr>
      </w:pPr>
    </w:p>
    <w:p w14:paraId="2E11AE49" w14:textId="77777777" w:rsidR="004B2276" w:rsidRPr="00720B94" w:rsidRDefault="004B2276" w:rsidP="00720B94">
      <w:pPr>
        <w:spacing w:line="279" w:lineRule="auto"/>
        <w:rPr>
          <w:rStyle w:val="Heading3Char"/>
        </w:rPr>
      </w:pPr>
    </w:p>
    <w:p w14:paraId="03639A02" w14:textId="77777777" w:rsidR="004B2276" w:rsidRPr="00720B94" w:rsidRDefault="004B2276" w:rsidP="00720B94">
      <w:pPr>
        <w:spacing w:line="279" w:lineRule="auto"/>
        <w:rPr>
          <w:rStyle w:val="Heading3Char"/>
        </w:rPr>
      </w:pPr>
    </w:p>
    <w:p w14:paraId="0073B3D2" w14:textId="77777777" w:rsidR="004B2276" w:rsidRPr="00720B94" w:rsidRDefault="004B2276" w:rsidP="00720B94">
      <w:pPr>
        <w:spacing w:line="279" w:lineRule="auto"/>
        <w:rPr>
          <w:rStyle w:val="Heading3Char"/>
        </w:rPr>
      </w:pPr>
    </w:p>
    <w:p w14:paraId="1018B0A2" w14:textId="0EEEF683" w:rsidR="755F9515" w:rsidRPr="00720B94" w:rsidRDefault="00DC26BC" w:rsidP="00720B94">
      <w:pPr>
        <w:spacing w:line="279" w:lineRule="auto"/>
      </w:pPr>
      <w:r w:rsidRPr="00720B94">
        <w:rPr>
          <w:rStyle w:val="Heading3Char"/>
        </w:rPr>
        <w:lastRenderedPageBreak/>
        <w:t>Extended checklist of Category 1</w:t>
      </w:r>
      <w:r w:rsidR="009E261C" w:rsidRPr="00720B94">
        <w:rPr>
          <w:rStyle w:val="Heading3Char"/>
        </w:rPr>
        <w:t xml:space="preserve"> Biological Agents and Toxins</w:t>
      </w:r>
    </w:p>
    <w:tbl>
      <w:tblPr>
        <w:tblStyle w:val="TableGrid"/>
        <w:tblW w:w="11250" w:type="dxa"/>
        <w:tblInd w:w="-545" w:type="dxa"/>
        <w:tblLook w:val="04A0" w:firstRow="1" w:lastRow="0" w:firstColumn="1" w:lastColumn="0" w:noHBand="0" w:noVBand="1"/>
      </w:tblPr>
      <w:tblGrid>
        <w:gridCol w:w="2250"/>
        <w:gridCol w:w="4500"/>
        <w:gridCol w:w="4500"/>
      </w:tblGrid>
      <w:tr w:rsidR="00DC26BC" w:rsidRPr="00720B94" w14:paraId="0D0BBE4C" w14:textId="77777777" w:rsidTr="00764B2E">
        <w:tc>
          <w:tcPr>
            <w:tcW w:w="2250" w:type="dxa"/>
          </w:tcPr>
          <w:p w14:paraId="665737C5" w14:textId="77777777" w:rsidR="00DC26BC" w:rsidRPr="00720B94" w:rsidRDefault="00DC26BC" w:rsidP="00720B94">
            <w:pPr>
              <w:spacing w:line="276" w:lineRule="auto"/>
              <w:rPr>
                <w:rFonts w:cs="Arial"/>
                <w:sz w:val="20"/>
                <w:szCs w:val="20"/>
              </w:rPr>
            </w:pPr>
          </w:p>
        </w:tc>
        <w:tc>
          <w:tcPr>
            <w:tcW w:w="9000" w:type="dxa"/>
            <w:gridSpan w:val="2"/>
          </w:tcPr>
          <w:p w14:paraId="3B036A24" w14:textId="15825D65" w:rsidR="00DC26BC" w:rsidRPr="00720B94" w:rsidRDefault="009E261C" w:rsidP="00720B94">
            <w:pPr>
              <w:spacing w:line="276" w:lineRule="auto"/>
              <w:jc w:val="center"/>
              <w:rPr>
                <w:rFonts w:cs="Arial"/>
                <w:b/>
                <w:bCs/>
              </w:rPr>
            </w:pPr>
            <w:r w:rsidRPr="00720B94">
              <w:rPr>
                <w:rFonts w:cs="Arial"/>
                <w:b/>
                <w:bCs/>
              </w:rPr>
              <w:t>Biological Agents and Toxins</w:t>
            </w:r>
            <w:r w:rsidR="004B2276" w:rsidRPr="00720B94">
              <w:rPr>
                <w:rFonts w:cs="Arial"/>
                <w:vertAlign w:val="superscript"/>
              </w:rPr>
              <w:t>1</w:t>
            </w:r>
          </w:p>
        </w:tc>
      </w:tr>
      <w:tr w:rsidR="003E6B3E" w:rsidRPr="00720B94" w14:paraId="5861A118" w14:textId="77777777" w:rsidTr="003E6B3E">
        <w:tc>
          <w:tcPr>
            <w:tcW w:w="2250" w:type="dxa"/>
          </w:tcPr>
          <w:p w14:paraId="16902D92" w14:textId="2B83EEEB" w:rsidR="003E6B3E" w:rsidRPr="00720B94" w:rsidRDefault="003E6B3E" w:rsidP="00720B94">
            <w:pPr>
              <w:spacing w:line="276" w:lineRule="auto"/>
              <w:rPr>
                <w:rFonts w:cs="Arial"/>
                <w:sz w:val="20"/>
                <w:szCs w:val="20"/>
              </w:rPr>
            </w:pPr>
            <w:r w:rsidRPr="00720B94">
              <w:rPr>
                <w:rFonts w:cs="Arial"/>
                <w:sz w:val="20"/>
                <w:szCs w:val="20"/>
              </w:rPr>
              <w:t>HHS Select Agents and Toxins</w:t>
            </w:r>
          </w:p>
        </w:tc>
        <w:tc>
          <w:tcPr>
            <w:tcW w:w="4500" w:type="dxa"/>
            <w:tcBorders>
              <w:right w:val="single" w:sz="4" w:space="0" w:color="FFFFFF" w:themeColor="background1"/>
            </w:tcBorders>
          </w:tcPr>
          <w:p w14:paraId="5FEBE845" w14:textId="77777777" w:rsidR="003E6B3E" w:rsidRPr="00720B94" w:rsidRDefault="003E6B3E" w:rsidP="0092380E">
            <w:pPr>
              <w:pStyle w:val="ListParagraph"/>
              <w:numPr>
                <w:ilvl w:val="0"/>
                <w:numId w:val="63"/>
              </w:numPr>
              <w:spacing w:line="276" w:lineRule="auto"/>
              <w:rPr>
                <w:rFonts w:cs="Arial"/>
                <w:sz w:val="20"/>
                <w:szCs w:val="20"/>
              </w:rPr>
            </w:pPr>
            <w:r w:rsidRPr="00720B94">
              <w:rPr>
                <w:rFonts w:cs="Arial"/>
                <w:sz w:val="20"/>
                <w:szCs w:val="20"/>
              </w:rPr>
              <w:t>Abrin</w:t>
            </w:r>
          </w:p>
          <w:p w14:paraId="4F2BF679" w14:textId="77777777" w:rsidR="003E6B3E" w:rsidRPr="00720B94" w:rsidRDefault="003E6B3E" w:rsidP="0092380E">
            <w:pPr>
              <w:pStyle w:val="ListParagraph"/>
              <w:numPr>
                <w:ilvl w:val="0"/>
                <w:numId w:val="63"/>
              </w:numPr>
              <w:spacing w:line="276" w:lineRule="auto"/>
              <w:rPr>
                <w:rFonts w:cs="Arial"/>
                <w:sz w:val="20"/>
                <w:szCs w:val="20"/>
              </w:rPr>
            </w:pPr>
            <w:r w:rsidRPr="00720B94">
              <w:rPr>
                <w:rFonts w:cs="Arial"/>
                <w:i/>
                <w:iCs/>
                <w:sz w:val="20"/>
                <w:szCs w:val="20"/>
              </w:rPr>
              <w:t>Bacillus cereus</w:t>
            </w:r>
            <w:r w:rsidRPr="00720B94">
              <w:rPr>
                <w:rFonts w:cs="Arial"/>
                <w:sz w:val="20"/>
                <w:szCs w:val="20"/>
              </w:rPr>
              <w:t xml:space="preserve"> Biovar anthracis</w:t>
            </w:r>
          </w:p>
          <w:p w14:paraId="7E6BC040" w14:textId="77777777" w:rsidR="003E6B3E" w:rsidRPr="00720B94" w:rsidRDefault="003E6B3E" w:rsidP="0092380E">
            <w:pPr>
              <w:pStyle w:val="ListParagraph"/>
              <w:numPr>
                <w:ilvl w:val="0"/>
                <w:numId w:val="63"/>
              </w:numPr>
              <w:spacing w:line="276" w:lineRule="auto"/>
              <w:rPr>
                <w:rFonts w:cs="Arial"/>
                <w:sz w:val="20"/>
                <w:szCs w:val="20"/>
              </w:rPr>
            </w:pPr>
            <w:r w:rsidRPr="00720B94">
              <w:rPr>
                <w:rFonts w:cs="Arial"/>
                <w:sz w:val="20"/>
                <w:szCs w:val="20"/>
              </w:rPr>
              <w:t>Botulinum neurotoxins</w:t>
            </w:r>
          </w:p>
          <w:p w14:paraId="11CD5C27" w14:textId="77777777" w:rsidR="003E6B3E" w:rsidRPr="00720B94" w:rsidRDefault="003E6B3E" w:rsidP="0092380E">
            <w:pPr>
              <w:pStyle w:val="ListParagraph"/>
              <w:numPr>
                <w:ilvl w:val="0"/>
                <w:numId w:val="63"/>
              </w:numPr>
              <w:spacing w:line="276" w:lineRule="auto"/>
              <w:rPr>
                <w:rFonts w:cs="Arial"/>
                <w:sz w:val="20"/>
                <w:szCs w:val="20"/>
              </w:rPr>
            </w:pPr>
            <w:r w:rsidRPr="00720B94">
              <w:rPr>
                <w:rFonts w:cs="Arial"/>
                <w:i/>
                <w:iCs/>
                <w:sz w:val="20"/>
                <w:szCs w:val="20"/>
              </w:rPr>
              <w:t>Clostridium botulinum</w:t>
            </w:r>
            <w:r w:rsidRPr="00720B94">
              <w:rPr>
                <w:rFonts w:cs="Arial"/>
                <w:sz w:val="20"/>
                <w:szCs w:val="20"/>
              </w:rPr>
              <w:t xml:space="preserve"> and neurotoxin-producing species of </w:t>
            </w:r>
            <w:r w:rsidRPr="00720B94">
              <w:rPr>
                <w:rFonts w:cs="Arial"/>
                <w:i/>
                <w:iCs/>
                <w:sz w:val="20"/>
                <w:szCs w:val="20"/>
              </w:rPr>
              <w:t>Clostridia</w:t>
            </w:r>
          </w:p>
          <w:p w14:paraId="43CB217B" w14:textId="77777777" w:rsidR="003E6B3E" w:rsidRPr="00720B94" w:rsidRDefault="003E6B3E" w:rsidP="0092380E">
            <w:pPr>
              <w:pStyle w:val="ListParagraph"/>
              <w:numPr>
                <w:ilvl w:val="0"/>
                <w:numId w:val="63"/>
              </w:numPr>
              <w:spacing w:line="276" w:lineRule="auto"/>
              <w:rPr>
                <w:rFonts w:cs="Arial"/>
                <w:sz w:val="20"/>
                <w:szCs w:val="20"/>
              </w:rPr>
            </w:pPr>
            <w:r w:rsidRPr="00720B94">
              <w:rPr>
                <w:rFonts w:cs="Arial"/>
                <w:sz w:val="20"/>
                <w:szCs w:val="20"/>
              </w:rPr>
              <w:t>Conotoxins (Short, paralytic alpha conotoxins containing the following amino acid sequence X1CCX2PACGX3X4X5X6CX7)</w:t>
            </w:r>
          </w:p>
          <w:p w14:paraId="164EA493" w14:textId="17A484A1" w:rsidR="003E6B3E" w:rsidRPr="00720B94" w:rsidRDefault="003E6B3E" w:rsidP="0092380E">
            <w:pPr>
              <w:pStyle w:val="ListParagraph"/>
              <w:numPr>
                <w:ilvl w:val="0"/>
                <w:numId w:val="63"/>
              </w:numPr>
              <w:spacing w:line="276" w:lineRule="auto"/>
              <w:rPr>
                <w:rFonts w:cs="Arial"/>
                <w:i/>
                <w:iCs/>
                <w:sz w:val="20"/>
                <w:szCs w:val="20"/>
              </w:rPr>
            </w:pPr>
            <w:r w:rsidRPr="00720B94">
              <w:rPr>
                <w:rFonts w:cs="Arial"/>
                <w:i/>
                <w:iCs/>
                <w:sz w:val="20"/>
                <w:szCs w:val="20"/>
              </w:rPr>
              <w:t xml:space="preserve">Coxiella </w:t>
            </w:r>
            <w:proofErr w:type="spellStart"/>
            <w:r w:rsidRPr="00720B94">
              <w:rPr>
                <w:rFonts w:cs="Arial"/>
                <w:i/>
                <w:iCs/>
                <w:sz w:val="20"/>
                <w:szCs w:val="20"/>
              </w:rPr>
              <w:t>burnetii</w:t>
            </w:r>
            <w:proofErr w:type="spellEnd"/>
            <w:r w:rsidRPr="00720B94">
              <w:rPr>
                <w:rFonts w:cs="Arial"/>
                <w:i/>
                <w:iCs/>
                <w:sz w:val="20"/>
                <w:szCs w:val="20"/>
              </w:rPr>
              <w:t xml:space="preserve"> </w:t>
            </w:r>
          </w:p>
          <w:p w14:paraId="620C534C" w14:textId="77777777" w:rsidR="003E6B3E" w:rsidRPr="00720B94" w:rsidRDefault="003E6B3E" w:rsidP="0092380E">
            <w:pPr>
              <w:pStyle w:val="ListParagraph"/>
              <w:numPr>
                <w:ilvl w:val="0"/>
                <w:numId w:val="63"/>
              </w:numPr>
              <w:spacing w:line="276" w:lineRule="auto"/>
              <w:rPr>
                <w:rFonts w:cs="Arial"/>
                <w:sz w:val="20"/>
                <w:szCs w:val="20"/>
              </w:rPr>
            </w:pPr>
            <w:r w:rsidRPr="00720B94">
              <w:rPr>
                <w:rFonts w:cs="Arial"/>
                <w:sz w:val="20"/>
                <w:szCs w:val="20"/>
              </w:rPr>
              <w:t xml:space="preserve">Crimean-Congo hemorrhagic fever virus </w:t>
            </w:r>
          </w:p>
          <w:p w14:paraId="004C88EB" w14:textId="20B48DAC" w:rsidR="003E6B3E" w:rsidRPr="00720B94" w:rsidRDefault="003E6B3E" w:rsidP="0092380E">
            <w:pPr>
              <w:pStyle w:val="ListParagraph"/>
              <w:numPr>
                <w:ilvl w:val="0"/>
                <w:numId w:val="63"/>
              </w:numPr>
              <w:spacing w:line="276" w:lineRule="auto"/>
              <w:rPr>
                <w:rFonts w:cs="Arial"/>
                <w:sz w:val="20"/>
                <w:szCs w:val="20"/>
              </w:rPr>
            </w:pPr>
            <w:r w:rsidRPr="00720B94">
              <w:rPr>
                <w:rFonts w:cs="Arial"/>
                <w:sz w:val="20"/>
                <w:szCs w:val="20"/>
              </w:rPr>
              <w:t>Diacetoxyscirpenol</w:t>
            </w:r>
          </w:p>
          <w:p w14:paraId="4D5A1A4C" w14:textId="2486C0B0" w:rsidR="003E6B3E" w:rsidRPr="00720B94" w:rsidRDefault="003E6B3E" w:rsidP="0092380E">
            <w:pPr>
              <w:pStyle w:val="ListParagraph"/>
              <w:numPr>
                <w:ilvl w:val="0"/>
                <w:numId w:val="63"/>
              </w:numPr>
              <w:spacing w:line="276" w:lineRule="auto"/>
              <w:rPr>
                <w:rFonts w:cs="Arial"/>
                <w:sz w:val="20"/>
                <w:szCs w:val="20"/>
              </w:rPr>
            </w:pPr>
            <w:r w:rsidRPr="00720B94">
              <w:rPr>
                <w:rFonts w:cs="Arial"/>
                <w:sz w:val="20"/>
                <w:szCs w:val="20"/>
              </w:rPr>
              <w:t>Eastern equine encephalitis virus</w:t>
            </w:r>
          </w:p>
          <w:p w14:paraId="341A9ACB" w14:textId="6534E059" w:rsidR="003E6B3E" w:rsidRPr="00720B94" w:rsidRDefault="003E6B3E" w:rsidP="0092380E">
            <w:pPr>
              <w:pStyle w:val="ListParagraph"/>
              <w:numPr>
                <w:ilvl w:val="0"/>
                <w:numId w:val="63"/>
              </w:numPr>
              <w:spacing w:line="276" w:lineRule="auto"/>
              <w:rPr>
                <w:rFonts w:cs="Arial"/>
                <w:sz w:val="20"/>
                <w:szCs w:val="20"/>
              </w:rPr>
            </w:pPr>
            <w:r w:rsidRPr="00720B94">
              <w:rPr>
                <w:rFonts w:cs="Arial"/>
                <w:sz w:val="20"/>
                <w:szCs w:val="20"/>
              </w:rPr>
              <w:t>Ebola virus</w:t>
            </w:r>
          </w:p>
          <w:p w14:paraId="56CE3CC3" w14:textId="7B779504" w:rsidR="003E6B3E" w:rsidRPr="00720B94" w:rsidRDefault="003E6B3E" w:rsidP="0092380E">
            <w:pPr>
              <w:pStyle w:val="ListParagraph"/>
              <w:numPr>
                <w:ilvl w:val="0"/>
                <w:numId w:val="63"/>
              </w:numPr>
              <w:spacing w:line="276" w:lineRule="auto"/>
              <w:rPr>
                <w:rFonts w:cs="Arial"/>
                <w:i/>
                <w:iCs/>
                <w:sz w:val="20"/>
                <w:szCs w:val="20"/>
              </w:rPr>
            </w:pPr>
            <w:proofErr w:type="spellStart"/>
            <w:r w:rsidRPr="00720B94">
              <w:rPr>
                <w:rFonts w:cs="Arial"/>
                <w:i/>
                <w:iCs/>
                <w:sz w:val="20"/>
                <w:szCs w:val="20"/>
              </w:rPr>
              <w:t>Francisella</w:t>
            </w:r>
            <w:proofErr w:type="spellEnd"/>
            <w:r w:rsidRPr="00720B94">
              <w:rPr>
                <w:rFonts w:cs="Arial"/>
                <w:i/>
                <w:iCs/>
                <w:sz w:val="20"/>
                <w:szCs w:val="20"/>
              </w:rPr>
              <w:t xml:space="preserve"> tularensis</w:t>
            </w:r>
          </w:p>
          <w:p w14:paraId="65ED0F89" w14:textId="02B3AD4D" w:rsidR="003E6B3E" w:rsidRPr="00720B94" w:rsidRDefault="003E6B3E" w:rsidP="0092380E">
            <w:pPr>
              <w:pStyle w:val="ListParagraph"/>
              <w:numPr>
                <w:ilvl w:val="0"/>
                <w:numId w:val="63"/>
              </w:numPr>
              <w:spacing w:line="276" w:lineRule="auto"/>
              <w:rPr>
                <w:rFonts w:cs="Arial"/>
                <w:sz w:val="20"/>
                <w:szCs w:val="20"/>
              </w:rPr>
            </w:pPr>
            <w:r w:rsidRPr="00720B94">
              <w:rPr>
                <w:rFonts w:cs="Arial"/>
                <w:sz w:val="20"/>
                <w:szCs w:val="20"/>
              </w:rPr>
              <w:t>Lassa fever virus</w:t>
            </w:r>
          </w:p>
          <w:p w14:paraId="2BC93DB3" w14:textId="76E17863" w:rsidR="003E6B3E" w:rsidRPr="00720B94" w:rsidRDefault="003E6B3E" w:rsidP="0092380E">
            <w:pPr>
              <w:pStyle w:val="ListParagraph"/>
              <w:numPr>
                <w:ilvl w:val="0"/>
                <w:numId w:val="63"/>
              </w:numPr>
              <w:spacing w:line="276" w:lineRule="auto"/>
              <w:rPr>
                <w:rFonts w:cs="Arial"/>
                <w:sz w:val="20"/>
                <w:szCs w:val="20"/>
              </w:rPr>
            </w:pPr>
            <w:proofErr w:type="spellStart"/>
            <w:r w:rsidRPr="00720B94">
              <w:rPr>
                <w:rFonts w:cs="Arial"/>
                <w:sz w:val="20"/>
                <w:szCs w:val="20"/>
              </w:rPr>
              <w:t>Lujo</w:t>
            </w:r>
            <w:proofErr w:type="spellEnd"/>
            <w:r w:rsidRPr="00720B94">
              <w:rPr>
                <w:rFonts w:cs="Arial"/>
                <w:sz w:val="20"/>
                <w:szCs w:val="20"/>
              </w:rPr>
              <w:t xml:space="preserve"> virus</w:t>
            </w:r>
          </w:p>
          <w:p w14:paraId="51CD7B75" w14:textId="748FB909" w:rsidR="003E6B3E" w:rsidRPr="00720B94" w:rsidRDefault="003E6B3E" w:rsidP="0092380E">
            <w:pPr>
              <w:pStyle w:val="ListParagraph"/>
              <w:numPr>
                <w:ilvl w:val="0"/>
                <w:numId w:val="63"/>
              </w:numPr>
              <w:spacing w:line="276" w:lineRule="auto"/>
              <w:rPr>
                <w:rFonts w:cs="Arial"/>
                <w:sz w:val="20"/>
                <w:szCs w:val="20"/>
              </w:rPr>
            </w:pPr>
            <w:r w:rsidRPr="00720B94">
              <w:rPr>
                <w:rFonts w:cs="Arial"/>
                <w:sz w:val="20"/>
                <w:szCs w:val="20"/>
              </w:rPr>
              <w:t>Marburg virus</w:t>
            </w:r>
          </w:p>
          <w:p w14:paraId="1B8756A6" w14:textId="77777777" w:rsidR="003E6B3E" w:rsidRPr="00720B94" w:rsidRDefault="003E6B3E" w:rsidP="0092380E">
            <w:pPr>
              <w:pStyle w:val="ListParagraph"/>
              <w:numPr>
                <w:ilvl w:val="0"/>
                <w:numId w:val="63"/>
              </w:numPr>
              <w:spacing w:line="276" w:lineRule="auto"/>
              <w:rPr>
                <w:rFonts w:cs="Arial"/>
                <w:sz w:val="20"/>
                <w:szCs w:val="20"/>
              </w:rPr>
            </w:pPr>
            <w:r w:rsidRPr="00720B94">
              <w:rPr>
                <w:rFonts w:cs="Arial"/>
                <w:sz w:val="20"/>
                <w:szCs w:val="20"/>
              </w:rPr>
              <w:t>Mpox virus Clade I</w:t>
            </w:r>
          </w:p>
          <w:p w14:paraId="69FD0EE2" w14:textId="77777777" w:rsidR="003E6B3E" w:rsidRPr="00720B94" w:rsidRDefault="003E6B3E" w:rsidP="0092380E">
            <w:pPr>
              <w:pStyle w:val="ListParagraph"/>
              <w:numPr>
                <w:ilvl w:val="0"/>
                <w:numId w:val="63"/>
              </w:numPr>
              <w:spacing w:line="276" w:lineRule="auto"/>
              <w:rPr>
                <w:rFonts w:cs="Arial"/>
                <w:sz w:val="20"/>
                <w:szCs w:val="20"/>
              </w:rPr>
            </w:pPr>
            <w:r w:rsidRPr="00720B94">
              <w:rPr>
                <w:rFonts w:cs="Arial"/>
                <w:sz w:val="20"/>
                <w:szCs w:val="20"/>
              </w:rPr>
              <w:t>1918-1919 H1N1 including reconstructed replication competent forms of the 1918 pandemic influenza virus containing any portion of the coding regions of all eight gene segments (Reconstructed 1918 Influenza virus)</w:t>
            </w:r>
          </w:p>
          <w:p w14:paraId="0C86FD69" w14:textId="77777777" w:rsidR="003E6B3E" w:rsidRPr="00720B94" w:rsidRDefault="003E6B3E" w:rsidP="0092380E">
            <w:pPr>
              <w:pStyle w:val="ListParagraph"/>
              <w:numPr>
                <w:ilvl w:val="0"/>
                <w:numId w:val="63"/>
              </w:numPr>
              <w:spacing w:line="276" w:lineRule="auto"/>
              <w:rPr>
                <w:rFonts w:cs="Arial"/>
                <w:sz w:val="20"/>
                <w:szCs w:val="20"/>
              </w:rPr>
            </w:pPr>
            <w:r w:rsidRPr="00720B94">
              <w:rPr>
                <w:rFonts w:cs="Arial"/>
                <w:sz w:val="20"/>
                <w:szCs w:val="20"/>
              </w:rPr>
              <w:t xml:space="preserve">Ricin </w:t>
            </w:r>
          </w:p>
          <w:p w14:paraId="4983BA6A" w14:textId="77777777" w:rsidR="003E6B3E" w:rsidRPr="00720B94" w:rsidRDefault="003E6B3E" w:rsidP="0092380E">
            <w:pPr>
              <w:pStyle w:val="ListParagraph"/>
              <w:numPr>
                <w:ilvl w:val="0"/>
                <w:numId w:val="63"/>
              </w:numPr>
              <w:spacing w:line="276" w:lineRule="auto"/>
              <w:rPr>
                <w:rFonts w:cs="Arial"/>
                <w:i/>
                <w:iCs/>
                <w:sz w:val="20"/>
                <w:szCs w:val="20"/>
              </w:rPr>
            </w:pPr>
            <w:r w:rsidRPr="00720B94">
              <w:rPr>
                <w:rFonts w:cs="Arial"/>
                <w:i/>
                <w:iCs/>
                <w:sz w:val="20"/>
                <w:szCs w:val="20"/>
              </w:rPr>
              <w:t xml:space="preserve">Rickettsia prowazekii </w:t>
            </w:r>
          </w:p>
        </w:tc>
        <w:tc>
          <w:tcPr>
            <w:tcW w:w="4500" w:type="dxa"/>
            <w:tcBorders>
              <w:left w:val="single" w:sz="4" w:space="0" w:color="FFFFFF" w:themeColor="background1"/>
            </w:tcBorders>
          </w:tcPr>
          <w:p w14:paraId="3E0A4444" w14:textId="63D3A592" w:rsidR="003E6B3E" w:rsidRPr="00720B94" w:rsidRDefault="003E6B3E" w:rsidP="0092380E">
            <w:pPr>
              <w:pStyle w:val="ListParagraph"/>
              <w:numPr>
                <w:ilvl w:val="0"/>
                <w:numId w:val="63"/>
              </w:numPr>
              <w:spacing w:line="276" w:lineRule="auto"/>
              <w:rPr>
                <w:rFonts w:cs="Arial"/>
                <w:i/>
                <w:iCs/>
                <w:sz w:val="20"/>
                <w:szCs w:val="20"/>
              </w:rPr>
            </w:pPr>
            <w:r w:rsidRPr="00720B94">
              <w:rPr>
                <w:rFonts w:cs="Arial"/>
                <w:sz w:val="20"/>
                <w:szCs w:val="20"/>
              </w:rPr>
              <w:t xml:space="preserve">Severe acute respiratory coronavirus (SARS-CoV) </w:t>
            </w:r>
          </w:p>
          <w:p w14:paraId="184A1EE1" w14:textId="77777777" w:rsidR="003E6B3E" w:rsidRPr="00720B94" w:rsidRDefault="003E6B3E" w:rsidP="0092380E">
            <w:pPr>
              <w:pStyle w:val="ListParagraph"/>
              <w:numPr>
                <w:ilvl w:val="0"/>
                <w:numId w:val="63"/>
              </w:numPr>
              <w:spacing w:line="276" w:lineRule="auto"/>
              <w:rPr>
                <w:rFonts w:cs="Arial"/>
                <w:i/>
                <w:iCs/>
                <w:sz w:val="20"/>
                <w:szCs w:val="20"/>
              </w:rPr>
            </w:pPr>
            <w:r w:rsidRPr="00720B94">
              <w:rPr>
                <w:rFonts w:cs="Arial"/>
                <w:sz w:val="20"/>
                <w:szCs w:val="20"/>
              </w:rPr>
              <w:t xml:space="preserve">SARS-CoV/SARS-CoV-2 chimeric viruses resulting from any deliberate manipulation of SARS-CoV-2 to incorporate nucleic acids coding for SARS-CoV virulence factors </w:t>
            </w:r>
          </w:p>
          <w:p w14:paraId="470910CA" w14:textId="77777777" w:rsidR="003E6B3E" w:rsidRPr="00720B94" w:rsidRDefault="003E6B3E" w:rsidP="0092380E">
            <w:pPr>
              <w:pStyle w:val="ListParagraph"/>
              <w:numPr>
                <w:ilvl w:val="0"/>
                <w:numId w:val="63"/>
              </w:numPr>
              <w:spacing w:line="276" w:lineRule="auto"/>
              <w:rPr>
                <w:rFonts w:cs="Arial"/>
                <w:i/>
                <w:iCs/>
                <w:sz w:val="20"/>
                <w:szCs w:val="20"/>
              </w:rPr>
            </w:pPr>
            <w:r w:rsidRPr="00720B94">
              <w:rPr>
                <w:rFonts w:cs="Arial"/>
                <w:sz w:val="20"/>
                <w:szCs w:val="20"/>
              </w:rPr>
              <w:t xml:space="preserve">Saxitoxin </w:t>
            </w:r>
          </w:p>
          <w:p w14:paraId="19C48B4B" w14:textId="6B30B7D3" w:rsidR="003E6B3E" w:rsidRPr="00720B94" w:rsidRDefault="003E6B3E" w:rsidP="0092380E">
            <w:pPr>
              <w:pStyle w:val="ListParagraph"/>
              <w:numPr>
                <w:ilvl w:val="0"/>
                <w:numId w:val="63"/>
              </w:numPr>
              <w:spacing w:line="276" w:lineRule="auto"/>
              <w:rPr>
                <w:rFonts w:cs="Arial"/>
                <w:sz w:val="20"/>
                <w:szCs w:val="20"/>
              </w:rPr>
            </w:pPr>
            <w:r w:rsidRPr="00720B94">
              <w:rPr>
                <w:rFonts w:cs="Arial"/>
                <w:sz w:val="20"/>
                <w:szCs w:val="20"/>
              </w:rPr>
              <w:t xml:space="preserve">Chapare virus </w:t>
            </w:r>
          </w:p>
          <w:p w14:paraId="24208408" w14:textId="46333BCB" w:rsidR="003E6B3E" w:rsidRPr="00720B94" w:rsidRDefault="003E6B3E" w:rsidP="0092380E">
            <w:pPr>
              <w:pStyle w:val="ListParagraph"/>
              <w:numPr>
                <w:ilvl w:val="0"/>
                <w:numId w:val="63"/>
              </w:numPr>
              <w:spacing w:line="276" w:lineRule="auto"/>
              <w:rPr>
                <w:rFonts w:cs="Arial"/>
                <w:sz w:val="20"/>
                <w:szCs w:val="20"/>
              </w:rPr>
            </w:pPr>
            <w:proofErr w:type="spellStart"/>
            <w:r w:rsidRPr="00720B94">
              <w:rPr>
                <w:rFonts w:cs="Arial"/>
                <w:sz w:val="20"/>
                <w:szCs w:val="20"/>
              </w:rPr>
              <w:t>Guanarito</w:t>
            </w:r>
            <w:proofErr w:type="spellEnd"/>
            <w:r w:rsidRPr="00720B94">
              <w:rPr>
                <w:rFonts w:cs="Arial"/>
                <w:sz w:val="20"/>
                <w:szCs w:val="20"/>
              </w:rPr>
              <w:t xml:space="preserve"> virus </w:t>
            </w:r>
          </w:p>
          <w:p w14:paraId="38057BF4" w14:textId="77777777" w:rsidR="003E6B3E" w:rsidRPr="00720B94" w:rsidRDefault="003E6B3E" w:rsidP="0092380E">
            <w:pPr>
              <w:pStyle w:val="ListParagraph"/>
              <w:numPr>
                <w:ilvl w:val="0"/>
                <w:numId w:val="63"/>
              </w:numPr>
              <w:spacing w:line="276" w:lineRule="auto"/>
              <w:rPr>
                <w:rFonts w:cs="Arial"/>
                <w:sz w:val="20"/>
                <w:szCs w:val="20"/>
              </w:rPr>
            </w:pPr>
            <w:r w:rsidRPr="00720B94">
              <w:rPr>
                <w:rFonts w:cs="Arial"/>
                <w:sz w:val="20"/>
                <w:szCs w:val="20"/>
              </w:rPr>
              <w:t xml:space="preserve">Junín virus </w:t>
            </w:r>
          </w:p>
          <w:p w14:paraId="5A58F27F" w14:textId="6260D62E" w:rsidR="003E6B3E" w:rsidRPr="00720B94" w:rsidRDefault="003E6B3E" w:rsidP="0092380E">
            <w:pPr>
              <w:pStyle w:val="ListParagraph"/>
              <w:numPr>
                <w:ilvl w:val="0"/>
                <w:numId w:val="63"/>
              </w:numPr>
              <w:spacing w:line="276" w:lineRule="auto"/>
              <w:rPr>
                <w:rFonts w:cs="Arial"/>
                <w:sz w:val="20"/>
                <w:szCs w:val="20"/>
              </w:rPr>
            </w:pPr>
            <w:proofErr w:type="spellStart"/>
            <w:r w:rsidRPr="00720B94">
              <w:rPr>
                <w:rFonts w:cs="Arial"/>
                <w:sz w:val="20"/>
                <w:szCs w:val="20"/>
              </w:rPr>
              <w:t>Machupo</w:t>
            </w:r>
            <w:proofErr w:type="spellEnd"/>
            <w:r w:rsidRPr="00720B94">
              <w:rPr>
                <w:rFonts w:cs="Arial"/>
                <w:sz w:val="20"/>
                <w:szCs w:val="20"/>
              </w:rPr>
              <w:t xml:space="preserve"> virus </w:t>
            </w:r>
          </w:p>
          <w:p w14:paraId="215BD92A" w14:textId="1B172175" w:rsidR="003E6B3E" w:rsidRPr="00720B94" w:rsidRDefault="003E6B3E" w:rsidP="0092380E">
            <w:pPr>
              <w:pStyle w:val="ListParagraph"/>
              <w:numPr>
                <w:ilvl w:val="0"/>
                <w:numId w:val="63"/>
              </w:numPr>
              <w:spacing w:line="276" w:lineRule="auto"/>
              <w:rPr>
                <w:rFonts w:cs="Arial"/>
                <w:sz w:val="20"/>
                <w:szCs w:val="20"/>
              </w:rPr>
            </w:pPr>
            <w:proofErr w:type="spellStart"/>
            <w:r w:rsidRPr="00720B94">
              <w:rPr>
                <w:rFonts w:cs="Arial"/>
                <w:sz w:val="20"/>
                <w:szCs w:val="20"/>
              </w:rPr>
              <w:t>Sabía</w:t>
            </w:r>
            <w:proofErr w:type="spellEnd"/>
            <w:r w:rsidRPr="00720B94">
              <w:rPr>
                <w:rFonts w:cs="Arial"/>
                <w:sz w:val="20"/>
                <w:szCs w:val="20"/>
              </w:rPr>
              <w:t xml:space="preserve"> virus </w:t>
            </w:r>
          </w:p>
          <w:p w14:paraId="5BA6F0BB" w14:textId="6D04FDDB" w:rsidR="003E6B3E" w:rsidRPr="00720B94" w:rsidRDefault="003E6B3E" w:rsidP="0092380E">
            <w:pPr>
              <w:pStyle w:val="ListParagraph"/>
              <w:numPr>
                <w:ilvl w:val="0"/>
                <w:numId w:val="63"/>
              </w:numPr>
              <w:spacing w:line="276" w:lineRule="auto"/>
              <w:rPr>
                <w:rFonts w:cs="Arial"/>
                <w:sz w:val="20"/>
                <w:szCs w:val="20"/>
              </w:rPr>
            </w:pPr>
            <w:r w:rsidRPr="00720B94">
              <w:rPr>
                <w:rFonts w:cs="Arial"/>
                <w:sz w:val="20"/>
                <w:szCs w:val="20"/>
              </w:rPr>
              <w:t xml:space="preserve">Staphylococcal enterotoxins (subtypes A, B, C, D, E) </w:t>
            </w:r>
          </w:p>
          <w:p w14:paraId="2E6E12EC" w14:textId="5229C0EE" w:rsidR="003E6B3E" w:rsidRPr="00720B94" w:rsidRDefault="003E6B3E" w:rsidP="0092380E">
            <w:pPr>
              <w:pStyle w:val="ListParagraph"/>
              <w:numPr>
                <w:ilvl w:val="0"/>
                <w:numId w:val="63"/>
              </w:numPr>
              <w:spacing w:line="276" w:lineRule="auto"/>
              <w:rPr>
                <w:rFonts w:cs="Arial"/>
                <w:sz w:val="20"/>
                <w:szCs w:val="20"/>
              </w:rPr>
            </w:pPr>
            <w:r w:rsidRPr="00720B94">
              <w:rPr>
                <w:rFonts w:cs="Arial"/>
                <w:sz w:val="20"/>
                <w:szCs w:val="20"/>
              </w:rPr>
              <w:t xml:space="preserve">T-2 toxin </w:t>
            </w:r>
          </w:p>
          <w:p w14:paraId="4FD8AB2B" w14:textId="4442965F" w:rsidR="003E6B3E" w:rsidRPr="00720B94" w:rsidRDefault="003E6B3E" w:rsidP="0092380E">
            <w:pPr>
              <w:pStyle w:val="ListParagraph"/>
              <w:numPr>
                <w:ilvl w:val="0"/>
                <w:numId w:val="63"/>
              </w:numPr>
              <w:spacing w:line="276" w:lineRule="auto"/>
              <w:rPr>
                <w:rFonts w:cs="Arial"/>
                <w:sz w:val="20"/>
                <w:szCs w:val="20"/>
              </w:rPr>
            </w:pPr>
            <w:r w:rsidRPr="00720B94">
              <w:rPr>
                <w:rFonts w:cs="Arial"/>
                <w:sz w:val="20"/>
                <w:szCs w:val="20"/>
              </w:rPr>
              <w:t xml:space="preserve">Tetrodotoxin </w:t>
            </w:r>
          </w:p>
          <w:p w14:paraId="462B7CBE" w14:textId="21C86E90" w:rsidR="003E6B3E" w:rsidRPr="00720B94" w:rsidRDefault="003E6B3E" w:rsidP="0092380E">
            <w:pPr>
              <w:pStyle w:val="ListParagraph"/>
              <w:numPr>
                <w:ilvl w:val="0"/>
                <w:numId w:val="63"/>
              </w:numPr>
              <w:spacing w:line="276" w:lineRule="auto"/>
              <w:rPr>
                <w:rFonts w:cs="Arial"/>
                <w:sz w:val="20"/>
                <w:szCs w:val="20"/>
              </w:rPr>
            </w:pPr>
            <w:r w:rsidRPr="00720B94">
              <w:rPr>
                <w:rFonts w:cs="Arial"/>
                <w:sz w:val="20"/>
                <w:szCs w:val="20"/>
              </w:rPr>
              <w:t xml:space="preserve">Tick-borne encephalitis complex virus: Far Eastern subtype </w:t>
            </w:r>
          </w:p>
          <w:p w14:paraId="0D5D62FD" w14:textId="21132528" w:rsidR="003E6B3E" w:rsidRPr="00720B94" w:rsidRDefault="003E6B3E" w:rsidP="0092380E">
            <w:pPr>
              <w:pStyle w:val="ListParagraph"/>
              <w:numPr>
                <w:ilvl w:val="0"/>
                <w:numId w:val="63"/>
              </w:numPr>
              <w:spacing w:line="276" w:lineRule="auto"/>
              <w:rPr>
                <w:rFonts w:cs="Arial"/>
                <w:sz w:val="20"/>
                <w:szCs w:val="20"/>
              </w:rPr>
            </w:pPr>
            <w:r w:rsidRPr="00720B94">
              <w:rPr>
                <w:rFonts w:cs="Arial"/>
                <w:sz w:val="20"/>
                <w:szCs w:val="20"/>
              </w:rPr>
              <w:t xml:space="preserve">Tick-borne encephalitis complex virus: Siberian subtype </w:t>
            </w:r>
          </w:p>
          <w:p w14:paraId="52AB2ED8" w14:textId="70516AB8" w:rsidR="003E6B3E" w:rsidRPr="00720B94" w:rsidRDefault="003E6B3E" w:rsidP="0092380E">
            <w:pPr>
              <w:pStyle w:val="ListParagraph"/>
              <w:numPr>
                <w:ilvl w:val="0"/>
                <w:numId w:val="63"/>
              </w:numPr>
              <w:spacing w:line="276" w:lineRule="auto"/>
              <w:rPr>
                <w:rFonts w:cs="Arial"/>
                <w:sz w:val="20"/>
                <w:szCs w:val="20"/>
              </w:rPr>
            </w:pPr>
            <w:proofErr w:type="spellStart"/>
            <w:r w:rsidRPr="00720B94">
              <w:rPr>
                <w:rFonts w:cs="Arial"/>
                <w:sz w:val="20"/>
                <w:szCs w:val="20"/>
              </w:rPr>
              <w:t>Kyasanur</w:t>
            </w:r>
            <w:proofErr w:type="spellEnd"/>
            <w:r w:rsidRPr="00720B94">
              <w:rPr>
                <w:rFonts w:cs="Arial"/>
                <w:sz w:val="20"/>
                <w:szCs w:val="20"/>
              </w:rPr>
              <w:t xml:space="preserve"> Forest disease virus </w:t>
            </w:r>
          </w:p>
          <w:p w14:paraId="0C30F162" w14:textId="5D25DDA0" w:rsidR="003E6B3E" w:rsidRPr="00720B94" w:rsidRDefault="003E6B3E" w:rsidP="0092380E">
            <w:pPr>
              <w:pStyle w:val="ListParagraph"/>
              <w:numPr>
                <w:ilvl w:val="0"/>
                <w:numId w:val="63"/>
              </w:numPr>
              <w:spacing w:line="276" w:lineRule="auto"/>
              <w:rPr>
                <w:rFonts w:cs="Arial"/>
                <w:sz w:val="20"/>
                <w:szCs w:val="20"/>
              </w:rPr>
            </w:pPr>
            <w:r w:rsidRPr="00720B94">
              <w:rPr>
                <w:rFonts w:cs="Arial"/>
                <w:sz w:val="20"/>
                <w:szCs w:val="20"/>
              </w:rPr>
              <w:t xml:space="preserve">Omsk hemorrhagic fever virus </w:t>
            </w:r>
          </w:p>
          <w:p w14:paraId="4CA8F911" w14:textId="6BCA5EBE" w:rsidR="003E6B3E" w:rsidRPr="00720B94" w:rsidRDefault="003E6B3E" w:rsidP="0092380E">
            <w:pPr>
              <w:pStyle w:val="ListParagraph"/>
              <w:numPr>
                <w:ilvl w:val="0"/>
                <w:numId w:val="63"/>
              </w:numPr>
              <w:spacing w:line="276" w:lineRule="auto"/>
              <w:rPr>
                <w:rFonts w:cs="Arial"/>
                <w:sz w:val="20"/>
                <w:szCs w:val="20"/>
              </w:rPr>
            </w:pPr>
            <w:r w:rsidRPr="00720B94">
              <w:rPr>
                <w:rFonts w:cs="Arial"/>
                <w:sz w:val="20"/>
                <w:szCs w:val="20"/>
              </w:rPr>
              <w:t xml:space="preserve">Variola major virus (Smallpox virus) </w:t>
            </w:r>
          </w:p>
          <w:p w14:paraId="0967F16C" w14:textId="47CBBAD7" w:rsidR="003E6B3E" w:rsidRPr="00720B94" w:rsidRDefault="003E6B3E" w:rsidP="0092380E">
            <w:pPr>
              <w:pStyle w:val="ListParagraph"/>
              <w:numPr>
                <w:ilvl w:val="0"/>
                <w:numId w:val="63"/>
              </w:numPr>
              <w:spacing w:line="276" w:lineRule="auto"/>
              <w:rPr>
                <w:rFonts w:cs="Arial"/>
                <w:sz w:val="20"/>
                <w:szCs w:val="20"/>
              </w:rPr>
            </w:pPr>
            <w:r w:rsidRPr="00720B94">
              <w:rPr>
                <w:rFonts w:cs="Arial"/>
                <w:sz w:val="20"/>
                <w:szCs w:val="20"/>
              </w:rPr>
              <w:t>Variola minor virus (</w:t>
            </w:r>
            <w:proofErr w:type="spellStart"/>
            <w:r w:rsidRPr="00720B94">
              <w:rPr>
                <w:rFonts w:cs="Arial"/>
                <w:sz w:val="20"/>
                <w:szCs w:val="20"/>
              </w:rPr>
              <w:t>Alastrim</w:t>
            </w:r>
            <w:proofErr w:type="spellEnd"/>
            <w:r w:rsidRPr="00720B94">
              <w:rPr>
                <w:rFonts w:cs="Arial"/>
                <w:sz w:val="20"/>
                <w:szCs w:val="20"/>
              </w:rPr>
              <w:t xml:space="preserve">) </w:t>
            </w:r>
          </w:p>
          <w:p w14:paraId="34310A37" w14:textId="092FE626" w:rsidR="003E6B3E" w:rsidRPr="00720B94" w:rsidRDefault="003E6B3E" w:rsidP="0092380E">
            <w:pPr>
              <w:pStyle w:val="ListParagraph"/>
              <w:numPr>
                <w:ilvl w:val="0"/>
                <w:numId w:val="63"/>
              </w:numPr>
              <w:spacing w:line="276" w:lineRule="auto"/>
              <w:rPr>
                <w:rFonts w:cs="Arial"/>
                <w:i/>
                <w:iCs/>
                <w:sz w:val="20"/>
                <w:szCs w:val="20"/>
              </w:rPr>
            </w:pPr>
            <w:r w:rsidRPr="00720B94">
              <w:rPr>
                <w:rFonts w:cs="Arial"/>
                <w:i/>
                <w:iCs/>
                <w:sz w:val="20"/>
                <w:szCs w:val="20"/>
              </w:rPr>
              <w:t xml:space="preserve">Yersinia pestis </w:t>
            </w:r>
          </w:p>
        </w:tc>
      </w:tr>
      <w:tr w:rsidR="00E52E4F" w:rsidRPr="00720B94" w14:paraId="28F889CA" w14:textId="77777777" w:rsidTr="00E52E4F">
        <w:tc>
          <w:tcPr>
            <w:tcW w:w="2250" w:type="dxa"/>
          </w:tcPr>
          <w:p w14:paraId="346DE9A4" w14:textId="5D0156A5" w:rsidR="00E52E4F" w:rsidRPr="00720B94" w:rsidRDefault="00E52E4F" w:rsidP="00720B94">
            <w:pPr>
              <w:spacing w:line="276" w:lineRule="auto"/>
              <w:rPr>
                <w:rFonts w:cs="Arial"/>
                <w:sz w:val="20"/>
                <w:szCs w:val="20"/>
              </w:rPr>
            </w:pPr>
            <w:r w:rsidRPr="00720B94">
              <w:rPr>
                <w:rFonts w:cs="Arial"/>
                <w:sz w:val="20"/>
                <w:szCs w:val="20"/>
              </w:rPr>
              <w:t>Overlap Select Agents and Toxins</w:t>
            </w:r>
          </w:p>
        </w:tc>
        <w:tc>
          <w:tcPr>
            <w:tcW w:w="4500" w:type="dxa"/>
            <w:tcBorders>
              <w:right w:val="single" w:sz="4" w:space="0" w:color="FFFFFF" w:themeColor="background1"/>
            </w:tcBorders>
          </w:tcPr>
          <w:p w14:paraId="3797338B" w14:textId="286D7898" w:rsidR="00E52E4F" w:rsidRPr="00720B94" w:rsidRDefault="00E52E4F" w:rsidP="0092380E">
            <w:pPr>
              <w:pStyle w:val="ListParagraph"/>
              <w:numPr>
                <w:ilvl w:val="0"/>
                <w:numId w:val="64"/>
              </w:numPr>
              <w:spacing w:line="276" w:lineRule="auto"/>
              <w:rPr>
                <w:rFonts w:cs="Arial"/>
                <w:i/>
                <w:iCs/>
                <w:sz w:val="20"/>
                <w:szCs w:val="20"/>
              </w:rPr>
            </w:pPr>
            <w:r w:rsidRPr="00720B94">
              <w:rPr>
                <w:rFonts w:cs="Arial"/>
                <w:i/>
                <w:iCs/>
                <w:sz w:val="20"/>
                <w:szCs w:val="20"/>
              </w:rPr>
              <w:t>Bacillus anthracis</w:t>
            </w:r>
          </w:p>
          <w:p w14:paraId="483A84EA" w14:textId="181E8CB1" w:rsidR="00E52E4F" w:rsidRPr="00720B94" w:rsidRDefault="00E52E4F" w:rsidP="0092380E">
            <w:pPr>
              <w:pStyle w:val="ListParagraph"/>
              <w:numPr>
                <w:ilvl w:val="0"/>
                <w:numId w:val="64"/>
              </w:numPr>
              <w:spacing w:line="276" w:lineRule="auto"/>
              <w:rPr>
                <w:rFonts w:cs="Arial"/>
                <w:i/>
                <w:iCs/>
                <w:sz w:val="20"/>
                <w:szCs w:val="20"/>
              </w:rPr>
            </w:pPr>
            <w:r w:rsidRPr="00720B94">
              <w:rPr>
                <w:rFonts w:cs="Arial"/>
                <w:i/>
                <w:iCs/>
                <w:sz w:val="20"/>
                <w:szCs w:val="20"/>
              </w:rPr>
              <w:t>Bacillus anthracis Pasteur strain</w:t>
            </w:r>
          </w:p>
          <w:p w14:paraId="004C1EC3" w14:textId="08C5126C" w:rsidR="00E52E4F" w:rsidRPr="00720B94" w:rsidRDefault="00E52E4F" w:rsidP="0092380E">
            <w:pPr>
              <w:pStyle w:val="ListParagraph"/>
              <w:numPr>
                <w:ilvl w:val="0"/>
                <w:numId w:val="64"/>
              </w:numPr>
              <w:spacing w:line="276" w:lineRule="auto"/>
              <w:rPr>
                <w:rFonts w:cs="Arial"/>
                <w:i/>
                <w:iCs/>
                <w:sz w:val="20"/>
                <w:szCs w:val="20"/>
              </w:rPr>
            </w:pPr>
            <w:r w:rsidRPr="00720B94">
              <w:rPr>
                <w:rFonts w:cs="Arial"/>
                <w:i/>
                <w:iCs/>
                <w:sz w:val="20"/>
                <w:szCs w:val="20"/>
              </w:rPr>
              <w:t>Brucella abortus</w:t>
            </w:r>
          </w:p>
          <w:p w14:paraId="03E32C7B" w14:textId="247B90D9" w:rsidR="00E52E4F" w:rsidRPr="00720B94" w:rsidRDefault="00E52E4F" w:rsidP="0092380E">
            <w:pPr>
              <w:pStyle w:val="ListParagraph"/>
              <w:numPr>
                <w:ilvl w:val="0"/>
                <w:numId w:val="64"/>
              </w:numPr>
              <w:spacing w:line="276" w:lineRule="auto"/>
              <w:rPr>
                <w:rFonts w:cs="Arial"/>
                <w:i/>
                <w:iCs/>
                <w:sz w:val="20"/>
                <w:szCs w:val="20"/>
              </w:rPr>
            </w:pPr>
            <w:r w:rsidRPr="00720B94">
              <w:rPr>
                <w:rFonts w:cs="Arial"/>
                <w:i/>
                <w:iCs/>
                <w:sz w:val="20"/>
                <w:szCs w:val="20"/>
              </w:rPr>
              <w:t xml:space="preserve">Brucella </w:t>
            </w:r>
            <w:proofErr w:type="spellStart"/>
            <w:r w:rsidRPr="00720B94">
              <w:rPr>
                <w:rFonts w:cs="Arial"/>
                <w:i/>
                <w:iCs/>
                <w:sz w:val="20"/>
                <w:szCs w:val="20"/>
              </w:rPr>
              <w:t>melitensis</w:t>
            </w:r>
            <w:proofErr w:type="spellEnd"/>
          </w:p>
          <w:p w14:paraId="2CAC3093" w14:textId="42E1AA84" w:rsidR="00E52E4F" w:rsidRPr="00720B94" w:rsidRDefault="00E52E4F" w:rsidP="0092380E">
            <w:pPr>
              <w:pStyle w:val="ListParagraph"/>
              <w:numPr>
                <w:ilvl w:val="0"/>
                <w:numId w:val="64"/>
              </w:numPr>
              <w:spacing w:line="276" w:lineRule="auto"/>
              <w:rPr>
                <w:rFonts w:cs="Arial"/>
                <w:i/>
                <w:iCs/>
                <w:sz w:val="20"/>
                <w:szCs w:val="20"/>
              </w:rPr>
            </w:pPr>
            <w:r w:rsidRPr="00720B94">
              <w:rPr>
                <w:rFonts w:cs="Arial"/>
                <w:i/>
                <w:iCs/>
                <w:sz w:val="20"/>
                <w:szCs w:val="20"/>
              </w:rPr>
              <w:t>Brucella suis</w:t>
            </w:r>
          </w:p>
          <w:p w14:paraId="23425827" w14:textId="77777777" w:rsidR="00E52E4F" w:rsidRPr="00720B94" w:rsidRDefault="00E52E4F" w:rsidP="0092380E">
            <w:pPr>
              <w:pStyle w:val="ListParagraph"/>
              <w:numPr>
                <w:ilvl w:val="0"/>
                <w:numId w:val="64"/>
              </w:numPr>
              <w:spacing w:line="276" w:lineRule="auto"/>
              <w:rPr>
                <w:rFonts w:cs="Arial"/>
                <w:i/>
                <w:iCs/>
                <w:sz w:val="20"/>
                <w:szCs w:val="20"/>
              </w:rPr>
            </w:pPr>
            <w:proofErr w:type="spellStart"/>
            <w:r w:rsidRPr="00720B94">
              <w:rPr>
                <w:rFonts w:cs="Arial"/>
                <w:i/>
                <w:iCs/>
                <w:sz w:val="20"/>
                <w:szCs w:val="20"/>
              </w:rPr>
              <w:t>Burkholderia</w:t>
            </w:r>
            <w:proofErr w:type="spellEnd"/>
            <w:r w:rsidRPr="00720B94">
              <w:rPr>
                <w:rFonts w:cs="Arial"/>
                <w:i/>
                <w:iCs/>
                <w:sz w:val="20"/>
                <w:szCs w:val="20"/>
              </w:rPr>
              <w:t xml:space="preserve"> mallei</w:t>
            </w:r>
          </w:p>
        </w:tc>
        <w:tc>
          <w:tcPr>
            <w:tcW w:w="4500" w:type="dxa"/>
            <w:tcBorders>
              <w:left w:val="single" w:sz="4" w:space="0" w:color="FFFFFF" w:themeColor="background1"/>
            </w:tcBorders>
          </w:tcPr>
          <w:p w14:paraId="05BEC431" w14:textId="443E40A2" w:rsidR="00E52E4F" w:rsidRPr="00720B94" w:rsidRDefault="00E52E4F" w:rsidP="0092380E">
            <w:pPr>
              <w:pStyle w:val="ListParagraph"/>
              <w:numPr>
                <w:ilvl w:val="0"/>
                <w:numId w:val="64"/>
              </w:numPr>
              <w:spacing w:line="276" w:lineRule="auto"/>
              <w:rPr>
                <w:rFonts w:cs="Arial"/>
                <w:i/>
                <w:iCs/>
                <w:sz w:val="20"/>
                <w:szCs w:val="20"/>
              </w:rPr>
            </w:pPr>
            <w:proofErr w:type="spellStart"/>
            <w:r w:rsidRPr="00720B94">
              <w:rPr>
                <w:rFonts w:cs="Arial"/>
                <w:i/>
                <w:iCs/>
                <w:sz w:val="20"/>
                <w:szCs w:val="20"/>
              </w:rPr>
              <w:t>Burkholderia</w:t>
            </w:r>
            <w:proofErr w:type="spellEnd"/>
            <w:r w:rsidRPr="00720B94">
              <w:rPr>
                <w:rFonts w:cs="Arial"/>
                <w:i/>
                <w:iCs/>
                <w:sz w:val="20"/>
                <w:szCs w:val="20"/>
              </w:rPr>
              <w:t xml:space="preserve"> pseudomallei</w:t>
            </w:r>
          </w:p>
          <w:p w14:paraId="0223E575" w14:textId="56EC9815" w:rsidR="00E52E4F" w:rsidRPr="00720B94" w:rsidRDefault="00E52E4F" w:rsidP="0092380E">
            <w:pPr>
              <w:pStyle w:val="ListParagraph"/>
              <w:numPr>
                <w:ilvl w:val="0"/>
                <w:numId w:val="64"/>
              </w:numPr>
              <w:spacing w:line="276" w:lineRule="auto"/>
              <w:rPr>
                <w:rFonts w:cs="Arial"/>
                <w:sz w:val="20"/>
                <w:szCs w:val="20"/>
              </w:rPr>
            </w:pPr>
            <w:r w:rsidRPr="00720B94">
              <w:rPr>
                <w:rFonts w:cs="Arial"/>
                <w:sz w:val="20"/>
                <w:szCs w:val="20"/>
              </w:rPr>
              <w:t>Hendra virus</w:t>
            </w:r>
          </w:p>
          <w:p w14:paraId="7C5214CA" w14:textId="7021C682" w:rsidR="00E52E4F" w:rsidRPr="00720B94" w:rsidRDefault="00E52E4F" w:rsidP="0092380E">
            <w:pPr>
              <w:pStyle w:val="ListParagraph"/>
              <w:numPr>
                <w:ilvl w:val="0"/>
                <w:numId w:val="64"/>
              </w:numPr>
              <w:spacing w:line="276" w:lineRule="auto"/>
              <w:rPr>
                <w:rFonts w:cs="Arial"/>
                <w:sz w:val="20"/>
                <w:szCs w:val="20"/>
              </w:rPr>
            </w:pPr>
            <w:r w:rsidRPr="00720B94">
              <w:rPr>
                <w:rFonts w:cs="Arial"/>
                <w:sz w:val="20"/>
                <w:szCs w:val="20"/>
              </w:rPr>
              <w:t>Nipah virus</w:t>
            </w:r>
          </w:p>
          <w:p w14:paraId="059A24E6" w14:textId="5C942252" w:rsidR="00E52E4F" w:rsidRPr="00720B94" w:rsidRDefault="00E52E4F" w:rsidP="0092380E">
            <w:pPr>
              <w:pStyle w:val="ListParagraph"/>
              <w:numPr>
                <w:ilvl w:val="0"/>
                <w:numId w:val="64"/>
              </w:numPr>
              <w:spacing w:line="276" w:lineRule="auto"/>
              <w:rPr>
                <w:rFonts w:cs="Arial"/>
                <w:sz w:val="20"/>
                <w:szCs w:val="20"/>
              </w:rPr>
            </w:pPr>
            <w:r w:rsidRPr="00720B94">
              <w:rPr>
                <w:rFonts w:cs="Arial"/>
                <w:sz w:val="20"/>
                <w:szCs w:val="20"/>
              </w:rPr>
              <w:t>Rift Valley fever virus</w:t>
            </w:r>
          </w:p>
          <w:p w14:paraId="77A8FCD6" w14:textId="05865237" w:rsidR="00E52E4F" w:rsidRPr="00720B94" w:rsidRDefault="00E52E4F" w:rsidP="0092380E">
            <w:pPr>
              <w:pStyle w:val="ListParagraph"/>
              <w:numPr>
                <w:ilvl w:val="0"/>
                <w:numId w:val="64"/>
              </w:numPr>
              <w:spacing w:line="276" w:lineRule="auto"/>
              <w:rPr>
                <w:rFonts w:cs="Arial"/>
                <w:sz w:val="20"/>
                <w:szCs w:val="20"/>
              </w:rPr>
            </w:pPr>
            <w:r w:rsidRPr="00720B94">
              <w:rPr>
                <w:rFonts w:cs="Arial"/>
                <w:sz w:val="20"/>
                <w:szCs w:val="20"/>
              </w:rPr>
              <w:t>Venezuelan equine encephalitis virus</w:t>
            </w:r>
          </w:p>
        </w:tc>
      </w:tr>
      <w:tr w:rsidR="006A3F12" w:rsidRPr="00720B94" w14:paraId="4A3FEE90" w14:textId="77777777" w:rsidTr="006A3F12">
        <w:tc>
          <w:tcPr>
            <w:tcW w:w="2250" w:type="dxa"/>
          </w:tcPr>
          <w:p w14:paraId="61CAE186" w14:textId="4F6BF6EC" w:rsidR="006A3F12" w:rsidRPr="00720B94" w:rsidRDefault="006A3F12" w:rsidP="00720B94">
            <w:pPr>
              <w:spacing w:line="276" w:lineRule="auto"/>
              <w:rPr>
                <w:rFonts w:cs="Arial"/>
                <w:sz w:val="20"/>
                <w:szCs w:val="20"/>
              </w:rPr>
            </w:pPr>
            <w:r w:rsidRPr="00720B94">
              <w:rPr>
                <w:rFonts w:cs="Arial"/>
                <w:sz w:val="20"/>
                <w:szCs w:val="20"/>
              </w:rPr>
              <w:t>USDA Veterinary Services (VS) Select Agents and Toxins</w:t>
            </w:r>
          </w:p>
        </w:tc>
        <w:tc>
          <w:tcPr>
            <w:tcW w:w="4500" w:type="dxa"/>
            <w:tcBorders>
              <w:right w:val="single" w:sz="4" w:space="0" w:color="FFFFFF" w:themeColor="background1"/>
            </w:tcBorders>
          </w:tcPr>
          <w:p w14:paraId="5B0531AC" w14:textId="77777777" w:rsidR="006A3F12" w:rsidRPr="00720B94" w:rsidRDefault="006A3F12" w:rsidP="0092380E">
            <w:pPr>
              <w:pStyle w:val="ListParagraph"/>
              <w:numPr>
                <w:ilvl w:val="0"/>
                <w:numId w:val="64"/>
              </w:numPr>
              <w:spacing w:line="276" w:lineRule="auto"/>
              <w:rPr>
                <w:rFonts w:cs="Arial"/>
                <w:sz w:val="20"/>
                <w:szCs w:val="20"/>
              </w:rPr>
            </w:pPr>
            <w:r w:rsidRPr="00720B94">
              <w:rPr>
                <w:rFonts w:cs="Arial"/>
                <w:sz w:val="20"/>
                <w:szCs w:val="20"/>
              </w:rPr>
              <w:t>African horse sickness virus</w:t>
            </w:r>
          </w:p>
          <w:p w14:paraId="6574A148" w14:textId="175C7CCB" w:rsidR="006A3F12" w:rsidRPr="00720B94" w:rsidRDefault="006A3F12" w:rsidP="0092380E">
            <w:pPr>
              <w:pStyle w:val="ListParagraph"/>
              <w:numPr>
                <w:ilvl w:val="0"/>
                <w:numId w:val="64"/>
              </w:numPr>
              <w:spacing w:line="276" w:lineRule="auto"/>
              <w:rPr>
                <w:rFonts w:cs="Arial"/>
                <w:sz w:val="20"/>
                <w:szCs w:val="20"/>
              </w:rPr>
            </w:pPr>
            <w:r w:rsidRPr="00720B94">
              <w:rPr>
                <w:rFonts w:cs="Arial"/>
                <w:sz w:val="20"/>
                <w:szCs w:val="20"/>
              </w:rPr>
              <w:t>African swine fever virus</w:t>
            </w:r>
          </w:p>
          <w:p w14:paraId="58509DF6" w14:textId="7C1006F6" w:rsidR="006A3F12" w:rsidRPr="00720B94" w:rsidRDefault="006A3F12" w:rsidP="0092380E">
            <w:pPr>
              <w:pStyle w:val="ListParagraph"/>
              <w:numPr>
                <w:ilvl w:val="0"/>
                <w:numId w:val="64"/>
              </w:numPr>
              <w:spacing w:line="276" w:lineRule="auto"/>
              <w:rPr>
                <w:rFonts w:cs="Arial"/>
                <w:sz w:val="20"/>
                <w:szCs w:val="20"/>
              </w:rPr>
            </w:pPr>
            <w:r w:rsidRPr="00720B94">
              <w:rPr>
                <w:rFonts w:cs="Arial"/>
                <w:sz w:val="20"/>
                <w:szCs w:val="20"/>
              </w:rPr>
              <w:t>Avian influenza virus [this is included here as a veterinary select agent in 9 CFR 121.3. Low pathogenicity strains are excluded.]</w:t>
            </w:r>
          </w:p>
          <w:p w14:paraId="5DC728CD" w14:textId="6A00527D" w:rsidR="006A3F12" w:rsidRPr="00720B94" w:rsidRDefault="006A3F12" w:rsidP="0092380E">
            <w:pPr>
              <w:pStyle w:val="ListParagraph"/>
              <w:numPr>
                <w:ilvl w:val="0"/>
                <w:numId w:val="64"/>
              </w:numPr>
              <w:spacing w:line="276" w:lineRule="auto"/>
              <w:rPr>
                <w:rFonts w:cs="Arial"/>
                <w:sz w:val="20"/>
                <w:szCs w:val="20"/>
              </w:rPr>
            </w:pPr>
            <w:r w:rsidRPr="00720B94">
              <w:rPr>
                <w:rFonts w:cs="Arial"/>
                <w:sz w:val="20"/>
                <w:szCs w:val="20"/>
              </w:rPr>
              <w:t>Classical swine fever virus</w:t>
            </w:r>
          </w:p>
          <w:p w14:paraId="7528AD97" w14:textId="1832BECC" w:rsidR="006A3F12" w:rsidRPr="00720B94" w:rsidRDefault="006A3F12" w:rsidP="0092380E">
            <w:pPr>
              <w:pStyle w:val="ListParagraph"/>
              <w:numPr>
                <w:ilvl w:val="0"/>
                <w:numId w:val="64"/>
              </w:numPr>
              <w:spacing w:line="276" w:lineRule="auto"/>
              <w:rPr>
                <w:rFonts w:cs="Arial"/>
                <w:sz w:val="20"/>
                <w:szCs w:val="20"/>
              </w:rPr>
            </w:pPr>
            <w:r w:rsidRPr="00720B94">
              <w:rPr>
                <w:rFonts w:cs="Arial"/>
                <w:sz w:val="20"/>
                <w:szCs w:val="20"/>
              </w:rPr>
              <w:t>Foot-and-mouth disease virus</w:t>
            </w:r>
          </w:p>
          <w:p w14:paraId="59139D3F" w14:textId="6153738D" w:rsidR="006A3F12" w:rsidRPr="00720B94" w:rsidRDefault="006A3F12" w:rsidP="0092380E">
            <w:pPr>
              <w:pStyle w:val="ListParagraph"/>
              <w:numPr>
                <w:ilvl w:val="0"/>
                <w:numId w:val="64"/>
              </w:numPr>
              <w:spacing w:line="276" w:lineRule="auto"/>
              <w:rPr>
                <w:rFonts w:cs="Arial"/>
                <w:sz w:val="20"/>
                <w:szCs w:val="20"/>
              </w:rPr>
            </w:pPr>
            <w:r w:rsidRPr="00720B94">
              <w:rPr>
                <w:rFonts w:cs="Arial"/>
                <w:sz w:val="20"/>
                <w:szCs w:val="20"/>
              </w:rPr>
              <w:t>Goat pox virus</w:t>
            </w:r>
          </w:p>
          <w:p w14:paraId="33F48D7D" w14:textId="77777777" w:rsidR="006A3F12" w:rsidRPr="00720B94" w:rsidRDefault="006A3F12" w:rsidP="0092380E">
            <w:pPr>
              <w:pStyle w:val="ListParagraph"/>
              <w:numPr>
                <w:ilvl w:val="0"/>
                <w:numId w:val="64"/>
              </w:numPr>
              <w:spacing w:line="276" w:lineRule="auto"/>
              <w:rPr>
                <w:rFonts w:cs="Arial"/>
                <w:sz w:val="20"/>
                <w:szCs w:val="20"/>
              </w:rPr>
            </w:pPr>
            <w:r w:rsidRPr="00720B94">
              <w:rPr>
                <w:rFonts w:cs="Arial"/>
                <w:sz w:val="20"/>
                <w:szCs w:val="20"/>
              </w:rPr>
              <w:t>Lumpy skin disease virus</w:t>
            </w:r>
          </w:p>
        </w:tc>
        <w:tc>
          <w:tcPr>
            <w:tcW w:w="4500" w:type="dxa"/>
            <w:tcBorders>
              <w:left w:val="single" w:sz="4" w:space="0" w:color="FFFFFF" w:themeColor="background1"/>
            </w:tcBorders>
          </w:tcPr>
          <w:p w14:paraId="565AD5F5" w14:textId="5A817864" w:rsidR="006A3F12" w:rsidRPr="00720B94" w:rsidRDefault="006A3F12" w:rsidP="0092380E">
            <w:pPr>
              <w:pStyle w:val="ListParagraph"/>
              <w:numPr>
                <w:ilvl w:val="0"/>
                <w:numId w:val="64"/>
              </w:numPr>
              <w:spacing w:line="276" w:lineRule="auto"/>
              <w:rPr>
                <w:rFonts w:cs="Arial"/>
                <w:i/>
                <w:iCs/>
                <w:sz w:val="20"/>
                <w:szCs w:val="20"/>
              </w:rPr>
            </w:pPr>
            <w:r w:rsidRPr="00720B94">
              <w:rPr>
                <w:rFonts w:cs="Arial"/>
                <w:i/>
                <w:iCs/>
                <w:sz w:val="20"/>
                <w:szCs w:val="20"/>
              </w:rPr>
              <w:t xml:space="preserve">Mycoplasma </w:t>
            </w:r>
            <w:proofErr w:type="spellStart"/>
            <w:r w:rsidRPr="00720B94">
              <w:rPr>
                <w:rFonts w:cs="Arial"/>
                <w:i/>
                <w:iCs/>
                <w:sz w:val="20"/>
                <w:szCs w:val="20"/>
              </w:rPr>
              <w:t>capricolum</w:t>
            </w:r>
            <w:proofErr w:type="spellEnd"/>
          </w:p>
          <w:p w14:paraId="1E82A442" w14:textId="0F373F52" w:rsidR="006A3F12" w:rsidRPr="00720B94" w:rsidRDefault="006A3F12" w:rsidP="0092380E">
            <w:pPr>
              <w:pStyle w:val="ListParagraph"/>
              <w:numPr>
                <w:ilvl w:val="0"/>
                <w:numId w:val="64"/>
              </w:numPr>
              <w:spacing w:line="276" w:lineRule="auto"/>
              <w:rPr>
                <w:rFonts w:cs="Arial"/>
                <w:i/>
                <w:iCs/>
                <w:sz w:val="20"/>
                <w:szCs w:val="20"/>
              </w:rPr>
            </w:pPr>
            <w:r w:rsidRPr="00720B94">
              <w:rPr>
                <w:rFonts w:cs="Arial"/>
                <w:i/>
                <w:iCs/>
                <w:sz w:val="20"/>
                <w:szCs w:val="20"/>
              </w:rPr>
              <w:t>Mycoplasma mycoides</w:t>
            </w:r>
          </w:p>
          <w:p w14:paraId="0FCE598A" w14:textId="0E45D27D" w:rsidR="006A3F12" w:rsidRPr="00720B94" w:rsidRDefault="006A3F12" w:rsidP="0092380E">
            <w:pPr>
              <w:pStyle w:val="ListParagraph"/>
              <w:numPr>
                <w:ilvl w:val="0"/>
                <w:numId w:val="64"/>
              </w:numPr>
              <w:spacing w:line="276" w:lineRule="auto"/>
              <w:rPr>
                <w:rFonts w:cs="Arial"/>
                <w:sz w:val="20"/>
                <w:szCs w:val="20"/>
              </w:rPr>
            </w:pPr>
            <w:r w:rsidRPr="00720B94">
              <w:rPr>
                <w:rFonts w:cs="Arial"/>
                <w:sz w:val="20"/>
                <w:szCs w:val="20"/>
              </w:rPr>
              <w:t>Newcastle disease virus</w:t>
            </w:r>
          </w:p>
          <w:p w14:paraId="15B06A53" w14:textId="57F0AB7C" w:rsidR="006A3F12" w:rsidRPr="00720B94" w:rsidRDefault="006A3F12" w:rsidP="0092380E">
            <w:pPr>
              <w:pStyle w:val="ListParagraph"/>
              <w:numPr>
                <w:ilvl w:val="0"/>
                <w:numId w:val="64"/>
              </w:numPr>
              <w:spacing w:line="276" w:lineRule="auto"/>
              <w:rPr>
                <w:rFonts w:cs="Arial"/>
                <w:sz w:val="20"/>
                <w:szCs w:val="20"/>
              </w:rPr>
            </w:pPr>
            <w:proofErr w:type="spellStart"/>
            <w:r w:rsidRPr="00720B94">
              <w:rPr>
                <w:rFonts w:cs="Arial"/>
                <w:sz w:val="20"/>
                <w:szCs w:val="20"/>
              </w:rPr>
              <w:t>Peste</w:t>
            </w:r>
            <w:proofErr w:type="spellEnd"/>
            <w:r w:rsidRPr="00720B94">
              <w:rPr>
                <w:rFonts w:cs="Arial"/>
                <w:sz w:val="20"/>
                <w:szCs w:val="20"/>
              </w:rPr>
              <w:t xml:space="preserve"> des petits </w:t>
            </w:r>
            <w:proofErr w:type="gramStart"/>
            <w:r w:rsidRPr="00720B94">
              <w:rPr>
                <w:rFonts w:cs="Arial"/>
                <w:sz w:val="20"/>
                <w:szCs w:val="20"/>
              </w:rPr>
              <w:t>ruminants</w:t>
            </w:r>
            <w:proofErr w:type="gramEnd"/>
            <w:r w:rsidRPr="00720B94">
              <w:rPr>
                <w:rFonts w:cs="Arial"/>
                <w:sz w:val="20"/>
                <w:szCs w:val="20"/>
              </w:rPr>
              <w:t xml:space="preserve"> virus</w:t>
            </w:r>
          </w:p>
          <w:p w14:paraId="0C93C844" w14:textId="3642E136" w:rsidR="006A3F12" w:rsidRPr="00720B94" w:rsidRDefault="006A3F12" w:rsidP="0092380E">
            <w:pPr>
              <w:pStyle w:val="ListParagraph"/>
              <w:numPr>
                <w:ilvl w:val="0"/>
                <w:numId w:val="64"/>
              </w:numPr>
              <w:spacing w:line="276" w:lineRule="auto"/>
              <w:rPr>
                <w:rFonts w:cs="Arial"/>
                <w:sz w:val="20"/>
                <w:szCs w:val="20"/>
              </w:rPr>
            </w:pPr>
            <w:r w:rsidRPr="00720B94">
              <w:rPr>
                <w:rFonts w:cs="Arial"/>
                <w:sz w:val="20"/>
                <w:szCs w:val="20"/>
              </w:rPr>
              <w:t>Rinderpest virus</w:t>
            </w:r>
          </w:p>
          <w:p w14:paraId="08E169EC" w14:textId="3AC93896" w:rsidR="006A3F12" w:rsidRPr="00720B94" w:rsidRDefault="006A3F12" w:rsidP="0092380E">
            <w:pPr>
              <w:pStyle w:val="ListParagraph"/>
              <w:numPr>
                <w:ilvl w:val="0"/>
                <w:numId w:val="64"/>
              </w:numPr>
              <w:spacing w:line="276" w:lineRule="auto"/>
              <w:rPr>
                <w:rFonts w:cs="Arial"/>
                <w:sz w:val="20"/>
                <w:szCs w:val="20"/>
              </w:rPr>
            </w:pPr>
            <w:r w:rsidRPr="00720B94">
              <w:rPr>
                <w:rFonts w:cs="Arial"/>
                <w:sz w:val="20"/>
                <w:szCs w:val="20"/>
              </w:rPr>
              <w:t>Sheep pox virus</w:t>
            </w:r>
          </w:p>
          <w:p w14:paraId="3F3AB509" w14:textId="4AA94AE4" w:rsidR="006A3F12" w:rsidRPr="00720B94" w:rsidRDefault="006A3F12" w:rsidP="0092380E">
            <w:pPr>
              <w:pStyle w:val="ListParagraph"/>
              <w:numPr>
                <w:ilvl w:val="0"/>
                <w:numId w:val="64"/>
              </w:numPr>
              <w:spacing w:line="276" w:lineRule="auto"/>
              <w:rPr>
                <w:rFonts w:cs="Arial"/>
                <w:sz w:val="20"/>
                <w:szCs w:val="20"/>
              </w:rPr>
            </w:pPr>
            <w:r w:rsidRPr="00720B94">
              <w:rPr>
                <w:rFonts w:cs="Arial"/>
                <w:sz w:val="20"/>
                <w:szCs w:val="20"/>
              </w:rPr>
              <w:t>Swine vesicular disease virus</w:t>
            </w:r>
          </w:p>
        </w:tc>
      </w:tr>
      <w:tr w:rsidR="006A3F12" w:rsidRPr="00720B94" w14:paraId="48C81305" w14:textId="77777777" w:rsidTr="006A3F12">
        <w:tc>
          <w:tcPr>
            <w:tcW w:w="2250" w:type="dxa"/>
          </w:tcPr>
          <w:p w14:paraId="0CF18B22" w14:textId="4F2BE4C2" w:rsidR="006A3F12" w:rsidRPr="00720B94" w:rsidRDefault="006A3F12" w:rsidP="00720B94">
            <w:pPr>
              <w:spacing w:line="276" w:lineRule="auto"/>
              <w:rPr>
                <w:rFonts w:cs="Arial"/>
                <w:sz w:val="20"/>
                <w:szCs w:val="20"/>
              </w:rPr>
            </w:pPr>
            <w:r w:rsidRPr="00720B94">
              <w:rPr>
                <w:rFonts w:cs="Arial"/>
                <w:sz w:val="20"/>
                <w:szCs w:val="20"/>
              </w:rPr>
              <w:t xml:space="preserve">USDA Plant Protection and Quarantine (PPQ) Select Agents and Toxins </w:t>
            </w:r>
          </w:p>
        </w:tc>
        <w:tc>
          <w:tcPr>
            <w:tcW w:w="4500" w:type="dxa"/>
            <w:tcBorders>
              <w:right w:val="single" w:sz="4" w:space="0" w:color="FFFFFF" w:themeColor="background1"/>
            </w:tcBorders>
          </w:tcPr>
          <w:p w14:paraId="15F11F06" w14:textId="77777777" w:rsidR="006A3F12" w:rsidRPr="00720B94" w:rsidRDefault="006A3F12" w:rsidP="0092380E">
            <w:pPr>
              <w:pStyle w:val="ListParagraph"/>
              <w:numPr>
                <w:ilvl w:val="0"/>
                <w:numId w:val="64"/>
              </w:numPr>
              <w:spacing w:line="276" w:lineRule="auto"/>
              <w:rPr>
                <w:rFonts w:cs="Arial"/>
                <w:i/>
                <w:iCs/>
                <w:sz w:val="20"/>
                <w:szCs w:val="20"/>
              </w:rPr>
            </w:pPr>
            <w:proofErr w:type="spellStart"/>
            <w:r w:rsidRPr="00720B94">
              <w:rPr>
                <w:rFonts w:cs="Arial"/>
                <w:i/>
                <w:iCs/>
                <w:sz w:val="20"/>
                <w:szCs w:val="20"/>
              </w:rPr>
              <w:t>Coniothyrium</w:t>
            </w:r>
            <w:proofErr w:type="spellEnd"/>
            <w:r w:rsidRPr="00720B94">
              <w:rPr>
                <w:rFonts w:cs="Arial"/>
                <w:i/>
                <w:iCs/>
                <w:sz w:val="20"/>
                <w:szCs w:val="20"/>
              </w:rPr>
              <w:t xml:space="preserve"> </w:t>
            </w:r>
            <w:proofErr w:type="spellStart"/>
            <w:r w:rsidRPr="00720B94">
              <w:rPr>
                <w:rFonts w:cs="Arial"/>
                <w:i/>
                <w:iCs/>
                <w:sz w:val="20"/>
                <w:szCs w:val="20"/>
              </w:rPr>
              <w:t>glycines</w:t>
            </w:r>
            <w:proofErr w:type="spellEnd"/>
            <w:r w:rsidRPr="00720B94">
              <w:rPr>
                <w:rFonts w:cs="Arial"/>
                <w:i/>
                <w:iCs/>
                <w:sz w:val="20"/>
                <w:szCs w:val="20"/>
              </w:rPr>
              <w:t xml:space="preserve"> </w:t>
            </w:r>
          </w:p>
          <w:p w14:paraId="3DEBEFC1" w14:textId="77777777" w:rsidR="006A3F12" w:rsidRPr="00720B94" w:rsidRDefault="006A3F12" w:rsidP="0092380E">
            <w:pPr>
              <w:pStyle w:val="ListParagraph"/>
              <w:numPr>
                <w:ilvl w:val="0"/>
                <w:numId w:val="64"/>
              </w:numPr>
              <w:spacing w:line="276" w:lineRule="auto"/>
              <w:rPr>
                <w:rFonts w:cs="Arial"/>
                <w:i/>
                <w:iCs/>
                <w:sz w:val="20"/>
                <w:szCs w:val="20"/>
              </w:rPr>
            </w:pPr>
            <w:proofErr w:type="spellStart"/>
            <w:r w:rsidRPr="00720B94">
              <w:rPr>
                <w:rFonts w:cs="Arial"/>
                <w:i/>
                <w:iCs/>
                <w:sz w:val="20"/>
                <w:szCs w:val="20"/>
              </w:rPr>
              <w:t>Peronosclerospora</w:t>
            </w:r>
            <w:proofErr w:type="spellEnd"/>
            <w:r w:rsidRPr="00720B94">
              <w:rPr>
                <w:rFonts w:cs="Arial"/>
                <w:i/>
                <w:iCs/>
                <w:sz w:val="20"/>
                <w:szCs w:val="20"/>
              </w:rPr>
              <w:t xml:space="preserve"> </w:t>
            </w:r>
            <w:proofErr w:type="spellStart"/>
            <w:r w:rsidRPr="00720B94">
              <w:rPr>
                <w:rFonts w:cs="Arial"/>
                <w:i/>
                <w:iCs/>
                <w:sz w:val="20"/>
                <w:szCs w:val="20"/>
              </w:rPr>
              <w:t>philippinensis</w:t>
            </w:r>
            <w:proofErr w:type="spellEnd"/>
            <w:r w:rsidRPr="00720B94">
              <w:rPr>
                <w:rFonts w:cs="Arial"/>
                <w:i/>
                <w:iCs/>
                <w:sz w:val="20"/>
                <w:szCs w:val="20"/>
              </w:rPr>
              <w:t xml:space="preserve"> (</w:t>
            </w:r>
            <w:proofErr w:type="spellStart"/>
            <w:r w:rsidRPr="00720B94">
              <w:rPr>
                <w:rFonts w:cs="Arial"/>
                <w:i/>
                <w:iCs/>
                <w:sz w:val="20"/>
                <w:szCs w:val="20"/>
              </w:rPr>
              <w:t>Peronosclerospora</w:t>
            </w:r>
            <w:proofErr w:type="spellEnd"/>
            <w:r w:rsidRPr="00720B94">
              <w:rPr>
                <w:rFonts w:cs="Arial"/>
                <w:i/>
                <w:iCs/>
                <w:sz w:val="20"/>
                <w:szCs w:val="20"/>
              </w:rPr>
              <w:t xml:space="preserve"> </w:t>
            </w:r>
            <w:proofErr w:type="spellStart"/>
            <w:r w:rsidRPr="00720B94">
              <w:rPr>
                <w:rFonts w:cs="Arial"/>
                <w:i/>
                <w:iCs/>
                <w:sz w:val="20"/>
                <w:szCs w:val="20"/>
              </w:rPr>
              <w:t>sacchari</w:t>
            </w:r>
            <w:proofErr w:type="spellEnd"/>
            <w:r w:rsidRPr="00720B94">
              <w:rPr>
                <w:rFonts w:cs="Arial"/>
                <w:i/>
                <w:iCs/>
                <w:sz w:val="20"/>
                <w:szCs w:val="20"/>
              </w:rPr>
              <w:t xml:space="preserve">) </w:t>
            </w:r>
          </w:p>
          <w:p w14:paraId="549C03B6" w14:textId="789D1999" w:rsidR="006A3F12" w:rsidRPr="00720B94" w:rsidRDefault="006A3F12" w:rsidP="0092380E">
            <w:pPr>
              <w:pStyle w:val="ListParagraph"/>
              <w:numPr>
                <w:ilvl w:val="0"/>
                <w:numId w:val="64"/>
              </w:numPr>
              <w:spacing w:line="276" w:lineRule="auto"/>
              <w:rPr>
                <w:rFonts w:cs="Arial"/>
                <w:i/>
                <w:iCs/>
                <w:sz w:val="20"/>
                <w:szCs w:val="20"/>
              </w:rPr>
            </w:pPr>
            <w:proofErr w:type="spellStart"/>
            <w:r w:rsidRPr="00720B94">
              <w:rPr>
                <w:rFonts w:cs="Arial"/>
                <w:i/>
                <w:iCs/>
                <w:sz w:val="20"/>
                <w:szCs w:val="20"/>
              </w:rPr>
              <w:t>Ralstonia</w:t>
            </w:r>
            <w:proofErr w:type="spellEnd"/>
            <w:r w:rsidRPr="00720B94">
              <w:rPr>
                <w:rFonts w:cs="Arial"/>
                <w:i/>
                <w:iCs/>
                <w:sz w:val="20"/>
                <w:szCs w:val="20"/>
              </w:rPr>
              <w:t xml:space="preserve"> solanacearum </w:t>
            </w:r>
          </w:p>
          <w:p w14:paraId="1314D5DE" w14:textId="77777777" w:rsidR="006A3F12" w:rsidRPr="00720B94" w:rsidRDefault="006A3F12" w:rsidP="0092380E">
            <w:pPr>
              <w:pStyle w:val="ListParagraph"/>
              <w:numPr>
                <w:ilvl w:val="0"/>
                <w:numId w:val="64"/>
              </w:numPr>
              <w:spacing w:line="276" w:lineRule="auto"/>
              <w:rPr>
                <w:rFonts w:cs="Arial"/>
                <w:i/>
                <w:iCs/>
                <w:sz w:val="20"/>
                <w:szCs w:val="20"/>
              </w:rPr>
            </w:pPr>
            <w:proofErr w:type="spellStart"/>
            <w:r w:rsidRPr="00720B94">
              <w:rPr>
                <w:rFonts w:cs="Arial"/>
                <w:i/>
                <w:iCs/>
                <w:sz w:val="20"/>
                <w:szCs w:val="20"/>
              </w:rPr>
              <w:lastRenderedPageBreak/>
              <w:t>Rathayibacter</w:t>
            </w:r>
            <w:proofErr w:type="spellEnd"/>
            <w:r w:rsidRPr="00720B94">
              <w:rPr>
                <w:rFonts w:cs="Arial"/>
                <w:i/>
                <w:iCs/>
                <w:sz w:val="20"/>
                <w:szCs w:val="20"/>
              </w:rPr>
              <w:t xml:space="preserve"> </w:t>
            </w:r>
            <w:proofErr w:type="spellStart"/>
            <w:r w:rsidRPr="00720B94">
              <w:rPr>
                <w:rFonts w:cs="Arial"/>
                <w:i/>
                <w:iCs/>
                <w:sz w:val="20"/>
                <w:szCs w:val="20"/>
              </w:rPr>
              <w:t>toxicus</w:t>
            </w:r>
            <w:proofErr w:type="spellEnd"/>
            <w:r w:rsidRPr="00720B94">
              <w:rPr>
                <w:rFonts w:cs="Arial"/>
                <w:i/>
                <w:iCs/>
                <w:sz w:val="20"/>
                <w:szCs w:val="20"/>
              </w:rPr>
              <w:t xml:space="preserve"> </w:t>
            </w:r>
          </w:p>
        </w:tc>
        <w:tc>
          <w:tcPr>
            <w:tcW w:w="4500" w:type="dxa"/>
            <w:tcBorders>
              <w:left w:val="single" w:sz="4" w:space="0" w:color="FFFFFF" w:themeColor="background1"/>
            </w:tcBorders>
          </w:tcPr>
          <w:p w14:paraId="47228607" w14:textId="506D7B02" w:rsidR="006A3F12" w:rsidRPr="00720B94" w:rsidRDefault="006A3F12" w:rsidP="0092380E">
            <w:pPr>
              <w:pStyle w:val="ListParagraph"/>
              <w:numPr>
                <w:ilvl w:val="0"/>
                <w:numId w:val="64"/>
              </w:numPr>
              <w:spacing w:line="276" w:lineRule="auto"/>
              <w:rPr>
                <w:rFonts w:cs="Arial"/>
                <w:i/>
                <w:iCs/>
                <w:sz w:val="20"/>
                <w:szCs w:val="20"/>
              </w:rPr>
            </w:pPr>
            <w:proofErr w:type="spellStart"/>
            <w:r w:rsidRPr="00720B94">
              <w:rPr>
                <w:rFonts w:cs="Arial"/>
                <w:i/>
                <w:iCs/>
                <w:sz w:val="20"/>
                <w:szCs w:val="20"/>
              </w:rPr>
              <w:lastRenderedPageBreak/>
              <w:t>Sclerophthora</w:t>
            </w:r>
            <w:proofErr w:type="spellEnd"/>
            <w:r w:rsidRPr="00720B94">
              <w:rPr>
                <w:rFonts w:cs="Arial"/>
                <w:i/>
                <w:iCs/>
                <w:sz w:val="20"/>
                <w:szCs w:val="20"/>
              </w:rPr>
              <w:t xml:space="preserve"> </w:t>
            </w:r>
            <w:proofErr w:type="spellStart"/>
            <w:r w:rsidRPr="00720B94">
              <w:rPr>
                <w:rFonts w:cs="Arial"/>
                <w:i/>
                <w:iCs/>
                <w:sz w:val="20"/>
                <w:szCs w:val="20"/>
              </w:rPr>
              <w:t>rayssiae</w:t>
            </w:r>
            <w:proofErr w:type="spellEnd"/>
            <w:r w:rsidRPr="00720B94">
              <w:rPr>
                <w:rFonts w:cs="Arial"/>
                <w:i/>
                <w:iCs/>
                <w:sz w:val="20"/>
                <w:szCs w:val="20"/>
              </w:rPr>
              <w:t xml:space="preserve"> </w:t>
            </w:r>
          </w:p>
          <w:p w14:paraId="127CA5B2" w14:textId="425F398D" w:rsidR="006A3F12" w:rsidRPr="00720B94" w:rsidRDefault="006A3F12" w:rsidP="0092380E">
            <w:pPr>
              <w:pStyle w:val="ListParagraph"/>
              <w:numPr>
                <w:ilvl w:val="0"/>
                <w:numId w:val="64"/>
              </w:numPr>
              <w:spacing w:line="276" w:lineRule="auto"/>
              <w:rPr>
                <w:rFonts w:cs="Arial"/>
                <w:i/>
                <w:iCs/>
                <w:sz w:val="20"/>
                <w:szCs w:val="20"/>
              </w:rPr>
            </w:pPr>
            <w:proofErr w:type="spellStart"/>
            <w:r w:rsidRPr="00720B94">
              <w:rPr>
                <w:rFonts w:cs="Arial"/>
                <w:i/>
                <w:iCs/>
                <w:sz w:val="20"/>
                <w:szCs w:val="20"/>
              </w:rPr>
              <w:t>Synchytrium</w:t>
            </w:r>
            <w:proofErr w:type="spellEnd"/>
            <w:r w:rsidRPr="00720B94">
              <w:rPr>
                <w:rFonts w:cs="Arial"/>
                <w:i/>
                <w:iCs/>
                <w:sz w:val="20"/>
                <w:szCs w:val="20"/>
              </w:rPr>
              <w:t xml:space="preserve"> </w:t>
            </w:r>
            <w:proofErr w:type="spellStart"/>
            <w:r w:rsidRPr="00720B94">
              <w:rPr>
                <w:rFonts w:cs="Arial"/>
                <w:i/>
                <w:iCs/>
                <w:sz w:val="20"/>
                <w:szCs w:val="20"/>
              </w:rPr>
              <w:t>endobioticum</w:t>
            </w:r>
            <w:proofErr w:type="spellEnd"/>
            <w:r w:rsidRPr="00720B94">
              <w:rPr>
                <w:rFonts w:cs="Arial"/>
                <w:i/>
                <w:iCs/>
                <w:sz w:val="20"/>
                <w:szCs w:val="20"/>
              </w:rPr>
              <w:t xml:space="preserve"> </w:t>
            </w:r>
          </w:p>
          <w:p w14:paraId="29735672" w14:textId="6F96C91B" w:rsidR="006A3F12" w:rsidRPr="00720B94" w:rsidRDefault="006A3F12" w:rsidP="0092380E">
            <w:pPr>
              <w:pStyle w:val="ListParagraph"/>
              <w:numPr>
                <w:ilvl w:val="0"/>
                <w:numId w:val="64"/>
              </w:numPr>
              <w:spacing w:line="276" w:lineRule="auto"/>
              <w:rPr>
                <w:rFonts w:cs="Arial"/>
                <w:sz w:val="20"/>
                <w:szCs w:val="20"/>
              </w:rPr>
            </w:pPr>
            <w:r w:rsidRPr="00720B94">
              <w:rPr>
                <w:rFonts w:cs="Arial"/>
                <w:i/>
                <w:iCs/>
                <w:sz w:val="20"/>
                <w:szCs w:val="20"/>
              </w:rPr>
              <w:t>Xanthomonas oryzae</w:t>
            </w:r>
            <w:r w:rsidRPr="00720B94">
              <w:rPr>
                <w:rFonts w:cs="Arial"/>
                <w:sz w:val="20"/>
                <w:szCs w:val="20"/>
              </w:rPr>
              <w:t xml:space="preserve"> </w:t>
            </w:r>
          </w:p>
        </w:tc>
      </w:tr>
      <w:tr w:rsidR="00DC26BC" w:rsidRPr="00720B94" w14:paraId="4F27B124" w14:textId="77777777" w:rsidTr="00764B2E">
        <w:tc>
          <w:tcPr>
            <w:tcW w:w="2250" w:type="dxa"/>
          </w:tcPr>
          <w:p w14:paraId="11AFF16B" w14:textId="625D4D14" w:rsidR="00DC26BC" w:rsidRPr="00720B94" w:rsidRDefault="009E261C" w:rsidP="00720B94">
            <w:pPr>
              <w:spacing w:line="276" w:lineRule="auto"/>
              <w:rPr>
                <w:rFonts w:cs="Arial"/>
                <w:sz w:val="20"/>
                <w:szCs w:val="20"/>
              </w:rPr>
            </w:pPr>
            <w:r w:rsidRPr="00720B94">
              <w:rPr>
                <w:rFonts w:cs="Arial"/>
                <w:sz w:val="20"/>
                <w:szCs w:val="20"/>
              </w:rPr>
              <w:t>Other Risk Group 4 Pathogens</w:t>
            </w:r>
            <w:r w:rsidR="004B2276" w:rsidRPr="00720B94">
              <w:rPr>
                <w:rFonts w:cs="Arial"/>
                <w:sz w:val="20"/>
                <w:szCs w:val="20"/>
                <w:vertAlign w:val="superscript"/>
              </w:rPr>
              <w:t>2</w:t>
            </w:r>
          </w:p>
        </w:tc>
        <w:tc>
          <w:tcPr>
            <w:tcW w:w="9000" w:type="dxa"/>
            <w:gridSpan w:val="2"/>
          </w:tcPr>
          <w:p w14:paraId="3212668F" w14:textId="77777777" w:rsidR="004B2276" w:rsidRPr="00720B94" w:rsidRDefault="004B2276" w:rsidP="0092380E">
            <w:pPr>
              <w:pStyle w:val="ListParagraph"/>
              <w:numPr>
                <w:ilvl w:val="0"/>
                <w:numId w:val="65"/>
              </w:numPr>
              <w:spacing w:line="276" w:lineRule="auto"/>
              <w:rPr>
                <w:rFonts w:cs="Arial"/>
                <w:sz w:val="20"/>
                <w:szCs w:val="20"/>
              </w:rPr>
            </w:pPr>
            <w:r w:rsidRPr="00720B94">
              <w:rPr>
                <w:rFonts w:cs="Arial"/>
                <w:sz w:val="20"/>
                <w:szCs w:val="20"/>
              </w:rPr>
              <w:t xml:space="preserve">Tick-borne encephalitis virus complex including </w:t>
            </w:r>
            <w:proofErr w:type="spellStart"/>
            <w:r w:rsidRPr="00720B94">
              <w:rPr>
                <w:rFonts w:cs="Arial"/>
                <w:sz w:val="20"/>
                <w:szCs w:val="20"/>
              </w:rPr>
              <w:t>Absetterov</w:t>
            </w:r>
            <w:proofErr w:type="spellEnd"/>
            <w:r w:rsidRPr="00720B94">
              <w:rPr>
                <w:rFonts w:cs="Arial"/>
                <w:sz w:val="20"/>
                <w:szCs w:val="20"/>
              </w:rPr>
              <w:t xml:space="preserve">, Central European encephalitis, </w:t>
            </w:r>
            <w:proofErr w:type="spellStart"/>
            <w:r w:rsidRPr="00720B94">
              <w:rPr>
                <w:rFonts w:cs="Arial"/>
                <w:sz w:val="20"/>
                <w:szCs w:val="20"/>
              </w:rPr>
              <w:t>Hanzalova</w:t>
            </w:r>
            <w:proofErr w:type="spellEnd"/>
            <w:r w:rsidRPr="00720B94">
              <w:rPr>
                <w:rFonts w:cs="Arial"/>
                <w:sz w:val="20"/>
                <w:szCs w:val="20"/>
              </w:rPr>
              <w:t xml:space="preserve">, </w:t>
            </w:r>
            <w:proofErr w:type="spellStart"/>
            <w:r w:rsidRPr="00720B94">
              <w:rPr>
                <w:rFonts w:cs="Arial"/>
                <w:sz w:val="20"/>
                <w:szCs w:val="20"/>
              </w:rPr>
              <w:t>Hypr</w:t>
            </w:r>
            <w:proofErr w:type="spellEnd"/>
            <w:r w:rsidRPr="00720B94">
              <w:rPr>
                <w:rFonts w:cs="Arial"/>
                <w:sz w:val="20"/>
                <w:szCs w:val="20"/>
              </w:rPr>
              <w:t xml:space="preserve">, and </w:t>
            </w:r>
            <w:proofErr w:type="spellStart"/>
            <w:r w:rsidRPr="00720B94">
              <w:rPr>
                <w:rFonts w:cs="Arial"/>
                <w:sz w:val="20"/>
                <w:szCs w:val="20"/>
              </w:rPr>
              <w:t>Kumlinge</w:t>
            </w:r>
            <w:proofErr w:type="spellEnd"/>
            <w:r w:rsidRPr="00720B94">
              <w:rPr>
                <w:rFonts w:cs="Arial"/>
                <w:sz w:val="20"/>
                <w:szCs w:val="20"/>
              </w:rPr>
              <w:t xml:space="preserve"> </w:t>
            </w:r>
          </w:p>
          <w:p w14:paraId="06F55352" w14:textId="43CF7C94" w:rsidR="004B2276" w:rsidRPr="00720B94" w:rsidRDefault="004B2276" w:rsidP="0092380E">
            <w:pPr>
              <w:pStyle w:val="ListParagraph"/>
              <w:numPr>
                <w:ilvl w:val="0"/>
                <w:numId w:val="64"/>
              </w:numPr>
              <w:spacing w:line="276" w:lineRule="auto"/>
              <w:rPr>
                <w:rFonts w:cs="Arial"/>
                <w:sz w:val="20"/>
                <w:szCs w:val="20"/>
              </w:rPr>
            </w:pPr>
            <w:r w:rsidRPr="00720B94">
              <w:rPr>
                <w:rFonts w:cs="Arial"/>
                <w:sz w:val="20"/>
                <w:szCs w:val="20"/>
              </w:rPr>
              <w:t xml:space="preserve">Herpesvirus </w:t>
            </w:r>
            <w:proofErr w:type="spellStart"/>
            <w:r w:rsidRPr="00720B94">
              <w:rPr>
                <w:rFonts w:cs="Arial"/>
                <w:sz w:val="20"/>
                <w:szCs w:val="20"/>
              </w:rPr>
              <w:t>simiae</w:t>
            </w:r>
            <w:proofErr w:type="spellEnd"/>
            <w:r w:rsidRPr="00720B94">
              <w:rPr>
                <w:rFonts w:cs="Arial"/>
                <w:sz w:val="20"/>
                <w:szCs w:val="20"/>
              </w:rPr>
              <w:t xml:space="preserve"> (herpes B or monkey B virus) </w:t>
            </w:r>
          </w:p>
          <w:p w14:paraId="25CD46F3" w14:textId="3590DE7B" w:rsidR="00DC26BC" w:rsidRPr="00720B94" w:rsidRDefault="004B2276" w:rsidP="0092380E">
            <w:pPr>
              <w:pStyle w:val="ListParagraph"/>
              <w:numPr>
                <w:ilvl w:val="0"/>
                <w:numId w:val="64"/>
              </w:numPr>
              <w:spacing w:line="276" w:lineRule="auto"/>
              <w:rPr>
                <w:rFonts w:cs="Arial"/>
                <w:sz w:val="20"/>
                <w:szCs w:val="20"/>
              </w:rPr>
            </w:pPr>
            <w:r w:rsidRPr="00720B94">
              <w:rPr>
                <w:rFonts w:cs="Arial"/>
                <w:sz w:val="20"/>
                <w:szCs w:val="20"/>
              </w:rPr>
              <w:t xml:space="preserve">Hemorrhagic fever agents and viruses </w:t>
            </w:r>
            <w:proofErr w:type="gramStart"/>
            <w:r w:rsidRPr="00720B94">
              <w:rPr>
                <w:rFonts w:cs="Arial"/>
                <w:sz w:val="20"/>
                <w:szCs w:val="20"/>
              </w:rPr>
              <w:t>as yet</w:t>
            </w:r>
            <w:proofErr w:type="gramEnd"/>
            <w:r w:rsidRPr="00720B94">
              <w:rPr>
                <w:rFonts w:cs="Arial"/>
                <w:sz w:val="20"/>
                <w:szCs w:val="20"/>
              </w:rPr>
              <w:t xml:space="preserve"> undefined </w:t>
            </w:r>
          </w:p>
        </w:tc>
      </w:tr>
      <w:tr w:rsidR="006A3F12" w:rsidRPr="00720B94" w14:paraId="70F5138C" w14:textId="77777777" w:rsidTr="006A3F12">
        <w:tc>
          <w:tcPr>
            <w:tcW w:w="2250" w:type="dxa"/>
          </w:tcPr>
          <w:p w14:paraId="40C39C40" w14:textId="3062D33B" w:rsidR="006A3F12" w:rsidRPr="00720B94" w:rsidRDefault="006A3F12" w:rsidP="00720B94">
            <w:pPr>
              <w:spacing w:line="276" w:lineRule="auto"/>
              <w:rPr>
                <w:rFonts w:cs="Arial"/>
                <w:sz w:val="20"/>
                <w:szCs w:val="20"/>
              </w:rPr>
            </w:pPr>
            <w:r w:rsidRPr="00720B94">
              <w:rPr>
                <w:rFonts w:cs="Arial"/>
                <w:sz w:val="20"/>
                <w:szCs w:val="20"/>
              </w:rPr>
              <w:t>Other Risk Group 3 Pathogens</w:t>
            </w:r>
            <w:r w:rsidRPr="00720B94">
              <w:rPr>
                <w:rFonts w:cs="Arial"/>
                <w:sz w:val="20"/>
                <w:szCs w:val="20"/>
                <w:vertAlign w:val="superscript"/>
              </w:rPr>
              <w:t>3</w:t>
            </w:r>
          </w:p>
        </w:tc>
        <w:tc>
          <w:tcPr>
            <w:tcW w:w="4500" w:type="dxa"/>
            <w:tcBorders>
              <w:right w:val="single" w:sz="4" w:space="0" w:color="FFFFFF" w:themeColor="background1"/>
            </w:tcBorders>
          </w:tcPr>
          <w:p w14:paraId="429DABA9" w14:textId="77777777" w:rsidR="006A3F12" w:rsidRPr="00720B94" w:rsidRDefault="006A3F12" w:rsidP="0092380E">
            <w:pPr>
              <w:pStyle w:val="ListParagraph"/>
              <w:numPr>
                <w:ilvl w:val="0"/>
                <w:numId w:val="66"/>
              </w:numPr>
              <w:spacing w:line="276" w:lineRule="auto"/>
              <w:rPr>
                <w:rFonts w:cs="Arial"/>
                <w:i/>
                <w:iCs/>
                <w:sz w:val="20"/>
                <w:szCs w:val="20"/>
              </w:rPr>
            </w:pPr>
            <w:r w:rsidRPr="00720B94">
              <w:rPr>
                <w:rFonts w:cs="Arial"/>
                <w:i/>
                <w:iCs/>
                <w:sz w:val="20"/>
                <w:szCs w:val="20"/>
              </w:rPr>
              <w:t xml:space="preserve">Bartonella </w:t>
            </w:r>
          </w:p>
          <w:p w14:paraId="35CF52AE" w14:textId="08FD3143" w:rsidR="006A3F12" w:rsidRPr="00720B94" w:rsidRDefault="006A3F12" w:rsidP="0092380E">
            <w:pPr>
              <w:pStyle w:val="ListParagraph"/>
              <w:numPr>
                <w:ilvl w:val="0"/>
                <w:numId w:val="64"/>
              </w:numPr>
              <w:spacing w:line="276" w:lineRule="auto"/>
              <w:rPr>
                <w:rFonts w:cs="Arial"/>
                <w:i/>
                <w:iCs/>
                <w:sz w:val="20"/>
                <w:szCs w:val="20"/>
              </w:rPr>
            </w:pPr>
            <w:r w:rsidRPr="00720B94">
              <w:rPr>
                <w:rFonts w:cs="Arial"/>
                <w:i/>
                <w:iCs/>
                <w:sz w:val="20"/>
                <w:szCs w:val="20"/>
              </w:rPr>
              <w:t xml:space="preserve">Brucella </w:t>
            </w:r>
          </w:p>
          <w:p w14:paraId="6DA3A058" w14:textId="5D1389FE" w:rsidR="006A3F12" w:rsidRPr="00720B94" w:rsidRDefault="006A3F12" w:rsidP="0092380E">
            <w:pPr>
              <w:pStyle w:val="ListParagraph"/>
              <w:numPr>
                <w:ilvl w:val="0"/>
                <w:numId w:val="64"/>
              </w:numPr>
              <w:spacing w:line="276" w:lineRule="auto"/>
              <w:rPr>
                <w:rFonts w:cs="Arial"/>
                <w:i/>
                <w:iCs/>
                <w:sz w:val="20"/>
                <w:szCs w:val="20"/>
              </w:rPr>
            </w:pPr>
            <w:proofErr w:type="spellStart"/>
            <w:r w:rsidRPr="00720B94">
              <w:rPr>
                <w:rFonts w:cs="Arial"/>
                <w:i/>
                <w:iCs/>
                <w:sz w:val="20"/>
                <w:szCs w:val="20"/>
              </w:rPr>
              <w:t>Orientia</w:t>
            </w:r>
            <w:proofErr w:type="spellEnd"/>
            <w:r w:rsidRPr="00720B94">
              <w:rPr>
                <w:rFonts w:cs="Arial"/>
                <w:i/>
                <w:iCs/>
                <w:sz w:val="20"/>
                <w:szCs w:val="20"/>
              </w:rPr>
              <w:t xml:space="preserve"> tsutsugamushi </w:t>
            </w:r>
          </w:p>
          <w:p w14:paraId="394B4695" w14:textId="467692CA" w:rsidR="006A3F12" w:rsidRPr="00720B94" w:rsidRDefault="006A3F12" w:rsidP="0092380E">
            <w:pPr>
              <w:pStyle w:val="ListParagraph"/>
              <w:numPr>
                <w:ilvl w:val="0"/>
                <w:numId w:val="64"/>
              </w:numPr>
              <w:spacing w:line="276" w:lineRule="auto"/>
              <w:rPr>
                <w:rFonts w:cs="Arial"/>
                <w:sz w:val="20"/>
                <w:szCs w:val="20"/>
              </w:rPr>
            </w:pPr>
            <w:r w:rsidRPr="00720B94">
              <w:rPr>
                <w:rFonts w:cs="Arial"/>
                <w:i/>
                <w:iCs/>
                <w:sz w:val="20"/>
                <w:szCs w:val="20"/>
              </w:rPr>
              <w:t xml:space="preserve">Pasteurella </w:t>
            </w:r>
            <w:proofErr w:type="spellStart"/>
            <w:r w:rsidRPr="00720B94">
              <w:rPr>
                <w:rFonts w:cs="Arial"/>
                <w:i/>
                <w:iCs/>
                <w:sz w:val="20"/>
                <w:szCs w:val="20"/>
              </w:rPr>
              <w:t>multocida</w:t>
            </w:r>
            <w:proofErr w:type="spellEnd"/>
            <w:r w:rsidRPr="00720B94">
              <w:rPr>
                <w:rFonts w:cs="Arial"/>
                <w:sz w:val="20"/>
                <w:szCs w:val="20"/>
              </w:rPr>
              <w:t xml:space="preserve"> type B -"buffalo" and other virulent strains </w:t>
            </w:r>
          </w:p>
          <w:p w14:paraId="17DF8A4A" w14:textId="29D211AD" w:rsidR="006A3F12" w:rsidRPr="00720B94" w:rsidRDefault="006A3F12" w:rsidP="0092380E">
            <w:pPr>
              <w:pStyle w:val="ListParagraph"/>
              <w:numPr>
                <w:ilvl w:val="0"/>
                <w:numId w:val="64"/>
              </w:numPr>
              <w:spacing w:line="276" w:lineRule="auto"/>
              <w:rPr>
                <w:rFonts w:cs="Arial"/>
                <w:sz w:val="20"/>
                <w:szCs w:val="20"/>
              </w:rPr>
            </w:pPr>
            <w:r w:rsidRPr="00720B94">
              <w:rPr>
                <w:rFonts w:cs="Arial"/>
                <w:i/>
                <w:iCs/>
                <w:sz w:val="20"/>
                <w:szCs w:val="20"/>
              </w:rPr>
              <w:t xml:space="preserve">Rickettsia </w:t>
            </w:r>
            <w:proofErr w:type="spellStart"/>
            <w:r w:rsidRPr="00720B94">
              <w:rPr>
                <w:rFonts w:cs="Arial"/>
                <w:i/>
                <w:iCs/>
                <w:sz w:val="20"/>
                <w:szCs w:val="20"/>
              </w:rPr>
              <w:t>akari</w:t>
            </w:r>
            <w:proofErr w:type="spellEnd"/>
            <w:r w:rsidRPr="00720B94">
              <w:rPr>
                <w:rFonts w:cs="Arial"/>
                <w:i/>
                <w:iCs/>
                <w:sz w:val="20"/>
                <w:szCs w:val="20"/>
              </w:rPr>
              <w:t xml:space="preserve">, R. australis, R. </w:t>
            </w:r>
            <w:proofErr w:type="spellStart"/>
            <w:r w:rsidRPr="00720B94">
              <w:rPr>
                <w:rFonts w:cs="Arial"/>
                <w:i/>
                <w:iCs/>
                <w:sz w:val="20"/>
                <w:szCs w:val="20"/>
              </w:rPr>
              <w:t>canada</w:t>
            </w:r>
            <w:proofErr w:type="spellEnd"/>
            <w:r w:rsidRPr="00720B94">
              <w:rPr>
                <w:rFonts w:cs="Arial"/>
                <w:i/>
                <w:iCs/>
                <w:sz w:val="20"/>
                <w:szCs w:val="20"/>
              </w:rPr>
              <w:t xml:space="preserve">, R. conorii, R. </w:t>
            </w:r>
            <w:proofErr w:type="spellStart"/>
            <w:r w:rsidRPr="00720B94">
              <w:rPr>
                <w:rFonts w:cs="Arial"/>
                <w:i/>
                <w:iCs/>
                <w:sz w:val="20"/>
                <w:szCs w:val="20"/>
              </w:rPr>
              <w:t>rickettsii</w:t>
            </w:r>
            <w:proofErr w:type="spellEnd"/>
            <w:r w:rsidRPr="00720B94">
              <w:rPr>
                <w:rFonts w:cs="Arial"/>
                <w:i/>
                <w:iCs/>
                <w:sz w:val="20"/>
                <w:szCs w:val="20"/>
              </w:rPr>
              <w:t xml:space="preserve">, R, </w:t>
            </w:r>
            <w:proofErr w:type="spellStart"/>
            <w:r w:rsidRPr="00720B94">
              <w:rPr>
                <w:rFonts w:cs="Arial"/>
                <w:i/>
                <w:iCs/>
                <w:sz w:val="20"/>
                <w:szCs w:val="20"/>
              </w:rPr>
              <w:t>siberica</w:t>
            </w:r>
            <w:proofErr w:type="spellEnd"/>
            <w:r w:rsidRPr="00720B94">
              <w:rPr>
                <w:rFonts w:cs="Arial"/>
                <w:i/>
                <w:iCs/>
                <w:sz w:val="20"/>
                <w:szCs w:val="20"/>
              </w:rPr>
              <w:t xml:space="preserve">, R. typhi (R. </w:t>
            </w:r>
            <w:proofErr w:type="spellStart"/>
            <w:r w:rsidRPr="00720B94">
              <w:rPr>
                <w:rFonts w:cs="Arial"/>
                <w:i/>
                <w:iCs/>
                <w:sz w:val="20"/>
                <w:szCs w:val="20"/>
              </w:rPr>
              <w:t>mooseri</w:t>
            </w:r>
            <w:proofErr w:type="spellEnd"/>
            <w:r w:rsidRPr="00720B94">
              <w:rPr>
                <w:rFonts w:cs="Arial"/>
                <w:i/>
                <w:iCs/>
                <w:sz w:val="20"/>
                <w:szCs w:val="20"/>
              </w:rPr>
              <w:t>)</w:t>
            </w:r>
            <w:r w:rsidRPr="00720B94">
              <w:rPr>
                <w:rFonts w:cs="Arial"/>
                <w:sz w:val="20"/>
                <w:szCs w:val="20"/>
              </w:rPr>
              <w:t xml:space="preserve"> </w:t>
            </w:r>
          </w:p>
          <w:p w14:paraId="75C8E949" w14:textId="5260182A" w:rsidR="006A3F12" w:rsidRPr="00720B94" w:rsidRDefault="006A3F12" w:rsidP="0092380E">
            <w:pPr>
              <w:pStyle w:val="ListParagraph"/>
              <w:numPr>
                <w:ilvl w:val="0"/>
                <w:numId w:val="64"/>
              </w:numPr>
              <w:spacing w:line="276" w:lineRule="auto"/>
              <w:rPr>
                <w:rFonts w:cs="Arial"/>
                <w:sz w:val="20"/>
                <w:szCs w:val="20"/>
              </w:rPr>
            </w:pPr>
            <w:r w:rsidRPr="00720B94">
              <w:rPr>
                <w:rFonts w:cs="Arial"/>
                <w:sz w:val="20"/>
                <w:szCs w:val="20"/>
              </w:rPr>
              <w:t xml:space="preserve">Chikungunya virus except the vaccine strain 181/25 </w:t>
            </w:r>
          </w:p>
          <w:p w14:paraId="37AA7C66" w14:textId="50D8CC4E" w:rsidR="006A3F12" w:rsidRPr="00720B94" w:rsidRDefault="006A3F12" w:rsidP="0092380E">
            <w:pPr>
              <w:pStyle w:val="ListParagraph"/>
              <w:numPr>
                <w:ilvl w:val="0"/>
                <w:numId w:val="64"/>
              </w:numPr>
              <w:spacing w:line="276" w:lineRule="auto"/>
              <w:rPr>
                <w:rFonts w:cs="Arial"/>
                <w:sz w:val="20"/>
                <w:szCs w:val="20"/>
              </w:rPr>
            </w:pPr>
            <w:r w:rsidRPr="00720B94">
              <w:rPr>
                <w:rFonts w:cs="Arial"/>
                <w:sz w:val="20"/>
                <w:szCs w:val="20"/>
              </w:rPr>
              <w:t xml:space="preserve">Semliki Forest virus </w:t>
            </w:r>
          </w:p>
          <w:p w14:paraId="227317AB" w14:textId="533FAA2D" w:rsidR="006A3F12" w:rsidRPr="00720B94" w:rsidRDefault="006A3F12" w:rsidP="0092380E">
            <w:pPr>
              <w:pStyle w:val="ListParagraph"/>
              <w:numPr>
                <w:ilvl w:val="0"/>
                <w:numId w:val="64"/>
              </w:numPr>
              <w:spacing w:line="276" w:lineRule="auto"/>
              <w:rPr>
                <w:rFonts w:cs="Arial"/>
                <w:sz w:val="20"/>
                <w:szCs w:val="20"/>
              </w:rPr>
            </w:pPr>
            <w:r w:rsidRPr="00720B94">
              <w:rPr>
                <w:rFonts w:cs="Arial"/>
                <w:sz w:val="20"/>
                <w:szCs w:val="20"/>
              </w:rPr>
              <w:t xml:space="preserve">St. Louis encephalitis virus </w:t>
            </w:r>
          </w:p>
          <w:p w14:paraId="345FC0F5" w14:textId="0DBF2F6C" w:rsidR="006A3F12" w:rsidRPr="00720B94" w:rsidRDefault="006A3F12" w:rsidP="0092380E">
            <w:pPr>
              <w:pStyle w:val="ListParagraph"/>
              <w:numPr>
                <w:ilvl w:val="0"/>
                <w:numId w:val="64"/>
              </w:numPr>
              <w:spacing w:line="276" w:lineRule="auto"/>
              <w:rPr>
                <w:rFonts w:cs="Arial"/>
                <w:sz w:val="20"/>
                <w:szCs w:val="20"/>
              </w:rPr>
            </w:pPr>
            <w:proofErr w:type="spellStart"/>
            <w:r w:rsidRPr="00720B94">
              <w:rPr>
                <w:rFonts w:cs="Arial"/>
                <w:sz w:val="20"/>
                <w:szCs w:val="20"/>
              </w:rPr>
              <w:t>Flexal</w:t>
            </w:r>
            <w:proofErr w:type="spellEnd"/>
            <w:r w:rsidRPr="00720B94">
              <w:rPr>
                <w:rFonts w:cs="Arial"/>
                <w:sz w:val="20"/>
                <w:szCs w:val="20"/>
              </w:rPr>
              <w:t xml:space="preserve"> virus </w:t>
            </w:r>
          </w:p>
          <w:p w14:paraId="48FF2E48" w14:textId="77777777" w:rsidR="006A3F12" w:rsidRPr="00720B94" w:rsidRDefault="006A3F12" w:rsidP="0092380E">
            <w:pPr>
              <w:pStyle w:val="ListParagraph"/>
              <w:numPr>
                <w:ilvl w:val="0"/>
                <w:numId w:val="64"/>
              </w:numPr>
              <w:spacing w:line="276" w:lineRule="auto"/>
              <w:rPr>
                <w:rFonts w:cs="Arial"/>
                <w:sz w:val="20"/>
                <w:szCs w:val="20"/>
              </w:rPr>
            </w:pPr>
            <w:r w:rsidRPr="00720B94">
              <w:rPr>
                <w:rFonts w:cs="Arial"/>
                <w:sz w:val="20"/>
                <w:szCs w:val="20"/>
              </w:rPr>
              <w:t xml:space="preserve">Lymphocytic choriomeningitis virus (LCM) (neurotropic strains) </w:t>
            </w:r>
          </w:p>
        </w:tc>
        <w:tc>
          <w:tcPr>
            <w:tcW w:w="4500" w:type="dxa"/>
            <w:tcBorders>
              <w:left w:val="single" w:sz="4" w:space="0" w:color="FFFFFF" w:themeColor="background1"/>
            </w:tcBorders>
          </w:tcPr>
          <w:p w14:paraId="6365EF37" w14:textId="2A779796" w:rsidR="006A3F12" w:rsidRPr="00720B94" w:rsidRDefault="006A3F12" w:rsidP="0092380E">
            <w:pPr>
              <w:pStyle w:val="ListParagraph"/>
              <w:numPr>
                <w:ilvl w:val="0"/>
                <w:numId w:val="64"/>
              </w:numPr>
              <w:spacing w:line="276" w:lineRule="auto"/>
              <w:rPr>
                <w:rFonts w:cs="Arial"/>
                <w:sz w:val="20"/>
                <w:szCs w:val="20"/>
              </w:rPr>
            </w:pPr>
            <w:r w:rsidRPr="00720B94">
              <w:rPr>
                <w:rFonts w:cs="Arial"/>
                <w:sz w:val="20"/>
                <w:szCs w:val="20"/>
              </w:rPr>
              <w:t xml:space="preserve">Hantaviruses, including </w:t>
            </w:r>
            <w:proofErr w:type="spellStart"/>
            <w:r w:rsidRPr="00720B94">
              <w:rPr>
                <w:rFonts w:cs="Arial"/>
                <w:sz w:val="20"/>
                <w:szCs w:val="20"/>
              </w:rPr>
              <w:t>Hantaan</w:t>
            </w:r>
            <w:proofErr w:type="spellEnd"/>
            <w:r w:rsidRPr="00720B94">
              <w:rPr>
                <w:rFonts w:cs="Arial"/>
                <w:sz w:val="20"/>
                <w:szCs w:val="20"/>
              </w:rPr>
              <w:t xml:space="preserve"> virus </w:t>
            </w:r>
          </w:p>
          <w:p w14:paraId="5896EE44" w14:textId="79AE1BF5" w:rsidR="006A3F12" w:rsidRPr="00720B94" w:rsidRDefault="006A3F12" w:rsidP="0092380E">
            <w:pPr>
              <w:pStyle w:val="ListParagraph"/>
              <w:numPr>
                <w:ilvl w:val="0"/>
                <w:numId w:val="64"/>
              </w:numPr>
              <w:spacing w:line="276" w:lineRule="auto"/>
              <w:rPr>
                <w:rFonts w:cs="Arial"/>
                <w:sz w:val="20"/>
                <w:szCs w:val="20"/>
              </w:rPr>
            </w:pPr>
            <w:r w:rsidRPr="00720B94">
              <w:rPr>
                <w:rFonts w:cs="Arial"/>
                <w:sz w:val="20"/>
                <w:szCs w:val="20"/>
              </w:rPr>
              <w:t>Middle East respiratory syndrome coronavirus (MERS-</w:t>
            </w:r>
            <w:proofErr w:type="spellStart"/>
            <w:r w:rsidRPr="00720B94">
              <w:rPr>
                <w:rFonts w:cs="Arial"/>
                <w:sz w:val="20"/>
                <w:szCs w:val="20"/>
              </w:rPr>
              <w:t>CoV</w:t>
            </w:r>
            <w:proofErr w:type="spellEnd"/>
            <w:r w:rsidRPr="00720B94">
              <w:rPr>
                <w:rFonts w:cs="Arial"/>
                <w:sz w:val="20"/>
                <w:szCs w:val="20"/>
              </w:rPr>
              <w:t xml:space="preserve">) </w:t>
            </w:r>
          </w:p>
          <w:p w14:paraId="313F8603" w14:textId="145E031C" w:rsidR="006A3F12" w:rsidRPr="00720B94" w:rsidRDefault="006A3F12" w:rsidP="0092380E">
            <w:pPr>
              <w:pStyle w:val="ListParagraph"/>
              <w:numPr>
                <w:ilvl w:val="0"/>
                <w:numId w:val="64"/>
              </w:numPr>
              <w:spacing w:line="276" w:lineRule="auto"/>
              <w:rPr>
                <w:rFonts w:cs="Arial"/>
                <w:sz w:val="20"/>
                <w:szCs w:val="20"/>
              </w:rPr>
            </w:pPr>
            <w:r w:rsidRPr="00720B94">
              <w:rPr>
                <w:rFonts w:cs="Arial"/>
                <w:sz w:val="20"/>
                <w:szCs w:val="20"/>
              </w:rPr>
              <w:t xml:space="preserve">Severe acute respiratory coronavirus 2 (SARS-CoV-2) </w:t>
            </w:r>
          </w:p>
          <w:p w14:paraId="6D04FCBA" w14:textId="1681D024" w:rsidR="006A3F12" w:rsidRPr="00720B94" w:rsidRDefault="006A3F12" w:rsidP="0092380E">
            <w:pPr>
              <w:pStyle w:val="ListParagraph"/>
              <w:numPr>
                <w:ilvl w:val="0"/>
                <w:numId w:val="64"/>
              </w:numPr>
              <w:spacing w:line="276" w:lineRule="auto"/>
              <w:rPr>
                <w:rFonts w:cs="Arial"/>
                <w:sz w:val="20"/>
                <w:szCs w:val="20"/>
              </w:rPr>
            </w:pPr>
            <w:r w:rsidRPr="00720B94">
              <w:rPr>
                <w:rFonts w:cs="Arial"/>
                <w:sz w:val="20"/>
                <w:szCs w:val="20"/>
              </w:rPr>
              <w:t xml:space="preserve">Japanese encephalitis virus except strain SA 14-14-2 </w:t>
            </w:r>
          </w:p>
          <w:p w14:paraId="73604B07" w14:textId="559B4068" w:rsidR="006A3F12" w:rsidRPr="00720B94" w:rsidRDefault="006A3F12" w:rsidP="0092380E">
            <w:pPr>
              <w:pStyle w:val="ListParagraph"/>
              <w:numPr>
                <w:ilvl w:val="0"/>
                <w:numId w:val="64"/>
              </w:numPr>
              <w:spacing w:line="276" w:lineRule="auto"/>
              <w:rPr>
                <w:rFonts w:cs="Arial"/>
                <w:sz w:val="20"/>
                <w:szCs w:val="20"/>
              </w:rPr>
            </w:pPr>
            <w:r w:rsidRPr="00720B94">
              <w:rPr>
                <w:rFonts w:cs="Arial"/>
                <w:sz w:val="20"/>
                <w:szCs w:val="20"/>
              </w:rPr>
              <w:t xml:space="preserve">West Nile virus </w:t>
            </w:r>
          </w:p>
          <w:p w14:paraId="502B3544" w14:textId="462309E0" w:rsidR="006A3F12" w:rsidRPr="00720B94" w:rsidRDefault="006A3F12" w:rsidP="0092380E">
            <w:pPr>
              <w:pStyle w:val="ListParagraph"/>
              <w:numPr>
                <w:ilvl w:val="0"/>
                <w:numId w:val="64"/>
              </w:numPr>
              <w:spacing w:line="276" w:lineRule="auto"/>
              <w:rPr>
                <w:rFonts w:cs="Arial"/>
                <w:sz w:val="20"/>
                <w:szCs w:val="20"/>
              </w:rPr>
            </w:pPr>
            <w:r w:rsidRPr="00720B94">
              <w:rPr>
                <w:rFonts w:cs="Arial"/>
                <w:sz w:val="20"/>
                <w:szCs w:val="20"/>
              </w:rPr>
              <w:t xml:space="preserve">Yellow fever virus </w:t>
            </w:r>
          </w:p>
          <w:p w14:paraId="24A756EF" w14:textId="06CCAAB5" w:rsidR="006A3F12" w:rsidRPr="00720B94" w:rsidRDefault="006A3F12" w:rsidP="0092380E">
            <w:pPr>
              <w:pStyle w:val="ListParagraph"/>
              <w:numPr>
                <w:ilvl w:val="0"/>
                <w:numId w:val="64"/>
              </w:numPr>
              <w:spacing w:line="276" w:lineRule="auto"/>
              <w:rPr>
                <w:rFonts w:cs="Arial"/>
                <w:sz w:val="20"/>
                <w:szCs w:val="20"/>
              </w:rPr>
            </w:pPr>
            <w:r w:rsidRPr="00720B94">
              <w:rPr>
                <w:rFonts w:cs="Arial"/>
                <w:sz w:val="20"/>
                <w:szCs w:val="20"/>
              </w:rPr>
              <w:t xml:space="preserve">Human influenza A virus H2N2 (1957-1968) </w:t>
            </w:r>
          </w:p>
          <w:p w14:paraId="42BED183" w14:textId="25B16586" w:rsidR="006A3F12" w:rsidRPr="00720B94" w:rsidRDefault="006A3F12" w:rsidP="0092380E">
            <w:pPr>
              <w:pStyle w:val="ListParagraph"/>
              <w:numPr>
                <w:ilvl w:val="0"/>
                <w:numId w:val="64"/>
              </w:numPr>
              <w:spacing w:line="276" w:lineRule="auto"/>
              <w:rPr>
                <w:rFonts w:cs="Arial"/>
                <w:sz w:val="20"/>
                <w:szCs w:val="20"/>
              </w:rPr>
            </w:pPr>
            <w:r w:rsidRPr="00720B94">
              <w:rPr>
                <w:rFonts w:cs="Arial"/>
                <w:sz w:val="20"/>
                <w:szCs w:val="20"/>
              </w:rPr>
              <w:t xml:space="preserve">Highly pathogenic avian influenza A virus H5Nx strains within the Goose/Guangdong/96-like H5 lineage (e.g., H5N1, H5N6, H5N8 etc.) </w:t>
            </w:r>
          </w:p>
          <w:p w14:paraId="2B4E2BDA" w14:textId="6749AD7C" w:rsidR="006A3F12" w:rsidRPr="00720B94" w:rsidRDefault="006A3F12" w:rsidP="0092380E">
            <w:pPr>
              <w:pStyle w:val="ListParagraph"/>
              <w:numPr>
                <w:ilvl w:val="0"/>
                <w:numId w:val="64"/>
              </w:numPr>
              <w:spacing w:line="276" w:lineRule="auto"/>
              <w:rPr>
                <w:rFonts w:cs="Arial"/>
                <w:sz w:val="20"/>
                <w:szCs w:val="20"/>
              </w:rPr>
            </w:pPr>
            <w:r w:rsidRPr="00720B94">
              <w:rPr>
                <w:rFonts w:cs="Arial"/>
                <w:sz w:val="20"/>
                <w:szCs w:val="20"/>
              </w:rPr>
              <w:t xml:space="preserve">Transmissible spongiform encephalopathy (TSE) agents (e.g., Creutzfeldt-Jacob disease and kuru agents) </w:t>
            </w:r>
          </w:p>
        </w:tc>
      </w:tr>
      <w:tr w:rsidR="00DC26BC" w:rsidRPr="00720B94" w14:paraId="58F9CAE8" w14:textId="77777777" w:rsidTr="00764B2E">
        <w:tc>
          <w:tcPr>
            <w:tcW w:w="2250" w:type="dxa"/>
          </w:tcPr>
          <w:p w14:paraId="04FBDB66" w14:textId="35111CFC" w:rsidR="00DC26BC" w:rsidRPr="00720B94" w:rsidRDefault="009E261C" w:rsidP="00720B94">
            <w:pPr>
              <w:spacing w:line="276" w:lineRule="auto"/>
              <w:rPr>
                <w:rFonts w:cs="Arial"/>
                <w:sz w:val="20"/>
                <w:szCs w:val="20"/>
              </w:rPr>
            </w:pPr>
            <w:r w:rsidRPr="00720B94">
              <w:rPr>
                <w:rFonts w:cs="Arial"/>
                <w:sz w:val="20"/>
                <w:szCs w:val="20"/>
              </w:rPr>
              <w:t>Other</w:t>
            </w:r>
          </w:p>
        </w:tc>
        <w:tc>
          <w:tcPr>
            <w:tcW w:w="9000" w:type="dxa"/>
            <w:gridSpan w:val="2"/>
          </w:tcPr>
          <w:p w14:paraId="369FA694" w14:textId="77777777" w:rsidR="004B2276" w:rsidRPr="00720B94" w:rsidRDefault="004B2276" w:rsidP="0092380E">
            <w:pPr>
              <w:pStyle w:val="ListParagraph"/>
              <w:numPr>
                <w:ilvl w:val="0"/>
                <w:numId w:val="64"/>
              </w:numPr>
              <w:spacing w:line="276" w:lineRule="auto"/>
              <w:rPr>
                <w:rFonts w:cs="Arial"/>
                <w:sz w:val="20"/>
                <w:szCs w:val="20"/>
              </w:rPr>
            </w:pPr>
            <w:r w:rsidRPr="00720B94">
              <w:rPr>
                <w:rFonts w:cs="Arial"/>
                <w:sz w:val="20"/>
                <w:szCs w:val="20"/>
              </w:rPr>
              <w:t xml:space="preserve">Any attenuated pathogen or vaccine strain that is currently excluded from the Select Agent Regulations that exhibits the recovery of virulence at or near the </w:t>
            </w:r>
            <w:proofErr w:type="gramStart"/>
            <w:r w:rsidRPr="00720B94">
              <w:rPr>
                <w:rFonts w:cs="Arial"/>
                <w:sz w:val="20"/>
                <w:szCs w:val="20"/>
              </w:rPr>
              <w:t>wild-type</w:t>
            </w:r>
            <w:proofErr w:type="gramEnd"/>
            <w:r w:rsidRPr="00720B94">
              <w:rPr>
                <w:rFonts w:cs="Arial"/>
                <w:sz w:val="20"/>
                <w:szCs w:val="20"/>
              </w:rPr>
              <w:t xml:space="preserve"> </w:t>
            </w:r>
          </w:p>
          <w:p w14:paraId="4D1C7D25" w14:textId="2D4D7E93" w:rsidR="00DC26BC" w:rsidRPr="00720B94" w:rsidRDefault="004B2276" w:rsidP="0092380E">
            <w:pPr>
              <w:pStyle w:val="ListParagraph"/>
              <w:numPr>
                <w:ilvl w:val="0"/>
                <w:numId w:val="64"/>
              </w:numPr>
              <w:spacing w:line="276" w:lineRule="auto"/>
              <w:rPr>
                <w:rFonts w:cs="Arial"/>
                <w:sz w:val="20"/>
                <w:szCs w:val="20"/>
              </w:rPr>
            </w:pPr>
            <w:r w:rsidRPr="00720B94">
              <w:rPr>
                <w:rFonts w:cs="Arial"/>
                <w:sz w:val="20"/>
                <w:szCs w:val="20"/>
              </w:rPr>
              <w:t xml:space="preserve">Mpox virus clade I/II chimeric viruses resulting from any deliberate manipulation of clade II to incorporate nucleic acids coding for clade I virulence factors </w:t>
            </w:r>
          </w:p>
        </w:tc>
      </w:tr>
    </w:tbl>
    <w:p w14:paraId="1E48686A" w14:textId="77777777" w:rsidR="00526A8B" w:rsidRPr="00720B94" w:rsidRDefault="00526A8B" w:rsidP="00720B94">
      <w:pPr>
        <w:spacing w:line="276" w:lineRule="auto"/>
        <w:rPr>
          <w:rFonts w:cs="Arial"/>
          <w:sz w:val="20"/>
          <w:szCs w:val="20"/>
        </w:rPr>
      </w:pPr>
    </w:p>
    <w:p w14:paraId="33E23A1B" w14:textId="77777777" w:rsidR="00764B2E" w:rsidRPr="00720B94" w:rsidRDefault="00764B2E" w:rsidP="00720B94">
      <w:pPr>
        <w:spacing w:line="276" w:lineRule="auto"/>
        <w:rPr>
          <w:rFonts w:cs="Arial"/>
          <w:sz w:val="20"/>
          <w:szCs w:val="20"/>
        </w:rPr>
      </w:pPr>
    </w:p>
    <w:p w14:paraId="75883D36" w14:textId="77777777" w:rsidR="00764B2E" w:rsidRPr="00720B94" w:rsidRDefault="00764B2E" w:rsidP="00720B94">
      <w:pPr>
        <w:spacing w:line="276" w:lineRule="auto"/>
        <w:rPr>
          <w:rFonts w:cs="Arial"/>
          <w:sz w:val="20"/>
          <w:szCs w:val="20"/>
        </w:rPr>
      </w:pPr>
    </w:p>
    <w:p w14:paraId="08BE01FA" w14:textId="77777777" w:rsidR="00764B2E" w:rsidRPr="00720B94" w:rsidRDefault="00764B2E" w:rsidP="00720B94">
      <w:pPr>
        <w:spacing w:line="276" w:lineRule="auto"/>
        <w:rPr>
          <w:rFonts w:cs="Arial"/>
          <w:sz w:val="20"/>
          <w:szCs w:val="20"/>
        </w:rPr>
      </w:pPr>
    </w:p>
    <w:p w14:paraId="3BD0E1F8" w14:textId="77777777" w:rsidR="00A43634" w:rsidRPr="00720B94" w:rsidRDefault="00A43634" w:rsidP="00720B94">
      <w:pPr>
        <w:spacing w:line="276" w:lineRule="auto"/>
        <w:rPr>
          <w:rFonts w:cs="Arial"/>
          <w:sz w:val="20"/>
          <w:szCs w:val="20"/>
        </w:rPr>
      </w:pPr>
    </w:p>
    <w:p w14:paraId="50B00955" w14:textId="77777777" w:rsidR="00764B2E" w:rsidRPr="00720B94" w:rsidRDefault="00764B2E" w:rsidP="00720B94">
      <w:pPr>
        <w:spacing w:line="276" w:lineRule="auto"/>
        <w:rPr>
          <w:rFonts w:cs="Arial"/>
          <w:sz w:val="20"/>
          <w:szCs w:val="20"/>
        </w:rPr>
      </w:pPr>
    </w:p>
    <w:p w14:paraId="4A7F51E4" w14:textId="77777777" w:rsidR="00764B2E" w:rsidRPr="00720B94" w:rsidRDefault="00764B2E" w:rsidP="00720B94">
      <w:pPr>
        <w:spacing w:line="276" w:lineRule="auto"/>
        <w:rPr>
          <w:rFonts w:cs="Arial"/>
          <w:sz w:val="20"/>
          <w:szCs w:val="20"/>
        </w:rPr>
      </w:pPr>
    </w:p>
    <w:p w14:paraId="61ECBAE9" w14:textId="77777777" w:rsidR="00764B2E" w:rsidRPr="00720B94" w:rsidRDefault="00764B2E" w:rsidP="00720B94">
      <w:pPr>
        <w:spacing w:line="276" w:lineRule="auto"/>
        <w:rPr>
          <w:rFonts w:cs="Arial"/>
          <w:sz w:val="20"/>
          <w:szCs w:val="20"/>
        </w:rPr>
      </w:pPr>
    </w:p>
    <w:p w14:paraId="05287207" w14:textId="77777777" w:rsidR="00764B2E" w:rsidRPr="00720B94" w:rsidRDefault="00764B2E" w:rsidP="00720B94">
      <w:pPr>
        <w:spacing w:line="276" w:lineRule="auto"/>
        <w:rPr>
          <w:rFonts w:cs="Arial"/>
          <w:sz w:val="20"/>
          <w:szCs w:val="20"/>
        </w:rPr>
      </w:pPr>
    </w:p>
    <w:p w14:paraId="0AFC8934" w14:textId="2E9D5E09" w:rsidR="00764B2E" w:rsidRPr="00720B94" w:rsidRDefault="00764B2E" w:rsidP="00720B94">
      <w:pPr>
        <w:spacing w:line="276" w:lineRule="auto"/>
        <w:rPr>
          <w:rFonts w:cs="Arial"/>
          <w:sz w:val="20"/>
          <w:szCs w:val="20"/>
        </w:rPr>
      </w:pPr>
      <w:r w:rsidRPr="00720B94">
        <w:rPr>
          <w:rFonts w:cs="Arial"/>
          <w:sz w:val="20"/>
          <w:szCs w:val="20"/>
        </w:rPr>
        <w:t>_____________________</w:t>
      </w:r>
    </w:p>
    <w:p w14:paraId="31105B88" w14:textId="227C3799" w:rsidR="004B2276" w:rsidRPr="00720B94" w:rsidRDefault="004B2276" w:rsidP="00720B94">
      <w:pPr>
        <w:spacing w:line="276" w:lineRule="auto"/>
        <w:rPr>
          <w:rFonts w:cs="Arial"/>
          <w:sz w:val="20"/>
          <w:szCs w:val="20"/>
        </w:rPr>
      </w:pPr>
      <w:r w:rsidRPr="00720B94">
        <w:rPr>
          <w:rFonts w:cs="Arial"/>
          <w:sz w:val="20"/>
          <w:szCs w:val="20"/>
          <w:vertAlign w:val="superscript"/>
        </w:rPr>
        <w:t>1</w:t>
      </w:r>
      <w:r w:rsidRPr="00720B94">
        <w:rPr>
          <w:rFonts w:cs="Arial"/>
          <w:sz w:val="20"/>
          <w:szCs w:val="20"/>
        </w:rPr>
        <w:t xml:space="preserve">Full checklist obtained from NIH </w:t>
      </w:r>
      <w:hyperlink r:id="rId177">
        <w:r w:rsidRPr="00717676">
          <w:rPr>
            <w:rStyle w:val="Hyperlink"/>
            <w:rFonts w:cs="Arial"/>
            <w:color w:val="007D89" w:themeColor="accent3" w:themeShade="BF"/>
            <w:sz w:val="20"/>
            <w:szCs w:val="20"/>
          </w:rPr>
          <w:t>Implementation Guidance</w:t>
        </w:r>
      </w:hyperlink>
      <w:r w:rsidRPr="00720B94">
        <w:rPr>
          <w:rFonts w:cs="Arial"/>
          <w:sz w:val="20"/>
          <w:szCs w:val="20"/>
        </w:rPr>
        <w:t>, Appendix C (p. 62-66).</w:t>
      </w:r>
    </w:p>
    <w:p w14:paraId="6DEA1305" w14:textId="1DFA212C" w:rsidR="004B2276" w:rsidRPr="00720B94" w:rsidRDefault="004B2276" w:rsidP="00720B94">
      <w:pPr>
        <w:spacing w:line="276" w:lineRule="auto"/>
        <w:rPr>
          <w:rFonts w:cs="Arial"/>
          <w:sz w:val="20"/>
          <w:szCs w:val="20"/>
        </w:rPr>
      </w:pPr>
      <w:r w:rsidRPr="00720B94">
        <w:rPr>
          <w:rFonts w:cs="Arial"/>
          <w:sz w:val="20"/>
          <w:szCs w:val="20"/>
          <w:vertAlign w:val="superscript"/>
        </w:rPr>
        <w:t xml:space="preserve">2 </w:t>
      </w:r>
      <w:r w:rsidRPr="00720B94">
        <w:rPr>
          <w:rFonts w:cs="Arial"/>
          <w:sz w:val="20"/>
          <w:szCs w:val="20"/>
        </w:rPr>
        <w:t>Pathogens listed in this part of the list are Risk Group 4 but not controlled by the Select Agent Regulations, please refer to the NIH Guidelines for any relevant strain exclusions.</w:t>
      </w:r>
    </w:p>
    <w:p w14:paraId="3117FA49" w14:textId="1FD75247" w:rsidR="004B2276" w:rsidRPr="00720B94" w:rsidRDefault="004B2276" w:rsidP="00720B94">
      <w:pPr>
        <w:spacing w:line="276" w:lineRule="auto"/>
        <w:rPr>
          <w:rFonts w:cs="Arial"/>
          <w:sz w:val="20"/>
          <w:szCs w:val="20"/>
        </w:rPr>
      </w:pPr>
      <w:r w:rsidRPr="00720B94">
        <w:rPr>
          <w:rFonts w:cs="Arial"/>
          <w:sz w:val="20"/>
          <w:szCs w:val="20"/>
          <w:vertAlign w:val="superscript"/>
        </w:rPr>
        <w:t xml:space="preserve">3 </w:t>
      </w:r>
      <w:r w:rsidRPr="00720B94">
        <w:rPr>
          <w:rFonts w:cs="Arial"/>
          <w:sz w:val="20"/>
          <w:szCs w:val="20"/>
        </w:rPr>
        <w:t>Pathogens listed in this part of the list are Risk Group 3 but not controlled by the Select Agent Regulations, please refer to the NIH Guidelines for any relevant strain exclusions.</w:t>
      </w:r>
    </w:p>
    <w:p w14:paraId="4A7E84D1" w14:textId="16D4B4D9" w:rsidR="00526A8B" w:rsidRPr="00720B94" w:rsidRDefault="00526A8B" w:rsidP="00720B94">
      <w:pPr>
        <w:spacing w:line="276" w:lineRule="auto"/>
        <w:rPr>
          <w:b/>
          <w:bCs/>
          <w:sz w:val="28"/>
          <w:szCs w:val="28"/>
        </w:rPr>
      </w:pPr>
      <w:bookmarkStart w:id="117" w:name="_Toc192509417"/>
      <w:r w:rsidRPr="00720B94">
        <w:rPr>
          <w:rStyle w:val="Heading1Char"/>
          <w:b/>
          <w:bCs/>
        </w:rPr>
        <w:lastRenderedPageBreak/>
        <w:t>Appendix K</w:t>
      </w:r>
      <w:bookmarkEnd w:id="117"/>
      <w:r w:rsidRPr="00720B94">
        <w:rPr>
          <w:b/>
          <w:bCs/>
          <w:sz w:val="28"/>
          <w:szCs w:val="28"/>
        </w:rPr>
        <w:t xml:space="preserve"> </w:t>
      </w:r>
      <w:r w:rsidRPr="00720B94">
        <w:rPr>
          <w:rStyle w:val="Heading1Char"/>
        </w:rPr>
        <w:t>– Glossary of Terms</w:t>
      </w:r>
      <w:r w:rsidRPr="00720B94">
        <w:rPr>
          <w:b/>
          <w:bCs/>
          <w:sz w:val="28"/>
          <w:szCs w:val="28"/>
        </w:rPr>
        <w:t xml:space="preserve"> </w:t>
      </w:r>
      <w:r w:rsidR="00347386" w:rsidRPr="00720B94">
        <w:rPr>
          <w:i/>
          <w:iCs/>
          <w:sz w:val="28"/>
          <w:szCs w:val="28"/>
        </w:rPr>
        <w:t>(see pg. 3</w:t>
      </w:r>
      <w:r w:rsidR="00777133" w:rsidRPr="00720B94">
        <w:rPr>
          <w:i/>
          <w:iCs/>
          <w:sz w:val="28"/>
          <w:szCs w:val="28"/>
        </w:rPr>
        <w:t>8</w:t>
      </w:r>
      <w:r w:rsidR="00347386" w:rsidRPr="00720B94">
        <w:rPr>
          <w:i/>
          <w:iCs/>
          <w:sz w:val="28"/>
          <w:szCs w:val="28"/>
        </w:rPr>
        <w:t>)</w:t>
      </w:r>
    </w:p>
    <w:p w14:paraId="7EB241F7" w14:textId="77777777" w:rsidR="00347386" w:rsidRPr="00720B94" w:rsidRDefault="00347386" w:rsidP="00720B94">
      <w:pPr>
        <w:spacing w:line="276" w:lineRule="auto"/>
        <w:rPr>
          <w:rFonts w:eastAsia="Arial" w:cs="Arial"/>
        </w:rPr>
      </w:pPr>
      <w:r w:rsidRPr="00720B94">
        <w:rPr>
          <w:rFonts w:eastAsia="Arial" w:cs="Arial"/>
          <w:b/>
        </w:rPr>
        <w:t xml:space="preserve">Biological Agents: </w:t>
      </w:r>
      <w:r w:rsidRPr="00720B94">
        <w:rPr>
          <w:rFonts w:eastAsia="Arial" w:cs="Arial"/>
        </w:rPr>
        <w:t xml:space="preserve">Biological agents include bacteria, viruses, fungi, other microorganisms, and their associated toxins, which </w:t>
      </w:r>
      <w:proofErr w:type="gramStart"/>
      <w:r w:rsidRPr="00720B94">
        <w:rPr>
          <w:rFonts w:eastAsia="Arial" w:cs="Arial"/>
        </w:rPr>
        <w:t>have the ability to</w:t>
      </w:r>
      <w:proofErr w:type="gramEnd"/>
      <w:r w:rsidRPr="00720B94">
        <w:rPr>
          <w:rFonts w:eastAsia="Arial" w:cs="Arial"/>
        </w:rPr>
        <w:t xml:space="preserve"> directly threaten the health and safety of individuals, animals, and plants, or pose risks to animal or plant products. Their ability to adversely affect human, animal, and plant health can occur in a variety of ways, ranging from mild conditions (i.e., allergic reactions, treatable diseases, or tissue irritation/damage) to serious conditions (i.e., incurable disease, crop decimation, or death). Such biological agents are widespread in the natural environment and are found in water, soil, plants, and animals. Because many microbes and viruses reproduce rapidly, sometimes requiring minimal resources to do so, they represent a potential danger in numerous settings. In some forms, biological agents can also be weaponized for use in bioterrorism or other crimes. The Occupational Safety &amp; Health Administration (OSHA) recognizes </w:t>
      </w:r>
      <w:hyperlink r:id="rId178" w:history="1">
        <w:r w:rsidRPr="00717676">
          <w:rPr>
            <w:rStyle w:val="Hyperlink"/>
            <w:rFonts w:eastAsia="Arial" w:cs="Arial"/>
            <w:color w:val="007D89" w:themeColor="accent3" w:themeShade="BF"/>
          </w:rPr>
          <w:t>a list of biological agents</w:t>
        </w:r>
      </w:hyperlink>
      <w:r w:rsidRPr="00720B94">
        <w:rPr>
          <w:rFonts w:eastAsia="Arial" w:cs="Arial"/>
        </w:rPr>
        <w:t xml:space="preserve">, and a </w:t>
      </w:r>
      <w:hyperlink r:id="rId179" w:history="1">
        <w:r w:rsidRPr="00717676">
          <w:rPr>
            <w:rStyle w:val="Hyperlink"/>
            <w:rFonts w:eastAsia="Arial" w:cs="Arial"/>
            <w:color w:val="007D89" w:themeColor="accent3" w:themeShade="BF"/>
          </w:rPr>
          <w:t xml:space="preserve">list of </w:t>
        </w:r>
        <w:r w:rsidRPr="00717676">
          <w:rPr>
            <w:rStyle w:val="Hyperlink"/>
            <w:rFonts w:eastAsia="Arial" w:cs="Arial"/>
            <w:i/>
            <w:color w:val="007D89" w:themeColor="accent3" w:themeShade="BF"/>
          </w:rPr>
          <w:t>select</w:t>
        </w:r>
        <w:r w:rsidRPr="00717676">
          <w:rPr>
            <w:rStyle w:val="Hyperlink"/>
            <w:rFonts w:eastAsia="Arial" w:cs="Arial"/>
            <w:color w:val="007D89" w:themeColor="accent3" w:themeShade="BF"/>
          </w:rPr>
          <w:t xml:space="preserve"> agents and toxins</w:t>
        </w:r>
      </w:hyperlink>
      <w:r w:rsidRPr="00720B94">
        <w:rPr>
          <w:rFonts w:eastAsia="Arial" w:cs="Arial"/>
        </w:rPr>
        <w:t xml:space="preserve"> (with some overlap) is recognized by Health &amp; Human Services (HHS) and US Department of Agriculture (USDA).</w:t>
      </w:r>
    </w:p>
    <w:p w14:paraId="1799AB6D" w14:textId="77777777" w:rsidR="00347386" w:rsidRPr="00720B94" w:rsidRDefault="00347386" w:rsidP="00720B94">
      <w:pPr>
        <w:spacing w:line="276" w:lineRule="auto"/>
        <w:rPr>
          <w:rFonts w:eastAsia="Arial" w:cs="Arial"/>
        </w:rPr>
      </w:pPr>
      <w:r w:rsidRPr="00720B94">
        <w:rPr>
          <w:rFonts w:eastAsia="Arial" w:cs="Arial"/>
          <w:b/>
        </w:rPr>
        <w:t>Biological Materials:</w:t>
      </w:r>
      <w:r w:rsidRPr="00720B94">
        <w:rPr>
          <w:rFonts w:eastAsia="Arial" w:cs="Arial"/>
        </w:rPr>
        <w:t xml:space="preserve"> Biological materials are broadly defined as any biological entity, containing any organisms, viruses, or portions thereof, dead or alive. The focus on biological materials for the purpose of biosafety is restricted to those materials that have the potential to cause disease in humans, animals, plants, and pose risks to animal or plant products. The key distinction between a biological agent (select or otherwise) and a biological material in this document is that a </w:t>
      </w:r>
      <w:r w:rsidRPr="00720B94">
        <w:rPr>
          <w:rFonts w:eastAsia="Arial" w:cs="Arial"/>
          <w:i/>
        </w:rPr>
        <w:t>potential</w:t>
      </w:r>
      <w:r w:rsidRPr="00720B94">
        <w:rPr>
          <w:rFonts w:eastAsia="Arial" w:cs="Arial"/>
        </w:rPr>
        <w:t xml:space="preserve"> risk </w:t>
      </w:r>
      <w:r w:rsidRPr="00720B94">
        <w:rPr>
          <w:rFonts w:eastAsia="Arial" w:cs="Arial"/>
          <w:i/>
        </w:rPr>
        <w:t>may</w:t>
      </w:r>
      <w:r w:rsidRPr="00720B94">
        <w:rPr>
          <w:rFonts w:eastAsia="Arial" w:cs="Arial"/>
        </w:rPr>
        <w:t xml:space="preserve"> exist in a biological material, but that risk is unknown or unlikely without further isolation, enrichment, or other alteration of that material. Biological agents carry known risks. In some instances, a biological material (like a soil sample or human blood) may contain a biological agent (and even a select biological agent), but without isolation, enrichment, and expansion of the agent from within, that biological material is unlikely to pose a direct risk to humans, animals, plants, or animal or plant products. Such cases will depend on the nature of the biological material, the manipulation of that material, and the potential biological agent(s) contained therein.</w:t>
      </w:r>
    </w:p>
    <w:p w14:paraId="7D523076" w14:textId="77777777" w:rsidR="00347386" w:rsidRPr="00720B94" w:rsidRDefault="00347386" w:rsidP="00720B94">
      <w:pPr>
        <w:rPr>
          <w:rFonts w:eastAsia="Arial" w:cs="Arial"/>
        </w:rPr>
      </w:pPr>
      <w:r w:rsidRPr="00720B94">
        <w:rPr>
          <w:rFonts w:eastAsia="Arial" w:cs="Arial"/>
          <w:b/>
        </w:rPr>
        <w:t xml:space="preserve">Biological Safety Cabinet (BSC): </w:t>
      </w:r>
      <w:r w:rsidRPr="00720B94">
        <w:rPr>
          <w:rFonts w:eastAsia="Arial" w:cs="Arial"/>
        </w:rPr>
        <w:t>A BSC is a primary engineering control used to protect personnel against biohazardous or infectious agents and to help maintain quality control of the material being worked with, as it filters both the inflow and exhaust air. It is sometimes referred to as a laminar flow or tissue culture hood. BSCs are primarily designed to protect against exposure to particulates or aerosols. A portion of the air in most BSCs is recirculated back into the lab through an exhaust HEPA filter. This purifies the air of potentially infectious aerosols, animal dander, or both but does not reduce exposure to chemicals.</w:t>
      </w:r>
    </w:p>
    <w:p w14:paraId="551A2417" w14:textId="77777777" w:rsidR="00347386" w:rsidRPr="00720B94" w:rsidRDefault="00347386" w:rsidP="00720B94">
      <w:pPr>
        <w:rPr>
          <w:rFonts w:eastAsia="Arial" w:cs="Arial"/>
          <w:bCs/>
        </w:rPr>
      </w:pPr>
      <w:r w:rsidRPr="00720B94">
        <w:rPr>
          <w:rFonts w:eastAsia="Arial" w:cs="Arial"/>
          <w:b/>
        </w:rPr>
        <w:t xml:space="preserve">Biological Safety Officer (BSO): </w:t>
      </w:r>
      <w:r w:rsidRPr="00720B94">
        <w:rPr>
          <w:rFonts w:eastAsia="Arial" w:cs="Arial"/>
          <w:bCs/>
        </w:rPr>
        <w:t xml:space="preserve">A BSO is a required member of the IBC if an institution conducts research with recombinant or synthetic nucleic acid molecules at Biosafety Level 3 (BSL3) or higher or in large-scale (greater than 10 liters), or if the institution conducts any research involving gene drive modified organisms (GDMOs). BSO requirements and duties are outlined in the NIH Guidelines, </w:t>
      </w:r>
      <w:hyperlink r:id="rId180" w:anchor="_Toc3457059" w:history="1">
        <w:r w:rsidRPr="00717676">
          <w:rPr>
            <w:rStyle w:val="Hyperlink"/>
            <w:rFonts w:eastAsia="Arial" w:cs="Arial"/>
            <w:bCs/>
            <w:color w:val="007D89" w:themeColor="accent3" w:themeShade="BF"/>
          </w:rPr>
          <w:t>Section IV-B-3</w:t>
        </w:r>
      </w:hyperlink>
      <w:r w:rsidRPr="00720B94">
        <w:rPr>
          <w:rFonts w:eastAsia="Arial" w:cs="Arial"/>
          <w:bCs/>
        </w:rPr>
        <w:t>.</w:t>
      </w:r>
    </w:p>
    <w:p w14:paraId="66E75EB2" w14:textId="77777777" w:rsidR="00347386" w:rsidRPr="00720B94" w:rsidRDefault="00347386" w:rsidP="00720B94">
      <w:r w:rsidRPr="00720B94">
        <w:rPr>
          <w:rFonts w:eastAsia="Arial" w:cs="Arial"/>
          <w:b/>
        </w:rPr>
        <w:t xml:space="preserve">Biosafety Level (BSL): </w:t>
      </w:r>
      <w:r w:rsidRPr="00720B94">
        <w:t xml:space="preserve">The four primary Biosafety Levels (BSLs) (BSL-1 through BSL-4) for laboratories consist of combinations of facility design features and safety equipment (primary and secondary barriers), facility practices and procedures, and personal protective equipment. Selection of the appropriate combinations to safely conduct the work should be based upon a comprehensive facility-specific biosafety risk assessment that documents the properties of the biological agents and toxins to be used, potential host characteristics, potential routes of infection, and the laboratory work </w:t>
      </w:r>
      <w:r w:rsidRPr="00720B94">
        <w:lastRenderedPageBreak/>
        <w:t>practices and procedures conducted or anticipated to be used in the future. BSLs are not necessarily equated with Risk Groups. (Also s</w:t>
      </w:r>
      <w:r w:rsidRPr="00720B94">
        <w:rPr>
          <w:rFonts w:eastAsia="Arial" w:cs="Arial"/>
        </w:rPr>
        <w:t xml:space="preserve">ee </w:t>
      </w:r>
      <w:hyperlink w:anchor="_Biosafety_Levels_&amp;" w:history="1">
        <w:r w:rsidRPr="00717676">
          <w:rPr>
            <w:rStyle w:val="Hyperlink"/>
            <w:rFonts w:eastAsia="Arial" w:cs="Arial"/>
            <w:color w:val="007D89" w:themeColor="accent3" w:themeShade="BF"/>
          </w:rPr>
          <w:t>Biosafety Levels &amp; Risk Groups</w:t>
        </w:r>
      </w:hyperlink>
      <w:r w:rsidRPr="00720B94">
        <w:rPr>
          <w:rFonts w:eastAsia="Arial" w:cs="Arial"/>
        </w:rPr>
        <w:t xml:space="preserve"> in this guide.)</w:t>
      </w:r>
    </w:p>
    <w:p w14:paraId="5528B26C" w14:textId="77777777" w:rsidR="00347386" w:rsidRPr="00720B94" w:rsidRDefault="00347386" w:rsidP="00720B94">
      <w:pPr>
        <w:spacing w:line="276" w:lineRule="auto"/>
        <w:rPr>
          <w:rFonts w:eastAsia="Arial" w:cs="Arial"/>
          <w:bCs/>
        </w:rPr>
      </w:pPr>
      <w:r w:rsidRPr="00720B94">
        <w:rPr>
          <w:rFonts w:eastAsia="Arial" w:cs="Arial"/>
          <w:b/>
        </w:rPr>
        <w:t xml:space="preserve">Biosafety Protocol Application: </w:t>
      </w:r>
      <w:r w:rsidRPr="00720B94">
        <w:rPr>
          <w:rFonts w:eastAsia="Arial" w:cs="Arial"/>
          <w:bCs/>
        </w:rPr>
        <w:t>This document is the application for all research or instructional activities that pose a potential biosafety hazard to personnel or the environment. Prior to beginning research or teaching involving a potential biosafety hazard, a PI or instructor must complete the appropriate sections of the Biosafety Protocol Application and have the protocol approved by the IBC.</w:t>
      </w:r>
    </w:p>
    <w:p w14:paraId="1551B852" w14:textId="77777777" w:rsidR="00347386" w:rsidRPr="00720B94" w:rsidRDefault="00347386" w:rsidP="00720B94">
      <w:pPr>
        <w:spacing w:line="276" w:lineRule="auto"/>
        <w:rPr>
          <w:rFonts w:eastAsia="Arial" w:cs="Arial"/>
        </w:rPr>
      </w:pPr>
      <w:r w:rsidRPr="00720B94">
        <w:rPr>
          <w:rFonts w:eastAsia="Arial" w:cs="Arial"/>
          <w:b/>
          <w:bCs/>
        </w:rPr>
        <w:t xml:space="preserve">Dual Use Research of Concern (DURC): </w:t>
      </w:r>
      <w:r w:rsidRPr="00720B94">
        <w:rPr>
          <w:rFonts w:eastAsia="Arial" w:cs="Arial"/>
        </w:rPr>
        <w:t>Life sciences r</w:t>
      </w:r>
      <w:r w:rsidRPr="00720B94">
        <w:t xml:space="preserve">esearch that, based on current understanding, can be reasonably anticipated to provide knowledge, information, products, or technologies that could be misapplied to do harm with no, or only minor, modification to pose a significant threat with potential consequences to public health and safety, agricultural crops and other plants, animals, the environment, material, or national security. Refer to the </w:t>
      </w:r>
      <w:hyperlink r:id="rId181" w:history="1">
        <w:r w:rsidRPr="00717676">
          <w:rPr>
            <w:rStyle w:val="Hyperlink"/>
            <w:color w:val="007D89" w:themeColor="accent3" w:themeShade="BF"/>
          </w:rPr>
          <w:t>US Government Policy for Oversight of Dual Use Research of Concern (DURC) and Pathogens with Enhanced Pandemic Potential (PEPP)</w:t>
        </w:r>
      </w:hyperlink>
      <w:r w:rsidRPr="00720B94">
        <w:rPr>
          <w:rFonts w:eastAsia="Arial" w:cs="Arial"/>
        </w:rPr>
        <w:t xml:space="preserve">, </w:t>
      </w:r>
      <w:hyperlink r:id="rId182" w:history="1">
        <w:r w:rsidRPr="00717676">
          <w:rPr>
            <w:rStyle w:val="Hyperlink"/>
            <w:rFonts w:eastAsia="Arial" w:cs="Arial"/>
            <w:color w:val="007D89" w:themeColor="accent3" w:themeShade="BF"/>
          </w:rPr>
          <w:t>Implementation Guidance</w:t>
        </w:r>
      </w:hyperlink>
      <w:r w:rsidRPr="00720B94">
        <w:rPr>
          <w:rFonts w:eastAsia="Arial" w:cs="Arial"/>
        </w:rPr>
        <w:t xml:space="preserve">, and </w:t>
      </w:r>
      <w:hyperlink w:anchor="_Dual_Use_Research" w:history="1">
        <w:r w:rsidRPr="00717676">
          <w:rPr>
            <w:rStyle w:val="Hyperlink"/>
            <w:rFonts w:eastAsia="Arial" w:cs="Arial"/>
            <w:color w:val="007D89" w:themeColor="accent3" w:themeShade="BF"/>
          </w:rPr>
          <w:t>DURC &amp; PEPP section</w:t>
        </w:r>
      </w:hyperlink>
      <w:r w:rsidRPr="00720B94">
        <w:rPr>
          <w:rFonts w:eastAsia="Arial" w:cs="Arial"/>
        </w:rPr>
        <w:t xml:space="preserve"> of this guide.</w:t>
      </w:r>
    </w:p>
    <w:p w14:paraId="7B18E885" w14:textId="77777777" w:rsidR="00347386" w:rsidRPr="00720B94" w:rsidRDefault="00347386" w:rsidP="00720B94">
      <w:pPr>
        <w:spacing w:line="276" w:lineRule="auto"/>
        <w:rPr>
          <w:rFonts w:eastAsia="Arial" w:cs="Arial"/>
          <w:bCs/>
        </w:rPr>
      </w:pPr>
      <w:r w:rsidRPr="00720B94">
        <w:rPr>
          <w:rFonts w:eastAsia="Arial" w:cs="Arial"/>
          <w:b/>
        </w:rPr>
        <w:t xml:space="preserve">Gene Drive Modified Organism (GDMO): </w:t>
      </w:r>
      <w:r w:rsidRPr="00720B94">
        <w:t xml:space="preserve">Per NIH Guidelines, </w:t>
      </w:r>
      <w:hyperlink r:id="rId183" w:anchor="_Toc3457024" w:history="1">
        <w:r w:rsidRPr="00717676">
          <w:rPr>
            <w:rStyle w:val="Hyperlink"/>
            <w:color w:val="007D89" w:themeColor="accent3" w:themeShade="BF"/>
          </w:rPr>
          <w:t>Section I-E-7</w:t>
        </w:r>
      </w:hyperlink>
      <w:r w:rsidRPr="00720B94">
        <w:t>, “gene drive is a technology whereby a particular heritable element biases inheritance in its favor, resulting in the heritable element becoming more prevalent than predicted by Mendelian laws of inheritance in a population over successive generations.”</w:t>
      </w:r>
    </w:p>
    <w:p w14:paraId="059D2224" w14:textId="77777777" w:rsidR="00347386" w:rsidRPr="00720B94" w:rsidRDefault="00347386" w:rsidP="00720B94">
      <w:pPr>
        <w:spacing w:line="276" w:lineRule="auto"/>
        <w:rPr>
          <w:rFonts w:eastAsia="Arial" w:cs="Arial"/>
        </w:rPr>
      </w:pPr>
      <w:r w:rsidRPr="00720B94">
        <w:rPr>
          <w:rFonts w:eastAsia="Arial" w:cs="Arial"/>
          <w:b/>
          <w:bCs/>
        </w:rPr>
        <w:t xml:space="preserve">Institutional Biosafety Committee (IBC): </w:t>
      </w:r>
      <w:r w:rsidRPr="00720B94">
        <w:rPr>
          <w:rFonts w:eastAsia="Arial" w:cs="Arial"/>
        </w:rPr>
        <w:t xml:space="preserve">The IBC consists of a group of faculty, staff, and non-university affiliated members of the </w:t>
      </w:r>
      <w:proofErr w:type="gramStart"/>
      <w:r w:rsidRPr="00720B94">
        <w:rPr>
          <w:rFonts w:eastAsia="Arial" w:cs="Arial"/>
        </w:rPr>
        <w:t>general public</w:t>
      </w:r>
      <w:proofErr w:type="gramEnd"/>
      <w:r w:rsidRPr="00720B94">
        <w:rPr>
          <w:rFonts w:eastAsia="Arial" w:cs="Arial"/>
        </w:rPr>
        <w:t xml:space="preserve"> appointed by the university to oversee biosafety documentation of related practices at the university or associated sites. This committee is responsible for reviewing and approving proposed biosafety protocol applications </w:t>
      </w:r>
      <w:r w:rsidRPr="00720B94">
        <w:rPr>
          <w:rFonts w:eastAsia="Arial" w:cs="Arial"/>
          <w:i/>
          <w:iCs/>
        </w:rPr>
        <w:t>before</w:t>
      </w:r>
      <w:r w:rsidRPr="00720B94">
        <w:rPr>
          <w:rFonts w:eastAsia="Arial" w:cs="Arial"/>
        </w:rPr>
        <w:t xml:space="preserve"> activities may be conducted with various biological agents, biological materials, or recombinant materials.</w:t>
      </w:r>
    </w:p>
    <w:p w14:paraId="7833813D" w14:textId="77777777" w:rsidR="00347386" w:rsidRPr="00720B94" w:rsidRDefault="00347386" w:rsidP="00720B94">
      <w:pPr>
        <w:spacing w:line="279" w:lineRule="auto"/>
      </w:pPr>
      <w:r w:rsidRPr="00720B94">
        <w:rPr>
          <w:b/>
          <w:bCs/>
        </w:rPr>
        <w:t>Institutional Contact for Dual Use Research (ICDUR)</w:t>
      </w:r>
      <w:r w:rsidRPr="00720B94">
        <w:t xml:space="preserve">: Official designated by the research institution to serve as an internal resource for application of the </w:t>
      </w:r>
      <w:hyperlink r:id="rId184" w:history="1">
        <w:r w:rsidRPr="00717676">
          <w:rPr>
            <w:rStyle w:val="Hyperlink"/>
            <w:color w:val="007D89" w:themeColor="accent3" w:themeShade="BF"/>
          </w:rPr>
          <w:t>US Government Policy for Oversight of Dual Use Research of Concern (DURC) and Pathogens with Enhanced Pandemic Potential (PEPP)</w:t>
        </w:r>
      </w:hyperlink>
      <w:r w:rsidRPr="00720B94">
        <w:t xml:space="preserve"> as well as serve as the liaison (as necessary) between the institution and the relevant federal funding agency.</w:t>
      </w:r>
    </w:p>
    <w:p w14:paraId="6AF1E9E8" w14:textId="77777777" w:rsidR="00347386" w:rsidRPr="00720B94" w:rsidRDefault="00347386" w:rsidP="00720B94">
      <w:pPr>
        <w:spacing w:line="279" w:lineRule="auto"/>
      </w:pPr>
      <w:r w:rsidRPr="00720B94">
        <w:rPr>
          <w:b/>
          <w:bCs/>
        </w:rPr>
        <w:t>Institutional Review Entity (IRE)</w:t>
      </w:r>
      <w:r w:rsidRPr="00720B94">
        <w:t xml:space="preserve">: Entity established by the research institution to execute the institutional oversight responsibilities outlined in the </w:t>
      </w:r>
      <w:hyperlink r:id="rId185" w:history="1">
        <w:r w:rsidRPr="00717676">
          <w:rPr>
            <w:rStyle w:val="Hyperlink"/>
            <w:color w:val="007D89" w:themeColor="accent3" w:themeShade="BF"/>
          </w:rPr>
          <w:t>US Government Policy for Oversight of Dual Use Research of Concern (DURC) and Pathogens with Enhanced Pandemic Potential (PEPP)</w:t>
        </w:r>
      </w:hyperlink>
      <w:r w:rsidRPr="00720B94">
        <w:t>.</w:t>
      </w:r>
    </w:p>
    <w:p w14:paraId="62A9FDFB" w14:textId="007DC5DC" w:rsidR="00DD3A2A" w:rsidRPr="00720B94" w:rsidRDefault="00DD3A2A" w:rsidP="00720B94">
      <w:pPr>
        <w:spacing w:line="276" w:lineRule="auto"/>
        <w:rPr>
          <w:color w:val="282A2E"/>
        </w:rPr>
      </w:pPr>
      <w:r w:rsidRPr="00720B94">
        <w:rPr>
          <w:b/>
          <w:bCs/>
          <w:color w:val="282A2E"/>
        </w:rPr>
        <w:t xml:space="preserve">Laboratory: </w:t>
      </w:r>
      <w:r w:rsidRPr="00720B94">
        <w:rPr>
          <w:color w:val="282A2E"/>
        </w:rPr>
        <w:t>For the purposes of this document, a laboratory refers to any space where applicable teaching and research activities occur</w:t>
      </w:r>
      <w:r w:rsidR="00942D4C" w:rsidRPr="00720B94">
        <w:rPr>
          <w:color w:val="282A2E"/>
        </w:rPr>
        <w:t xml:space="preserve"> </w:t>
      </w:r>
      <w:r w:rsidR="00942D4C" w:rsidRPr="00720B94">
        <w:rPr>
          <w:rFonts w:eastAsia="Arial" w:cs="Arial"/>
        </w:rPr>
        <w:t>involving biological materials that entail a potential risk to humans, animals, plants, or the environment, a UWL faculty or staff member.</w:t>
      </w:r>
    </w:p>
    <w:p w14:paraId="5DA76716" w14:textId="22383DDD" w:rsidR="00347386" w:rsidRPr="00720B94" w:rsidRDefault="00347386" w:rsidP="00720B94">
      <w:pPr>
        <w:spacing w:line="276" w:lineRule="auto"/>
        <w:rPr>
          <w:rFonts w:eastAsia="Arial" w:cs="Arial"/>
        </w:rPr>
      </w:pPr>
      <w:r w:rsidRPr="00720B94">
        <w:rPr>
          <w:b/>
          <w:bCs/>
          <w:color w:val="282A2E"/>
        </w:rPr>
        <w:t>Pathogen with Enhanced Pandemic Potential (PEPP</w:t>
      </w:r>
      <w:r w:rsidRPr="00720B94">
        <w:rPr>
          <w:b/>
          <w:bCs/>
          <w:color w:val="282A2E"/>
          <w:shd w:val="clear" w:color="auto" w:fill="FFFFFF"/>
        </w:rPr>
        <w:t>):</w:t>
      </w:r>
      <w:r w:rsidRPr="00720B94">
        <w:rPr>
          <w:color w:val="282A2E"/>
          <w:shd w:val="clear" w:color="auto" w:fill="FFFFFF"/>
        </w:rPr>
        <w:t xml:space="preserve"> PEPP is a type of pathogen with pandemic potential (PPP) resulting from experiments that enhance a pathogen’s transmissibility or virulence, or disrupt the effectiveness of pre-existing immunity, regardless of its progenitor agent, such that it may pose a significant threat to public health, the capacity of health systems to function, or national security. Wild-type pathogens that are circulating in or have been recovered from nature are not PEPPs but may be considered PPPs because of their pandemic potential. </w:t>
      </w:r>
      <w:r w:rsidRPr="00720B94">
        <w:t xml:space="preserve">“Progenitor agent” refers to the starting pathogen of the proposed experiment, which may be a PPP in its wild-type form or a pathogen that is not considered a PPP in its wild-type form, but that when modified meets the definition of a PEPP. Refer to the </w:t>
      </w:r>
      <w:hyperlink r:id="rId186" w:history="1">
        <w:r w:rsidRPr="00717676">
          <w:rPr>
            <w:rStyle w:val="Hyperlink"/>
            <w:color w:val="007D89" w:themeColor="accent3" w:themeShade="BF"/>
          </w:rPr>
          <w:t xml:space="preserve">US Government Policy for Oversight of Dual Use Research of Concern (DURC) and </w:t>
        </w:r>
        <w:r w:rsidRPr="00717676">
          <w:rPr>
            <w:rStyle w:val="Hyperlink"/>
            <w:color w:val="007D89" w:themeColor="accent3" w:themeShade="BF"/>
          </w:rPr>
          <w:lastRenderedPageBreak/>
          <w:t>Pathogens with Enhanced Pandemic Potential (PEPP)</w:t>
        </w:r>
      </w:hyperlink>
      <w:r w:rsidRPr="00720B94">
        <w:rPr>
          <w:rFonts w:eastAsia="Arial" w:cs="Arial"/>
        </w:rPr>
        <w:t xml:space="preserve">, </w:t>
      </w:r>
      <w:hyperlink r:id="rId187" w:history="1">
        <w:r w:rsidRPr="00717676">
          <w:rPr>
            <w:rStyle w:val="Hyperlink"/>
            <w:rFonts w:eastAsia="Arial" w:cs="Arial"/>
            <w:color w:val="007D89" w:themeColor="accent3" w:themeShade="BF"/>
          </w:rPr>
          <w:t>Implementation Guidance</w:t>
        </w:r>
      </w:hyperlink>
      <w:r w:rsidRPr="00720B94">
        <w:rPr>
          <w:rFonts w:eastAsia="Arial" w:cs="Arial"/>
        </w:rPr>
        <w:t xml:space="preserve">, and </w:t>
      </w:r>
      <w:hyperlink w:anchor="_Dual_Use_Research" w:history="1">
        <w:r w:rsidRPr="00717676">
          <w:rPr>
            <w:rStyle w:val="Hyperlink"/>
            <w:rFonts w:eastAsia="Arial" w:cs="Arial"/>
            <w:color w:val="007D89" w:themeColor="accent3" w:themeShade="BF"/>
          </w:rPr>
          <w:t>DURC &amp; PEPP section</w:t>
        </w:r>
      </w:hyperlink>
      <w:r w:rsidRPr="00720B94">
        <w:rPr>
          <w:rFonts w:eastAsia="Arial" w:cs="Arial"/>
        </w:rPr>
        <w:t xml:space="preserve"> of this guide.</w:t>
      </w:r>
    </w:p>
    <w:p w14:paraId="7A2A8FEE" w14:textId="77777777" w:rsidR="00347386" w:rsidRPr="00720B94" w:rsidRDefault="00347386" w:rsidP="00720B94">
      <w:pPr>
        <w:spacing w:line="276" w:lineRule="auto"/>
        <w:rPr>
          <w:rFonts w:eastAsia="Arial" w:cs="Arial"/>
        </w:rPr>
      </w:pPr>
      <w:r w:rsidRPr="00720B94">
        <w:rPr>
          <w:b/>
          <w:bCs/>
        </w:rPr>
        <w:t>Pathogen with Pandemic Potential (PPP):</w:t>
      </w:r>
      <w:r w:rsidRPr="00720B94">
        <w:t xml:space="preserve"> Pathogen that is likely capable of wide and uncontrollable spread in a human population and would likely cause moderate to severe disease and/or mortality in humans.</w:t>
      </w:r>
    </w:p>
    <w:p w14:paraId="4DE08E9A" w14:textId="77777777" w:rsidR="00347386" w:rsidRPr="00720B94" w:rsidRDefault="00347386" w:rsidP="00720B94">
      <w:pPr>
        <w:spacing w:line="276" w:lineRule="auto"/>
        <w:rPr>
          <w:rFonts w:eastAsia="Arial" w:cs="Arial"/>
        </w:rPr>
      </w:pPr>
      <w:r w:rsidRPr="00720B94">
        <w:rPr>
          <w:rFonts w:eastAsia="Arial" w:cs="Arial"/>
          <w:b/>
        </w:rPr>
        <w:t>Personal Protective Equipment (PPE):</w:t>
      </w:r>
      <w:r w:rsidRPr="00720B94">
        <w:rPr>
          <w:rFonts w:eastAsia="Arial" w:cs="Arial"/>
        </w:rPr>
        <w:t xml:space="preserve"> PPE is any attire that </w:t>
      </w:r>
      <w:r w:rsidRPr="00720B94">
        <w:t>helps protect the user’s body from injury from a variety of sources (e.g., physical, electrical, heat, noise, chemical) or potential exposure to biological hazards and airborne particulate matter. PPE includes gloves, coats, gowns, shoe covers, closed-toe laboratory footwear, respirators, face shields, safety glasses, goggles, or ear plugs. PPE is usually used in combination with other biosafety controls (e.g., BSCs, centrifuge safety cups, small animal caging systems) that contain the hazardous biological agents and toxins, animals, or materials being handled.</w:t>
      </w:r>
      <w:r w:rsidRPr="00720B94">
        <w:rPr>
          <w:rFonts w:eastAsia="Arial" w:cs="Arial"/>
        </w:rPr>
        <w:t xml:space="preserve"> (Also see </w:t>
      </w:r>
      <w:hyperlink w:anchor="_Personal_Protective_Equipment" w:history="1">
        <w:r w:rsidRPr="00717676">
          <w:rPr>
            <w:rStyle w:val="Hyperlink"/>
            <w:rFonts w:eastAsia="Arial" w:cs="Arial"/>
            <w:color w:val="007D89" w:themeColor="accent3" w:themeShade="BF"/>
          </w:rPr>
          <w:t>Personal Protective Equipment (PPE)</w:t>
        </w:r>
      </w:hyperlink>
      <w:r w:rsidRPr="00720B94">
        <w:rPr>
          <w:rFonts w:eastAsia="Arial" w:cs="Arial"/>
        </w:rPr>
        <w:t xml:space="preserve"> in this guide.)</w:t>
      </w:r>
    </w:p>
    <w:p w14:paraId="3ACB8E93" w14:textId="77777777" w:rsidR="00347386" w:rsidRPr="00720B94" w:rsidRDefault="00347386" w:rsidP="00720B94">
      <w:pPr>
        <w:rPr>
          <w:rFonts w:eastAsia="Arial" w:cs="Arial"/>
        </w:rPr>
      </w:pPr>
      <w:r w:rsidRPr="00720B94">
        <w:rPr>
          <w:rFonts w:eastAsia="Arial" w:cs="Arial"/>
          <w:b/>
        </w:rPr>
        <w:t xml:space="preserve">Personnel: </w:t>
      </w:r>
      <w:r w:rsidRPr="00720B94">
        <w:rPr>
          <w:rFonts w:eastAsia="Arial" w:cs="Arial"/>
        </w:rPr>
        <w:t>In this manual, personnel are broadly defined as anyone taking part in research or instructional activities, biological shipping/receiving and disposal, or other aspects of any project involving biological agents, biological materials, or recombinant materials. Examples of personnel include but are not limited to faculty, staff, students, and collaborators.</w:t>
      </w:r>
    </w:p>
    <w:p w14:paraId="2E297512" w14:textId="77777777" w:rsidR="00347386" w:rsidRPr="00720B94" w:rsidRDefault="00347386" w:rsidP="00720B94">
      <w:pPr>
        <w:spacing w:line="276" w:lineRule="auto"/>
        <w:rPr>
          <w:rFonts w:eastAsia="Arial" w:cs="Arial"/>
          <w:bCs/>
        </w:rPr>
      </w:pPr>
      <w:r w:rsidRPr="00720B94">
        <w:rPr>
          <w:rFonts w:eastAsia="Arial" w:cs="Arial"/>
          <w:b/>
        </w:rPr>
        <w:t xml:space="preserve">Principal Investigator (PI): </w:t>
      </w:r>
      <w:r w:rsidRPr="00720B94">
        <w:rPr>
          <w:rFonts w:eastAsia="Arial" w:cs="Arial"/>
          <w:bCs/>
        </w:rPr>
        <w:t>In this manual, a</w:t>
      </w:r>
      <w:r w:rsidRPr="00720B94">
        <w:rPr>
          <w:rFonts w:eastAsia="Arial" w:cs="Arial"/>
        </w:rPr>
        <w:t xml:space="preserve"> PI is the lead individual on an approved Biosafety Protocol Application. </w:t>
      </w:r>
      <w:r w:rsidRPr="00720B94">
        <w:t>For the purposes of activities requiring IBC review and approval, only a university faculty or staff member with a continuing appointment may be listed as the PI on a Biosafety Protocol. Students are not eligible to be listed as PIs on Biosafety Protocols.</w:t>
      </w:r>
    </w:p>
    <w:p w14:paraId="077CFAF3" w14:textId="77777777" w:rsidR="00347386" w:rsidRPr="00720B94" w:rsidRDefault="00347386" w:rsidP="00720B94">
      <w:r w:rsidRPr="00720B94">
        <w:rPr>
          <w:rFonts w:eastAsia="Arial" w:cs="Arial"/>
          <w:b/>
        </w:rPr>
        <w:t xml:space="preserve">Recombinant and synthetic nucleic acids: </w:t>
      </w:r>
      <w:r w:rsidRPr="00720B94">
        <w:t>(</w:t>
      </w:r>
      <w:proofErr w:type="spellStart"/>
      <w:r w:rsidRPr="00720B94">
        <w:t>i</w:t>
      </w:r>
      <w:proofErr w:type="spellEnd"/>
      <w:r w:rsidRPr="00720B94">
        <w:t>) Molecules that a) are constructed by joining nucleic acid molecules and b) that can replicate in a living cell, i.e., recombinant nucleic acids; (ii) nucleic acid molecules that are chemically or by other means synthesized or amplified, including those that are chemically or otherwise modified but can base pair with naturally occurring nucleic acid molecules, i.e., synthetic nucleic acids, or (iii) molecules that result from the replication of those described in (</w:t>
      </w:r>
      <w:proofErr w:type="spellStart"/>
      <w:r w:rsidRPr="00720B94">
        <w:t>i</w:t>
      </w:r>
      <w:proofErr w:type="spellEnd"/>
      <w:r w:rsidRPr="00720B94">
        <w:t>) or (ii).</w:t>
      </w:r>
    </w:p>
    <w:p w14:paraId="60B3F3B9" w14:textId="14C181D5" w:rsidR="00347386" w:rsidRPr="00720B94" w:rsidRDefault="00347386" w:rsidP="00720B94">
      <w:pPr>
        <w:spacing w:line="276" w:lineRule="auto"/>
        <w:rPr>
          <w:rFonts w:eastAsia="Arial" w:cs="Arial"/>
        </w:rPr>
      </w:pPr>
      <w:r w:rsidRPr="00720B94">
        <w:rPr>
          <w:rFonts w:eastAsia="Arial" w:cs="Arial"/>
          <w:b/>
        </w:rPr>
        <w:t xml:space="preserve">Risk Group (RG): </w:t>
      </w:r>
      <w:r w:rsidRPr="00720B94">
        <w:rPr>
          <w:rFonts w:eastAsia="Arial" w:cs="Arial"/>
        </w:rPr>
        <w:t xml:space="preserve">RGs are used to describe an agent and its ability to cause disease in healthy human adults and spread within the community, as well as </w:t>
      </w:r>
      <w:proofErr w:type="gramStart"/>
      <w:r w:rsidRPr="00720B94">
        <w:rPr>
          <w:rFonts w:eastAsia="Arial" w:cs="Arial"/>
        </w:rPr>
        <w:t>whether or not</w:t>
      </w:r>
      <w:proofErr w:type="gramEnd"/>
      <w:r w:rsidRPr="00720B94">
        <w:rPr>
          <w:rFonts w:eastAsia="Arial" w:cs="Arial"/>
        </w:rPr>
        <w:t xml:space="preserve"> treatments are available. Agents are classified by the following criteria: (</w:t>
      </w:r>
      <w:proofErr w:type="spellStart"/>
      <w:r w:rsidR="00C56496" w:rsidRPr="00720B94">
        <w:rPr>
          <w:rFonts w:eastAsia="Arial" w:cs="Arial"/>
        </w:rPr>
        <w:t>i</w:t>
      </w:r>
      <w:proofErr w:type="spellEnd"/>
      <w:r w:rsidRPr="00720B94">
        <w:rPr>
          <w:rFonts w:eastAsia="Arial" w:cs="Arial"/>
        </w:rPr>
        <w:t>) Risk Group 1 (RG1) agents are not associated with disease in healthy adult humans. (</w:t>
      </w:r>
      <w:r w:rsidR="00C56496" w:rsidRPr="00720B94">
        <w:rPr>
          <w:rFonts w:eastAsia="Arial" w:cs="Arial"/>
        </w:rPr>
        <w:t>ii</w:t>
      </w:r>
      <w:r w:rsidRPr="00720B94">
        <w:rPr>
          <w:rFonts w:eastAsia="Arial" w:cs="Arial"/>
        </w:rPr>
        <w:t>) Risk Group 2 (RG2) agents are associated with human disease which is rarely serious and for which preventive or therapeutic interventions are often available. (</w:t>
      </w:r>
      <w:r w:rsidR="00C56496" w:rsidRPr="00720B94">
        <w:rPr>
          <w:rFonts w:eastAsia="Arial" w:cs="Arial"/>
        </w:rPr>
        <w:t>iii</w:t>
      </w:r>
      <w:r w:rsidRPr="00720B94">
        <w:rPr>
          <w:rFonts w:eastAsia="Arial" w:cs="Arial"/>
        </w:rPr>
        <w:t>) Risk Group 3 (RG3) agents are associated with serious or lethal human disease for which preventive or therapeutic interventions may be available. (</w:t>
      </w:r>
      <w:r w:rsidR="00C56496" w:rsidRPr="00720B94">
        <w:rPr>
          <w:rFonts w:eastAsia="Arial" w:cs="Arial"/>
        </w:rPr>
        <w:t>iv</w:t>
      </w:r>
      <w:r w:rsidRPr="00720B94">
        <w:rPr>
          <w:rFonts w:eastAsia="Arial" w:cs="Arial"/>
        </w:rPr>
        <w:t xml:space="preserve">) Risk Group 4 (RG4) agents are likely to cause serious or lethal human disease for which preventive or therapeutic interventions are not usually available. (Also see </w:t>
      </w:r>
      <w:hyperlink w:anchor="_Biosafety_Levels_&amp;" w:history="1">
        <w:r w:rsidRPr="00717676">
          <w:rPr>
            <w:rStyle w:val="Hyperlink"/>
            <w:rFonts w:eastAsia="Arial" w:cs="Arial"/>
            <w:color w:val="007D89" w:themeColor="accent3" w:themeShade="BF"/>
          </w:rPr>
          <w:t>Biosafety Levels &amp; Risk Groups</w:t>
        </w:r>
      </w:hyperlink>
      <w:r w:rsidRPr="00720B94">
        <w:rPr>
          <w:rFonts w:eastAsia="Arial" w:cs="Arial"/>
        </w:rPr>
        <w:t xml:space="preserve"> in this guide.)</w:t>
      </w:r>
    </w:p>
    <w:p w14:paraId="7299E9EE" w14:textId="77777777" w:rsidR="00347386" w:rsidRPr="00720B94" w:rsidRDefault="00347386" w:rsidP="00720B94">
      <w:r w:rsidRPr="00720B94">
        <w:rPr>
          <w:rFonts w:eastAsia="Arial" w:cs="Arial"/>
          <w:b/>
          <w:bCs/>
        </w:rPr>
        <w:t xml:space="preserve">Select Agents and Toxins: </w:t>
      </w:r>
      <w:r w:rsidRPr="00720B94">
        <w:t xml:space="preserve">Biological Select Agents and Toxins (BSATs) are biological agents that have been declared by the US Department of Health and Human Services (HHS) or by the US Department of Agriculture (USDA) to have the “potential to pose severe threat to public health and safety.” The Federal Select Agent Program regulates the laboratories that may possess, use, or transfer select agents within the United States. See the </w:t>
      </w:r>
      <w:hyperlink r:id="rId188" w:history="1">
        <w:r w:rsidRPr="00717676">
          <w:rPr>
            <w:rStyle w:val="Hyperlink"/>
            <w:color w:val="007D89" w:themeColor="accent3" w:themeShade="BF"/>
          </w:rPr>
          <w:t>full list online</w:t>
        </w:r>
      </w:hyperlink>
      <w:r w:rsidRPr="00720B94">
        <w:t>.</w:t>
      </w:r>
    </w:p>
    <w:p w14:paraId="41A2E6C4" w14:textId="741C3341" w:rsidR="00347386" w:rsidRPr="00720B94" w:rsidRDefault="00347386" w:rsidP="00720B94">
      <w:pPr>
        <w:spacing w:line="276" w:lineRule="auto"/>
        <w:rPr>
          <w:rFonts w:eastAsia="Arial" w:cs="Arial"/>
        </w:rPr>
      </w:pPr>
      <w:r w:rsidRPr="00720B94">
        <w:rPr>
          <w:rFonts w:eastAsia="Arial" w:cs="Arial"/>
          <w:b/>
        </w:rPr>
        <w:t xml:space="preserve">Visitors: </w:t>
      </w:r>
      <w:r w:rsidRPr="00720B94">
        <w:rPr>
          <w:rFonts w:eastAsia="Arial" w:cs="Arial"/>
        </w:rPr>
        <w:t xml:space="preserve">Visitors are anyone entering a research space or classroom in which a potential biosafety-related risk exists and who are not listed on the Biosafety Protocol and are not an IBC member. Visitors should be made aware of the specific biosafety-related risks associated with lab or classroom spaces, particularly as they relate to the heightened risks involving biosafety </w:t>
      </w:r>
      <w:proofErr w:type="gramStart"/>
      <w:r w:rsidRPr="00720B94">
        <w:rPr>
          <w:rFonts w:eastAsia="Arial" w:cs="Arial"/>
        </w:rPr>
        <w:t>level-2</w:t>
      </w:r>
      <w:proofErr w:type="gramEnd"/>
      <w:r w:rsidRPr="00720B94">
        <w:rPr>
          <w:rFonts w:eastAsia="Arial" w:cs="Arial"/>
        </w:rPr>
        <w:t xml:space="preserve"> procedures.</w:t>
      </w:r>
    </w:p>
    <w:p w14:paraId="26644D97" w14:textId="747BC032" w:rsidR="00347386" w:rsidRPr="00720B94" w:rsidRDefault="00347386" w:rsidP="00720B94">
      <w:pPr>
        <w:spacing w:line="276" w:lineRule="auto"/>
        <w:rPr>
          <w:rFonts w:eastAsia="Arial" w:cs="Arial"/>
        </w:rPr>
      </w:pPr>
      <w:bookmarkStart w:id="118" w:name="_Toc192509418"/>
      <w:r w:rsidRPr="00720B94">
        <w:rPr>
          <w:rStyle w:val="Heading1Char"/>
          <w:b/>
          <w:bCs/>
        </w:rPr>
        <w:lastRenderedPageBreak/>
        <w:t>Appendix L</w:t>
      </w:r>
      <w:bookmarkEnd w:id="118"/>
      <w:r w:rsidRPr="00720B94">
        <w:rPr>
          <w:b/>
          <w:bCs/>
          <w:sz w:val="28"/>
          <w:szCs w:val="28"/>
        </w:rPr>
        <w:t xml:space="preserve"> </w:t>
      </w:r>
      <w:r w:rsidRPr="00720B94">
        <w:rPr>
          <w:rStyle w:val="Heading1Char"/>
        </w:rPr>
        <w:t>– Glossary of Acronyms</w:t>
      </w:r>
      <w:r w:rsidRPr="00720B94">
        <w:rPr>
          <w:sz w:val="28"/>
          <w:szCs w:val="28"/>
        </w:rPr>
        <w:t xml:space="preserve"> </w:t>
      </w:r>
      <w:r w:rsidRPr="00720B94">
        <w:rPr>
          <w:i/>
          <w:iCs/>
          <w:sz w:val="28"/>
          <w:szCs w:val="28"/>
        </w:rPr>
        <w:t>(see pg. 3</w:t>
      </w:r>
      <w:r w:rsidR="00777133" w:rsidRPr="00720B94">
        <w:rPr>
          <w:i/>
          <w:iCs/>
          <w:sz w:val="28"/>
          <w:szCs w:val="28"/>
        </w:rPr>
        <w:t>8</w:t>
      </w:r>
      <w:r w:rsidRPr="00720B94">
        <w:rPr>
          <w:i/>
          <w:iCs/>
          <w:sz w:val="28"/>
          <w:szCs w:val="28"/>
        </w:rPr>
        <w:t>)</w:t>
      </w:r>
    </w:p>
    <w:p w14:paraId="27DD5418" w14:textId="77777777" w:rsidR="0081094E" w:rsidRPr="00720B94" w:rsidRDefault="0081094E" w:rsidP="00720B94">
      <w:pPr>
        <w:spacing w:line="276" w:lineRule="auto"/>
      </w:pPr>
      <w:r w:rsidRPr="00720B94">
        <w:t>APHIS: Animal &amp; Plant Health Inspection Service</w:t>
      </w:r>
    </w:p>
    <w:p w14:paraId="70EFE3AC" w14:textId="77777777" w:rsidR="0081094E" w:rsidRPr="00720B94" w:rsidRDefault="0081094E" w:rsidP="00720B94">
      <w:pPr>
        <w:spacing w:line="276" w:lineRule="auto"/>
        <w:rPr>
          <w:rFonts w:eastAsia="Arial" w:cs="Arial"/>
        </w:rPr>
      </w:pPr>
      <w:r w:rsidRPr="00720B94">
        <w:t>ABSA: American Biological Safety Association</w:t>
      </w:r>
    </w:p>
    <w:p w14:paraId="3DFE3E36" w14:textId="77777777" w:rsidR="0081094E" w:rsidRPr="00720B94" w:rsidRDefault="0081094E" w:rsidP="00720B94">
      <w:pPr>
        <w:spacing w:line="276" w:lineRule="auto"/>
        <w:rPr>
          <w:rFonts w:eastAsia="Arial" w:cs="Arial"/>
        </w:rPr>
      </w:pPr>
      <w:r w:rsidRPr="00720B94">
        <w:rPr>
          <w:rFonts w:eastAsia="Arial" w:cs="Arial"/>
        </w:rPr>
        <w:t>ABSL: animal biosafety level</w:t>
      </w:r>
    </w:p>
    <w:p w14:paraId="5DA579DA" w14:textId="77777777" w:rsidR="0081094E" w:rsidRPr="00720B94" w:rsidRDefault="0081094E" w:rsidP="00720B94">
      <w:pPr>
        <w:spacing w:line="276" w:lineRule="auto"/>
        <w:rPr>
          <w:rFonts w:eastAsia="Arial" w:cs="Arial"/>
        </w:rPr>
      </w:pPr>
      <w:r w:rsidRPr="00720B94">
        <w:rPr>
          <w:rFonts w:eastAsia="Arial" w:cs="Arial"/>
        </w:rPr>
        <w:t>BBP: bloodborne pathogens</w:t>
      </w:r>
    </w:p>
    <w:p w14:paraId="3040910A" w14:textId="77777777" w:rsidR="0081094E" w:rsidRPr="00720B94" w:rsidRDefault="0081094E" w:rsidP="00720B94">
      <w:pPr>
        <w:spacing w:line="276" w:lineRule="auto"/>
        <w:rPr>
          <w:rFonts w:eastAsia="Arial" w:cs="Arial"/>
        </w:rPr>
      </w:pPr>
      <w:r w:rsidRPr="00720B94">
        <w:rPr>
          <w:rFonts w:eastAsia="Arial" w:cs="Arial"/>
        </w:rPr>
        <w:t>BMBL: Biosafety in Microbiological and Biomedical Laboratories</w:t>
      </w:r>
    </w:p>
    <w:p w14:paraId="3808F53D" w14:textId="77777777" w:rsidR="0081094E" w:rsidRPr="00720B94" w:rsidRDefault="0081094E" w:rsidP="00720B94">
      <w:pPr>
        <w:spacing w:line="276" w:lineRule="auto"/>
      </w:pPr>
      <w:r w:rsidRPr="00720B94">
        <w:rPr>
          <w:rFonts w:eastAsia="Arial" w:cs="Arial"/>
        </w:rPr>
        <w:t xml:space="preserve">BSATs: </w:t>
      </w:r>
      <w:r w:rsidRPr="00720B94">
        <w:t>biological select agents and toxins</w:t>
      </w:r>
    </w:p>
    <w:p w14:paraId="4AB4FF60" w14:textId="77777777" w:rsidR="0081094E" w:rsidRPr="00720B94" w:rsidRDefault="0081094E" w:rsidP="00720B94">
      <w:pPr>
        <w:spacing w:line="276" w:lineRule="auto"/>
        <w:rPr>
          <w:rFonts w:eastAsia="Arial" w:cs="Arial"/>
        </w:rPr>
      </w:pPr>
      <w:r w:rsidRPr="00720B94">
        <w:t>BSC: biosafety cabinet</w:t>
      </w:r>
    </w:p>
    <w:p w14:paraId="1CB5D407" w14:textId="77777777" w:rsidR="0081094E" w:rsidRPr="00720B94" w:rsidRDefault="0081094E" w:rsidP="00720B94">
      <w:pPr>
        <w:spacing w:line="276" w:lineRule="auto"/>
        <w:rPr>
          <w:rFonts w:eastAsia="Arial" w:cs="Arial"/>
        </w:rPr>
      </w:pPr>
      <w:r w:rsidRPr="00720B94">
        <w:rPr>
          <w:rFonts w:eastAsia="Arial" w:cs="Arial"/>
        </w:rPr>
        <w:t>BSL: biosafety level</w:t>
      </w:r>
    </w:p>
    <w:p w14:paraId="0693D555" w14:textId="77777777" w:rsidR="0081094E" w:rsidRPr="00720B94" w:rsidRDefault="0081094E" w:rsidP="00720B94">
      <w:pPr>
        <w:spacing w:line="276" w:lineRule="auto"/>
        <w:rPr>
          <w:rFonts w:eastAsia="Arial" w:cs="Arial"/>
        </w:rPr>
      </w:pPr>
      <w:r w:rsidRPr="00720B94">
        <w:rPr>
          <w:rFonts w:eastAsia="Arial" w:cs="Arial"/>
        </w:rPr>
        <w:t>BSO: Biological Safety Officer</w:t>
      </w:r>
    </w:p>
    <w:p w14:paraId="706BC79D" w14:textId="77777777" w:rsidR="0081094E" w:rsidRPr="00720B94" w:rsidRDefault="0081094E" w:rsidP="00720B94">
      <w:pPr>
        <w:spacing w:line="276" w:lineRule="auto"/>
        <w:rPr>
          <w:rFonts w:eastAsia="Arial" w:cs="Arial"/>
        </w:rPr>
      </w:pPr>
      <w:r w:rsidRPr="00720B94">
        <w:rPr>
          <w:rFonts w:eastAsia="Arial" w:cs="Arial"/>
        </w:rPr>
        <w:t>CDC: Center for Disease Control &amp; Prevention</w:t>
      </w:r>
    </w:p>
    <w:p w14:paraId="71D5B28A" w14:textId="77777777" w:rsidR="0081094E" w:rsidRPr="00720B94" w:rsidRDefault="0081094E" w:rsidP="00720B94">
      <w:pPr>
        <w:spacing w:line="276" w:lineRule="auto"/>
        <w:rPr>
          <w:rFonts w:eastAsia="Arial" w:cs="Arial"/>
        </w:rPr>
      </w:pPr>
      <w:r w:rsidRPr="00720B94">
        <w:rPr>
          <w:rFonts w:eastAsia="Arial" w:cs="Arial"/>
        </w:rPr>
        <w:t>CFR: Code of Federal Regulations</w:t>
      </w:r>
    </w:p>
    <w:p w14:paraId="2E2F568A" w14:textId="77777777" w:rsidR="0081094E" w:rsidRPr="00720B94" w:rsidRDefault="0081094E" w:rsidP="00720B94">
      <w:pPr>
        <w:spacing w:line="276" w:lineRule="auto"/>
        <w:rPr>
          <w:rFonts w:eastAsia="Arial" w:cs="Arial"/>
        </w:rPr>
      </w:pPr>
      <w:r w:rsidRPr="00720B94">
        <w:rPr>
          <w:rFonts w:eastAsia="Arial" w:cs="Arial"/>
        </w:rPr>
        <w:t>CHP: Chemical Hygiene Plan</w:t>
      </w:r>
    </w:p>
    <w:p w14:paraId="6917B017" w14:textId="77777777" w:rsidR="0081094E" w:rsidRPr="00720B94" w:rsidRDefault="0081094E" w:rsidP="00720B94">
      <w:pPr>
        <w:spacing w:line="276" w:lineRule="auto"/>
        <w:rPr>
          <w:rFonts w:eastAsia="Arial" w:cs="Arial"/>
        </w:rPr>
      </w:pPr>
      <w:r w:rsidRPr="00720B94">
        <w:rPr>
          <w:rFonts w:eastAsia="Arial" w:cs="Arial"/>
        </w:rPr>
        <w:t>CITI: Collaborative Institutional Training Initiative</w:t>
      </w:r>
    </w:p>
    <w:p w14:paraId="4CCB58E4" w14:textId="77777777" w:rsidR="0081094E" w:rsidRPr="00720B94" w:rsidRDefault="0081094E" w:rsidP="00720B94">
      <w:pPr>
        <w:spacing w:line="276" w:lineRule="auto"/>
        <w:rPr>
          <w:rFonts w:eastAsia="Arial" w:cs="Arial"/>
          <w:bCs/>
        </w:rPr>
      </w:pPr>
      <w:r w:rsidRPr="00720B94">
        <w:rPr>
          <w:rFonts w:eastAsia="Arial" w:cs="Arial"/>
          <w:bCs/>
        </w:rPr>
        <w:t>DOT: Department of Transportation</w:t>
      </w:r>
    </w:p>
    <w:p w14:paraId="301E0A4E" w14:textId="77777777" w:rsidR="0081094E" w:rsidRPr="00720B94" w:rsidRDefault="0081094E" w:rsidP="00720B94">
      <w:pPr>
        <w:spacing w:line="276" w:lineRule="auto"/>
        <w:rPr>
          <w:rFonts w:eastAsia="Arial" w:cs="Arial"/>
          <w:bCs/>
        </w:rPr>
      </w:pPr>
      <w:r w:rsidRPr="00720B94">
        <w:rPr>
          <w:rFonts w:eastAsia="Arial" w:cs="Arial"/>
          <w:bCs/>
        </w:rPr>
        <w:t>DURC: Dual Use Research of Concern</w:t>
      </w:r>
    </w:p>
    <w:p w14:paraId="0B7E2642" w14:textId="77777777" w:rsidR="0081094E" w:rsidRPr="00720B94" w:rsidRDefault="0081094E" w:rsidP="00720B94">
      <w:pPr>
        <w:spacing w:line="276" w:lineRule="auto"/>
        <w:rPr>
          <w:rFonts w:eastAsia="Arial" w:cs="Arial"/>
          <w:bCs/>
        </w:rPr>
      </w:pPr>
      <w:r w:rsidRPr="00720B94">
        <w:rPr>
          <w:rFonts w:eastAsia="Arial" w:cs="Arial"/>
          <w:bCs/>
        </w:rPr>
        <w:t>EHS: Environmental Health &amp; Safety</w:t>
      </w:r>
    </w:p>
    <w:p w14:paraId="018E763E" w14:textId="77777777" w:rsidR="0081094E" w:rsidRPr="00720B94" w:rsidRDefault="0081094E" w:rsidP="00720B94">
      <w:pPr>
        <w:spacing w:line="276" w:lineRule="auto"/>
        <w:rPr>
          <w:rFonts w:eastAsia="Arial" w:cs="Arial"/>
          <w:bCs/>
        </w:rPr>
      </w:pPr>
      <w:r w:rsidRPr="00720B94">
        <w:rPr>
          <w:rFonts w:eastAsia="Arial" w:cs="Arial"/>
          <w:bCs/>
        </w:rPr>
        <w:t>GDMO: gene drive modified organism</w:t>
      </w:r>
    </w:p>
    <w:p w14:paraId="63749E5A" w14:textId="1FEDCED4" w:rsidR="00DB0F07" w:rsidRPr="00720B94" w:rsidRDefault="00DB0F07" w:rsidP="00720B94">
      <w:pPr>
        <w:spacing w:line="276" w:lineRule="auto"/>
        <w:rPr>
          <w:rFonts w:eastAsia="Arial" w:cs="Arial"/>
        </w:rPr>
      </w:pPr>
      <w:r w:rsidRPr="00720B94">
        <w:rPr>
          <w:rFonts w:eastAsia="Arial" w:cs="Arial"/>
        </w:rPr>
        <w:t xml:space="preserve">HEPA: </w:t>
      </w:r>
      <w:r w:rsidRPr="00720B94">
        <w:t>high efficiency particulate air</w:t>
      </w:r>
    </w:p>
    <w:p w14:paraId="515AC7D8" w14:textId="00449E2C" w:rsidR="0081094E" w:rsidRPr="00720B94" w:rsidRDefault="0081094E" w:rsidP="00720B94">
      <w:pPr>
        <w:spacing w:line="276" w:lineRule="auto"/>
      </w:pPr>
      <w:r w:rsidRPr="00720B94">
        <w:rPr>
          <w:rFonts w:eastAsia="Arial" w:cs="Arial"/>
        </w:rPr>
        <w:t xml:space="preserve">HHS: </w:t>
      </w:r>
      <w:r w:rsidRPr="00720B94">
        <w:t>US Department of Health and Human Services</w:t>
      </w:r>
    </w:p>
    <w:p w14:paraId="22B18077" w14:textId="77777777" w:rsidR="0081094E" w:rsidRPr="00720B94" w:rsidRDefault="0081094E" w:rsidP="00720B94">
      <w:pPr>
        <w:spacing w:line="276" w:lineRule="auto"/>
      </w:pPr>
      <w:r w:rsidRPr="00720B94">
        <w:t>IACUC: Institutional Animal Care &amp; Use Committee</w:t>
      </w:r>
    </w:p>
    <w:p w14:paraId="0E9A0FC1" w14:textId="77777777" w:rsidR="0081094E" w:rsidRPr="00720B94" w:rsidRDefault="0081094E" w:rsidP="00720B94">
      <w:pPr>
        <w:spacing w:line="276" w:lineRule="auto"/>
        <w:rPr>
          <w:rFonts w:eastAsia="Arial" w:cs="Arial"/>
        </w:rPr>
      </w:pPr>
      <w:r w:rsidRPr="00720B94">
        <w:t>IATA: International Air Transport Association</w:t>
      </w:r>
    </w:p>
    <w:p w14:paraId="475B0D45" w14:textId="77777777" w:rsidR="0081094E" w:rsidRPr="00720B94" w:rsidRDefault="0081094E" w:rsidP="00720B94">
      <w:pPr>
        <w:spacing w:line="276" w:lineRule="auto"/>
        <w:rPr>
          <w:rFonts w:eastAsia="Arial" w:cs="Arial"/>
        </w:rPr>
      </w:pPr>
      <w:r w:rsidRPr="00720B94">
        <w:rPr>
          <w:rFonts w:eastAsia="Arial" w:cs="Arial"/>
        </w:rPr>
        <w:t>IBC: Institutional Biosafety Committee</w:t>
      </w:r>
    </w:p>
    <w:p w14:paraId="0B18E5B7" w14:textId="77777777" w:rsidR="0081094E" w:rsidRPr="00720B94" w:rsidRDefault="0081094E" w:rsidP="00720B94">
      <w:pPr>
        <w:spacing w:line="276" w:lineRule="auto"/>
        <w:rPr>
          <w:rFonts w:eastAsia="Arial" w:cs="Arial"/>
        </w:rPr>
      </w:pPr>
      <w:r w:rsidRPr="00720B94">
        <w:rPr>
          <w:rFonts w:eastAsia="Arial" w:cs="Arial"/>
        </w:rPr>
        <w:t>ICAO: International Civil Aviation Organization</w:t>
      </w:r>
    </w:p>
    <w:p w14:paraId="55314232" w14:textId="77777777" w:rsidR="0081094E" w:rsidRPr="00720B94" w:rsidRDefault="0081094E" w:rsidP="00720B94">
      <w:pPr>
        <w:spacing w:line="276" w:lineRule="auto"/>
        <w:rPr>
          <w:rFonts w:eastAsia="Arial" w:cs="Arial"/>
        </w:rPr>
      </w:pPr>
      <w:r w:rsidRPr="00720B94">
        <w:rPr>
          <w:rFonts w:eastAsia="Arial" w:cs="Arial"/>
        </w:rPr>
        <w:t>ICDUR: Institutional Contact for Dual Use Research</w:t>
      </w:r>
    </w:p>
    <w:p w14:paraId="5DC55227" w14:textId="77777777" w:rsidR="0081094E" w:rsidRPr="00720B94" w:rsidRDefault="0081094E" w:rsidP="00720B94">
      <w:pPr>
        <w:spacing w:line="276" w:lineRule="auto"/>
        <w:rPr>
          <w:rFonts w:eastAsia="Arial" w:cs="Arial"/>
        </w:rPr>
      </w:pPr>
      <w:r w:rsidRPr="00720B94">
        <w:rPr>
          <w:rFonts w:eastAsia="Arial" w:cs="Arial"/>
        </w:rPr>
        <w:t>IRB: Institutional Review Board for the Protection of Human Subjects</w:t>
      </w:r>
    </w:p>
    <w:p w14:paraId="75ED81C6" w14:textId="77777777" w:rsidR="0081094E" w:rsidRPr="00720B94" w:rsidRDefault="0081094E" w:rsidP="00720B94">
      <w:pPr>
        <w:spacing w:line="276" w:lineRule="auto"/>
        <w:rPr>
          <w:rFonts w:eastAsia="Arial" w:cs="Arial"/>
        </w:rPr>
      </w:pPr>
      <w:r w:rsidRPr="00720B94">
        <w:rPr>
          <w:rFonts w:eastAsia="Arial" w:cs="Arial"/>
        </w:rPr>
        <w:t>IRE: Institutional Review Entity</w:t>
      </w:r>
    </w:p>
    <w:p w14:paraId="33988071" w14:textId="77777777" w:rsidR="0081094E" w:rsidRPr="00720B94" w:rsidRDefault="0081094E" w:rsidP="00720B94">
      <w:pPr>
        <w:spacing w:line="276" w:lineRule="auto"/>
        <w:rPr>
          <w:rFonts w:eastAsia="Arial" w:cs="Arial"/>
        </w:rPr>
      </w:pPr>
      <w:r w:rsidRPr="00720B94">
        <w:rPr>
          <w:rFonts w:eastAsia="Arial" w:cs="Arial"/>
        </w:rPr>
        <w:t>LD</w:t>
      </w:r>
      <w:r w:rsidRPr="00720B94">
        <w:rPr>
          <w:rFonts w:eastAsia="Arial" w:cs="Arial"/>
          <w:vertAlign w:val="subscript"/>
        </w:rPr>
        <w:t>50</w:t>
      </w:r>
      <w:r w:rsidRPr="00720B94">
        <w:rPr>
          <w:rFonts w:eastAsia="Arial" w:cs="Arial"/>
        </w:rPr>
        <w:t>: median lethal dose</w:t>
      </w:r>
    </w:p>
    <w:p w14:paraId="7C843E19" w14:textId="77777777" w:rsidR="0081094E" w:rsidRPr="00720B94" w:rsidRDefault="0081094E" w:rsidP="00720B94">
      <w:pPr>
        <w:spacing w:line="276" w:lineRule="auto"/>
        <w:rPr>
          <w:rFonts w:eastAsia="Arial" w:cs="Arial"/>
        </w:rPr>
      </w:pPr>
      <w:r w:rsidRPr="00720B94">
        <w:rPr>
          <w:rFonts w:eastAsia="Arial" w:cs="Arial"/>
        </w:rPr>
        <w:t>NIH: National Institutes of Health</w:t>
      </w:r>
    </w:p>
    <w:p w14:paraId="784F371F" w14:textId="77777777" w:rsidR="0081094E" w:rsidRPr="00720B94" w:rsidRDefault="0081094E" w:rsidP="00720B94">
      <w:pPr>
        <w:spacing w:line="276" w:lineRule="auto"/>
        <w:rPr>
          <w:rFonts w:eastAsia="Arial" w:cs="Arial"/>
        </w:rPr>
      </w:pPr>
      <w:r w:rsidRPr="00720B94">
        <w:rPr>
          <w:rFonts w:eastAsia="Arial" w:cs="Arial"/>
        </w:rPr>
        <w:t>OLAW: Office of Laboratory Animal Welfare</w:t>
      </w:r>
    </w:p>
    <w:p w14:paraId="0CF02E06" w14:textId="677FD773" w:rsidR="00DB0F07" w:rsidRPr="00720B94" w:rsidRDefault="00DB0F07" w:rsidP="00720B94">
      <w:pPr>
        <w:spacing w:line="276" w:lineRule="auto"/>
        <w:rPr>
          <w:rFonts w:eastAsia="Arial" w:cs="Arial"/>
        </w:rPr>
      </w:pPr>
      <w:r w:rsidRPr="00720B94">
        <w:rPr>
          <w:rFonts w:eastAsia="Arial" w:cs="Arial"/>
        </w:rPr>
        <w:lastRenderedPageBreak/>
        <w:t xml:space="preserve">OPIM: </w:t>
      </w:r>
      <w:r w:rsidRPr="00720B94">
        <w:t>other potentially infectious materials</w:t>
      </w:r>
    </w:p>
    <w:p w14:paraId="12028BC9" w14:textId="04640A6A" w:rsidR="0081094E" w:rsidRPr="00720B94" w:rsidRDefault="0081094E" w:rsidP="00720B94">
      <w:pPr>
        <w:spacing w:line="276" w:lineRule="auto"/>
        <w:rPr>
          <w:rFonts w:eastAsia="Arial" w:cs="Arial"/>
        </w:rPr>
      </w:pPr>
      <w:r w:rsidRPr="00720B94">
        <w:rPr>
          <w:rFonts w:eastAsia="Arial" w:cs="Arial"/>
        </w:rPr>
        <w:t>ORSP: Office of Research &amp; Sponsored Programs</w:t>
      </w:r>
    </w:p>
    <w:p w14:paraId="06B96AAD" w14:textId="77777777" w:rsidR="0081094E" w:rsidRPr="00720B94" w:rsidRDefault="0081094E" w:rsidP="00720B94">
      <w:pPr>
        <w:spacing w:line="276" w:lineRule="auto"/>
        <w:rPr>
          <w:rFonts w:eastAsia="Arial" w:cs="Arial"/>
        </w:rPr>
      </w:pPr>
      <w:r w:rsidRPr="00720B94">
        <w:rPr>
          <w:rFonts w:eastAsia="Arial" w:cs="Arial"/>
        </w:rPr>
        <w:t>OSHA: Occupational Safety &amp; Health Administration</w:t>
      </w:r>
    </w:p>
    <w:p w14:paraId="72886C73" w14:textId="38C2A39F" w:rsidR="00DB0F07" w:rsidRPr="00720B94" w:rsidRDefault="00DB0F07" w:rsidP="00720B94">
      <w:pPr>
        <w:spacing w:line="276" w:lineRule="auto"/>
        <w:rPr>
          <w:rFonts w:eastAsia="Arial" w:cs="Arial"/>
        </w:rPr>
      </w:pPr>
      <w:r w:rsidRPr="00720B94">
        <w:rPr>
          <w:rFonts w:eastAsia="Arial" w:cs="Arial"/>
        </w:rPr>
        <w:t xml:space="preserve">OSP: </w:t>
      </w:r>
      <w:r w:rsidRPr="00720B94">
        <w:t>NIH Office of Science Policy</w:t>
      </w:r>
    </w:p>
    <w:p w14:paraId="123E1B5C" w14:textId="392F9C35" w:rsidR="0081094E" w:rsidRPr="00720B94" w:rsidRDefault="0081094E" w:rsidP="00720B94">
      <w:pPr>
        <w:spacing w:line="276" w:lineRule="auto"/>
        <w:rPr>
          <w:rFonts w:eastAsia="Arial" w:cs="Arial"/>
        </w:rPr>
      </w:pPr>
      <w:r w:rsidRPr="00720B94">
        <w:rPr>
          <w:rFonts w:eastAsia="Arial" w:cs="Arial"/>
        </w:rPr>
        <w:t>PBSL: plant biosafety level</w:t>
      </w:r>
    </w:p>
    <w:p w14:paraId="73AC47D9" w14:textId="77777777" w:rsidR="0081094E" w:rsidRPr="00720B94" w:rsidRDefault="0081094E" w:rsidP="00720B94">
      <w:pPr>
        <w:spacing w:line="276" w:lineRule="auto"/>
        <w:rPr>
          <w:rFonts w:eastAsia="Arial" w:cs="Arial"/>
        </w:rPr>
      </w:pPr>
      <w:r w:rsidRPr="00720B94">
        <w:rPr>
          <w:rFonts w:eastAsia="Arial" w:cs="Arial"/>
        </w:rPr>
        <w:t>PEPP: pathogen with enhanced pandemic potential</w:t>
      </w:r>
    </w:p>
    <w:p w14:paraId="334D4F36" w14:textId="77777777" w:rsidR="0081094E" w:rsidRPr="00720B94" w:rsidRDefault="0081094E" w:rsidP="00720B94">
      <w:pPr>
        <w:spacing w:line="276" w:lineRule="auto"/>
        <w:rPr>
          <w:rFonts w:eastAsia="Arial" w:cs="Arial"/>
        </w:rPr>
      </w:pPr>
      <w:r w:rsidRPr="00720B94">
        <w:rPr>
          <w:rFonts w:eastAsia="Arial" w:cs="Arial"/>
        </w:rPr>
        <w:t>PPP: pathogen with pandemic potential</w:t>
      </w:r>
    </w:p>
    <w:p w14:paraId="37E49C5D" w14:textId="77777777" w:rsidR="0081094E" w:rsidRPr="00720B94" w:rsidRDefault="0081094E" w:rsidP="00720B94">
      <w:pPr>
        <w:spacing w:line="276" w:lineRule="auto"/>
        <w:rPr>
          <w:rFonts w:eastAsia="Arial" w:cs="Arial"/>
        </w:rPr>
      </w:pPr>
      <w:r w:rsidRPr="00720B94">
        <w:rPr>
          <w:rFonts w:eastAsia="Arial" w:cs="Arial"/>
        </w:rPr>
        <w:t>PI: principal investigator</w:t>
      </w:r>
    </w:p>
    <w:p w14:paraId="584F7C24" w14:textId="77777777" w:rsidR="0081094E" w:rsidRPr="00720B94" w:rsidRDefault="0081094E" w:rsidP="00720B94">
      <w:pPr>
        <w:spacing w:line="276" w:lineRule="auto"/>
        <w:rPr>
          <w:rFonts w:eastAsia="Arial" w:cs="Arial"/>
        </w:rPr>
      </w:pPr>
      <w:r w:rsidRPr="00720B94">
        <w:rPr>
          <w:rFonts w:eastAsia="Arial" w:cs="Arial"/>
        </w:rPr>
        <w:t>PPE: personal protective equipment</w:t>
      </w:r>
    </w:p>
    <w:p w14:paraId="7C5A618B" w14:textId="77777777" w:rsidR="0081094E" w:rsidRPr="00720B94" w:rsidRDefault="0081094E" w:rsidP="00720B94">
      <w:pPr>
        <w:spacing w:line="276" w:lineRule="auto"/>
        <w:rPr>
          <w:rFonts w:eastAsia="Arial" w:cs="Arial"/>
        </w:rPr>
      </w:pPr>
      <w:r w:rsidRPr="00720B94">
        <w:rPr>
          <w:rFonts w:eastAsia="Arial" w:cs="Arial"/>
        </w:rPr>
        <w:t>RG: risk group</w:t>
      </w:r>
    </w:p>
    <w:p w14:paraId="325D03FD" w14:textId="77777777" w:rsidR="0081094E" w:rsidRPr="00720B94" w:rsidRDefault="0081094E" w:rsidP="00720B94">
      <w:pPr>
        <w:spacing w:line="276" w:lineRule="auto"/>
        <w:rPr>
          <w:rFonts w:eastAsia="Arial" w:cs="Arial"/>
        </w:rPr>
      </w:pPr>
      <w:r w:rsidRPr="00720B94">
        <w:rPr>
          <w:rFonts w:eastAsia="Arial" w:cs="Arial"/>
        </w:rPr>
        <w:t>RIO: Research Integrity Officer</w:t>
      </w:r>
    </w:p>
    <w:p w14:paraId="356EC95E" w14:textId="77777777" w:rsidR="0081094E" w:rsidRPr="00720B94" w:rsidRDefault="0081094E" w:rsidP="00720B94">
      <w:pPr>
        <w:spacing w:line="276" w:lineRule="auto"/>
      </w:pPr>
      <w:r w:rsidRPr="00720B94">
        <w:t>USDA: US Department of Agriculture</w:t>
      </w:r>
    </w:p>
    <w:p w14:paraId="762FE76C" w14:textId="77777777" w:rsidR="0081094E" w:rsidRPr="00293C19" w:rsidRDefault="0081094E" w:rsidP="00720B94">
      <w:pPr>
        <w:spacing w:line="276" w:lineRule="auto"/>
      </w:pPr>
      <w:r w:rsidRPr="00720B94">
        <w:t>WHO: World Health Organization</w:t>
      </w:r>
    </w:p>
    <w:p w14:paraId="13FD7D07" w14:textId="77777777" w:rsidR="00347386" w:rsidRDefault="00347386" w:rsidP="00720B94">
      <w:pPr>
        <w:spacing w:line="276" w:lineRule="auto"/>
      </w:pPr>
    </w:p>
    <w:p w14:paraId="0961AC9C" w14:textId="77777777" w:rsidR="00782829" w:rsidRPr="00782829" w:rsidRDefault="00782829" w:rsidP="00782829"/>
    <w:p w14:paraId="221C3919" w14:textId="77777777" w:rsidR="00782829" w:rsidRDefault="00782829" w:rsidP="00782829"/>
    <w:p w14:paraId="06B2BCB7" w14:textId="11FE5F4C" w:rsidR="00782829" w:rsidRPr="00782829" w:rsidRDefault="00782829" w:rsidP="00782829">
      <w:pPr>
        <w:tabs>
          <w:tab w:val="left" w:pos="5760"/>
        </w:tabs>
      </w:pPr>
      <w:r>
        <w:tab/>
      </w:r>
    </w:p>
    <w:sectPr w:rsidR="00782829" w:rsidRPr="00782829" w:rsidSect="00530BC2">
      <w:type w:val="continuous"/>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404DB" w14:textId="77777777" w:rsidR="009A2AF7" w:rsidRDefault="009A2AF7" w:rsidP="00EA02F3">
      <w:pPr>
        <w:spacing w:after="0" w:line="240" w:lineRule="auto"/>
      </w:pPr>
      <w:r>
        <w:separator/>
      </w:r>
    </w:p>
  </w:endnote>
  <w:endnote w:type="continuationSeparator" w:id="0">
    <w:p w14:paraId="15E2CD86" w14:textId="77777777" w:rsidR="009A2AF7" w:rsidRDefault="009A2AF7" w:rsidP="00EA02F3">
      <w:pPr>
        <w:spacing w:after="0" w:line="240" w:lineRule="auto"/>
      </w:pPr>
      <w:r>
        <w:continuationSeparator/>
      </w:r>
    </w:p>
  </w:endnote>
  <w:endnote w:type="continuationNotice" w:id="1">
    <w:p w14:paraId="68A13B7C" w14:textId="77777777" w:rsidR="009A2AF7" w:rsidRDefault="009A2A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7BC76" w14:textId="77777777" w:rsidR="008A01C1" w:rsidRDefault="008A01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886610850"/>
      <w:docPartObj>
        <w:docPartGallery w:val="Page Numbers (Bottom of Page)"/>
        <w:docPartUnique/>
      </w:docPartObj>
    </w:sdtPr>
    <w:sdtEndPr>
      <w:rPr>
        <w:noProof/>
      </w:rPr>
    </w:sdtEndPr>
    <w:sdtContent>
      <w:p w14:paraId="5C27CD0C" w14:textId="4F137D23" w:rsidR="00EA02F3" w:rsidRPr="00123FF6" w:rsidRDefault="00EA02F3">
        <w:pPr>
          <w:pStyle w:val="Footer"/>
          <w:jc w:val="right"/>
          <w:rPr>
            <w:rFonts w:cs="Arial"/>
          </w:rPr>
        </w:pPr>
        <w:r w:rsidRPr="00123FF6">
          <w:rPr>
            <w:rFonts w:cs="Arial"/>
          </w:rPr>
          <w:fldChar w:fldCharType="begin"/>
        </w:r>
        <w:r w:rsidRPr="00123FF6">
          <w:rPr>
            <w:rFonts w:cs="Arial"/>
          </w:rPr>
          <w:instrText xml:space="preserve"> PAGE   \* MERGEFORMAT </w:instrText>
        </w:r>
        <w:r w:rsidRPr="00123FF6">
          <w:rPr>
            <w:rFonts w:cs="Arial"/>
          </w:rPr>
          <w:fldChar w:fldCharType="separate"/>
        </w:r>
        <w:r w:rsidRPr="00123FF6">
          <w:rPr>
            <w:rFonts w:cs="Arial"/>
            <w:noProof/>
          </w:rPr>
          <w:t>2</w:t>
        </w:r>
        <w:r w:rsidRPr="00123FF6">
          <w:rPr>
            <w:rFonts w:cs="Arial"/>
            <w:noProof/>
          </w:rPr>
          <w:fldChar w:fldCharType="end"/>
        </w:r>
      </w:p>
    </w:sdtContent>
  </w:sdt>
  <w:p w14:paraId="4E61AD8E" w14:textId="77777777" w:rsidR="00EA02F3" w:rsidRPr="00123FF6" w:rsidRDefault="00EA02F3">
    <w:pPr>
      <w:pStyle w:val="Footer"/>
      <w:rPr>
        <w:rFonts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CCCA5" w14:textId="77777777" w:rsidR="008A01C1" w:rsidRDefault="008A01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99A94" w14:textId="77777777" w:rsidR="009A2AF7" w:rsidRDefault="009A2AF7" w:rsidP="00EA02F3">
      <w:pPr>
        <w:spacing w:after="0" w:line="240" w:lineRule="auto"/>
      </w:pPr>
      <w:r>
        <w:separator/>
      </w:r>
    </w:p>
  </w:footnote>
  <w:footnote w:type="continuationSeparator" w:id="0">
    <w:p w14:paraId="3881B927" w14:textId="77777777" w:rsidR="009A2AF7" w:rsidRDefault="009A2AF7" w:rsidP="00EA02F3">
      <w:pPr>
        <w:spacing w:after="0" w:line="240" w:lineRule="auto"/>
      </w:pPr>
      <w:r>
        <w:continuationSeparator/>
      </w:r>
    </w:p>
  </w:footnote>
  <w:footnote w:type="continuationNotice" w:id="1">
    <w:p w14:paraId="5E7FCE41" w14:textId="77777777" w:rsidR="009A2AF7" w:rsidRDefault="009A2AF7">
      <w:pPr>
        <w:spacing w:after="0" w:line="240" w:lineRule="auto"/>
      </w:pPr>
    </w:p>
  </w:footnote>
  <w:footnote w:id="2">
    <w:p w14:paraId="495AF194" w14:textId="77777777" w:rsidR="00DE7182" w:rsidRDefault="00DE7182" w:rsidP="00DE7182">
      <w:pPr>
        <w:pStyle w:val="FootnoteText"/>
      </w:pPr>
      <w:r>
        <w:rPr>
          <w:rStyle w:val="FootnoteReference"/>
        </w:rPr>
        <w:footnoteRef/>
      </w:r>
      <w:r>
        <w:t xml:space="preserve"> </w:t>
      </w:r>
      <w:r w:rsidRPr="005A0BFC">
        <w:rPr>
          <w:sz w:val="18"/>
          <w:szCs w:val="18"/>
        </w:rPr>
        <w:t>Each successive BSL contains the recommendations of the preceding level(s) and the criteria.</w:t>
      </w:r>
    </w:p>
  </w:footnote>
  <w:footnote w:id="3">
    <w:p w14:paraId="625160B8" w14:textId="176B140C" w:rsidR="755F9515" w:rsidRDefault="755F9515" w:rsidP="755F9515">
      <w:pPr>
        <w:pStyle w:val="FootnoteText"/>
      </w:pPr>
      <w:r w:rsidRPr="755F9515">
        <w:rPr>
          <w:rStyle w:val="FootnoteReference"/>
        </w:rPr>
        <w:footnoteRef/>
      </w:r>
      <w:r>
        <w:t xml:space="preserve"> Subset includes all RG3 pathogens in NIH Guidelines, Appendix B </w:t>
      </w:r>
      <w:r w:rsidRPr="755F9515">
        <w:rPr>
          <w:b/>
          <w:bCs/>
        </w:rPr>
        <w:t xml:space="preserve">except </w:t>
      </w:r>
      <w:r>
        <w:t xml:space="preserve">HIV, HTLV, SIV, </w:t>
      </w:r>
      <w:proofErr w:type="spellStart"/>
      <w:r>
        <w:t>Htb</w:t>
      </w:r>
      <w:proofErr w:type="spellEnd"/>
      <w:r>
        <w:t xml:space="preserve"> (including </w:t>
      </w:r>
      <w:r w:rsidRPr="755F9515">
        <w:rPr>
          <w:i/>
          <w:iCs/>
        </w:rPr>
        <w:t xml:space="preserve">Mycobacterium </w:t>
      </w:r>
      <w:proofErr w:type="spellStart"/>
      <w:r w:rsidRPr="755F9515">
        <w:rPr>
          <w:i/>
          <w:iCs/>
        </w:rPr>
        <w:t>bovis</w:t>
      </w:r>
      <w:proofErr w:type="spellEnd"/>
      <w:r>
        <w:t xml:space="preserve">), Clad II of MPVX viruses unless containing nucleic acids coding for clade I MPVX virus virulence factors, Vesicular stomatitis virus, </w:t>
      </w:r>
      <w:r w:rsidRPr="755F9515">
        <w:rPr>
          <w:i/>
          <w:iCs/>
        </w:rPr>
        <w:t>Coccidioides immitis</w:t>
      </w:r>
      <w:r>
        <w:t xml:space="preserve">, </w:t>
      </w:r>
      <w:r w:rsidRPr="755F9515">
        <w:rPr>
          <w:i/>
          <w:iCs/>
        </w:rPr>
        <w:t xml:space="preserve">C. </w:t>
      </w:r>
      <w:proofErr w:type="spellStart"/>
      <w:r w:rsidRPr="755F9515">
        <w:rPr>
          <w:i/>
          <w:iCs/>
        </w:rPr>
        <w:t>posadasii</w:t>
      </w:r>
      <w:proofErr w:type="spellEnd"/>
      <w:r>
        <w:t xml:space="preserve">, </w:t>
      </w:r>
      <w:r w:rsidRPr="755F9515">
        <w:rPr>
          <w:i/>
          <w:iCs/>
        </w:rPr>
        <w:t>Histoplasma capsulatum</w:t>
      </w:r>
      <w:r>
        <w:t xml:space="preserve">, and </w:t>
      </w:r>
      <w:r w:rsidRPr="755F9515">
        <w:rPr>
          <w:i/>
          <w:iCs/>
        </w:rPr>
        <w:t xml:space="preserve">H. capsulatum var. </w:t>
      </w:r>
      <w:proofErr w:type="spellStart"/>
      <w:r w:rsidRPr="755F9515">
        <w:rPr>
          <w:i/>
          <w:iCs/>
        </w:rPr>
        <w:t>dubiosii</w:t>
      </w:r>
      <w:proofErr w:type="spellEnd"/>
      <w:r>
        <w:t>. The list may be updated periodically.</w:t>
      </w:r>
    </w:p>
  </w:footnote>
  <w:footnote w:id="4">
    <w:p w14:paraId="4AA96316" w14:textId="22B240FB" w:rsidR="755F9515" w:rsidRDefault="755F9515" w:rsidP="755F9515">
      <w:pPr>
        <w:pStyle w:val="FootnoteText"/>
      </w:pPr>
      <w:r w:rsidRPr="755F9515">
        <w:rPr>
          <w:rStyle w:val="FootnoteReference"/>
        </w:rPr>
        <w:footnoteRef/>
      </w:r>
      <w:r>
        <w:t xml:space="preserve"> If no RG or BSL has been assigned to an agent (e.g., newly emerging pathogen or chimeric agent), the IBC should perform a risk assessment to determine the appropriate BSL for handling the agent given the experimental protocol being proposed. The assessment should </w:t>
      </w:r>
      <w:proofErr w:type="gramStart"/>
      <w:r>
        <w:t>take into account</w:t>
      </w:r>
      <w:proofErr w:type="gramEnd"/>
      <w:r>
        <w:t xml:space="preserve"> known properties of the agent and similarities to existing agents. Agents requiring BSL3 or BSL4 handling are subject to the policy (under Section 4.1.1).</w:t>
      </w:r>
    </w:p>
  </w:footnote>
  <w:footnote w:id="5">
    <w:p w14:paraId="404CA09A" w14:textId="37A43EBE" w:rsidR="755F9515" w:rsidRDefault="755F9515" w:rsidP="755F9515">
      <w:pPr>
        <w:pStyle w:val="FootnoteText"/>
      </w:pPr>
      <w:r w:rsidRPr="755F9515">
        <w:rPr>
          <w:rStyle w:val="FootnoteReference"/>
        </w:rPr>
        <w:footnoteRef/>
      </w:r>
      <w:r>
        <w:t xml:space="preserve"> Only applicable if project is federally funded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AEB43" w14:textId="1E308726" w:rsidR="008A01C1" w:rsidRDefault="008A01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C4CBB" w14:textId="46BD8EA0" w:rsidR="00BF1AE3" w:rsidRPr="00BF1AE3" w:rsidRDefault="00CC0044">
    <w:pPr>
      <w:pStyle w:val="Header"/>
      <w:rPr>
        <w:sz w:val="20"/>
        <w:szCs w:val="20"/>
      </w:rPr>
    </w:pPr>
    <w:r>
      <w:rPr>
        <w:sz w:val="20"/>
        <w:szCs w:val="20"/>
      </w:rPr>
      <w:t>UWL Biosafety Manual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271B1" w14:textId="0384F17A" w:rsidR="008A01C1" w:rsidRDefault="008A01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127"/>
    <w:multiLevelType w:val="hybridMultilevel"/>
    <w:tmpl w:val="26806B82"/>
    <w:lvl w:ilvl="0" w:tplc="D55E28BC">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7701D"/>
    <w:multiLevelType w:val="hybridMultilevel"/>
    <w:tmpl w:val="B224A3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AA5610"/>
    <w:multiLevelType w:val="hybridMultilevel"/>
    <w:tmpl w:val="FCBC6B24"/>
    <w:lvl w:ilvl="0" w:tplc="D55E28BC">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D6762D"/>
    <w:multiLevelType w:val="hybridMultilevel"/>
    <w:tmpl w:val="A52AE186"/>
    <w:lvl w:ilvl="0" w:tplc="D55E28B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532C5A"/>
    <w:multiLevelType w:val="hybridMultilevel"/>
    <w:tmpl w:val="4AD641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3905DAF"/>
    <w:multiLevelType w:val="hybridMultilevel"/>
    <w:tmpl w:val="56DA55BC"/>
    <w:lvl w:ilvl="0" w:tplc="D55E28B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641174"/>
    <w:multiLevelType w:val="multilevel"/>
    <w:tmpl w:val="8F1487D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601110B"/>
    <w:multiLevelType w:val="multilevel"/>
    <w:tmpl w:val="18D285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0BA55835"/>
    <w:multiLevelType w:val="hybridMultilevel"/>
    <w:tmpl w:val="9222C3B0"/>
    <w:lvl w:ilvl="0" w:tplc="D55E28B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1C0FDC"/>
    <w:multiLevelType w:val="hybridMultilevel"/>
    <w:tmpl w:val="4C04A29C"/>
    <w:lvl w:ilvl="0" w:tplc="D55E28B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6B763C"/>
    <w:multiLevelType w:val="hybridMultilevel"/>
    <w:tmpl w:val="AF7A6A3E"/>
    <w:lvl w:ilvl="0" w:tplc="D55E28B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716D29"/>
    <w:multiLevelType w:val="hybridMultilevel"/>
    <w:tmpl w:val="C8C0FCD8"/>
    <w:lvl w:ilvl="0" w:tplc="D55E28B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AC0608"/>
    <w:multiLevelType w:val="hybridMultilevel"/>
    <w:tmpl w:val="CA9C55BE"/>
    <w:lvl w:ilvl="0" w:tplc="D55E28B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9B0954"/>
    <w:multiLevelType w:val="multilevel"/>
    <w:tmpl w:val="3ED62BC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29E785A"/>
    <w:multiLevelType w:val="hybridMultilevel"/>
    <w:tmpl w:val="301C10D4"/>
    <w:lvl w:ilvl="0" w:tplc="D55E28B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3C5A68"/>
    <w:multiLevelType w:val="hybridMultilevel"/>
    <w:tmpl w:val="1BD89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9EF1668"/>
    <w:multiLevelType w:val="hybridMultilevel"/>
    <w:tmpl w:val="01740938"/>
    <w:lvl w:ilvl="0" w:tplc="D55E28B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7167C7"/>
    <w:multiLevelType w:val="multilevel"/>
    <w:tmpl w:val="2480876A"/>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1B8503F6"/>
    <w:multiLevelType w:val="multilevel"/>
    <w:tmpl w:val="449A139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1ECE6C95"/>
    <w:multiLevelType w:val="hybridMultilevel"/>
    <w:tmpl w:val="9F90D4E8"/>
    <w:lvl w:ilvl="0" w:tplc="D55E28B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DA01E0"/>
    <w:multiLevelType w:val="hybridMultilevel"/>
    <w:tmpl w:val="D1F413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72E5C82"/>
    <w:multiLevelType w:val="hybridMultilevel"/>
    <w:tmpl w:val="3072CD92"/>
    <w:lvl w:ilvl="0" w:tplc="D55E28BC">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D8441E"/>
    <w:multiLevelType w:val="hybridMultilevel"/>
    <w:tmpl w:val="53684938"/>
    <w:lvl w:ilvl="0" w:tplc="D55E28B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8206CA"/>
    <w:multiLevelType w:val="hybridMultilevel"/>
    <w:tmpl w:val="BB9E4AB6"/>
    <w:lvl w:ilvl="0" w:tplc="D55E28B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B821F7"/>
    <w:multiLevelType w:val="hybridMultilevel"/>
    <w:tmpl w:val="1764A20A"/>
    <w:lvl w:ilvl="0" w:tplc="D55E28B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B6B5B04"/>
    <w:multiLevelType w:val="multilevel"/>
    <w:tmpl w:val="C8E8E100"/>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2E3C757A"/>
    <w:multiLevelType w:val="hybridMultilevel"/>
    <w:tmpl w:val="5C0A7A00"/>
    <w:lvl w:ilvl="0" w:tplc="D55E28BC">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F8F4E72"/>
    <w:multiLevelType w:val="hybridMultilevel"/>
    <w:tmpl w:val="79DC89A6"/>
    <w:lvl w:ilvl="0" w:tplc="D55E28BC">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E864D1"/>
    <w:multiLevelType w:val="multilevel"/>
    <w:tmpl w:val="C502904C"/>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363B3CE0"/>
    <w:multiLevelType w:val="hybridMultilevel"/>
    <w:tmpl w:val="EC3E8C56"/>
    <w:lvl w:ilvl="0" w:tplc="D55E28B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64121A9"/>
    <w:multiLevelType w:val="hybridMultilevel"/>
    <w:tmpl w:val="0C22F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6F800AC"/>
    <w:multiLevelType w:val="hybridMultilevel"/>
    <w:tmpl w:val="CFC40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81F3CE1"/>
    <w:multiLevelType w:val="hybridMultilevel"/>
    <w:tmpl w:val="9ABED8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83931AB"/>
    <w:multiLevelType w:val="hybridMultilevel"/>
    <w:tmpl w:val="371C91B0"/>
    <w:lvl w:ilvl="0" w:tplc="D55E28BC">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AF63073"/>
    <w:multiLevelType w:val="hybridMultilevel"/>
    <w:tmpl w:val="86E6A3A0"/>
    <w:lvl w:ilvl="0" w:tplc="D55E28B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C2A6451"/>
    <w:multiLevelType w:val="hybridMultilevel"/>
    <w:tmpl w:val="A9780D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3FAC676D"/>
    <w:multiLevelType w:val="hybridMultilevel"/>
    <w:tmpl w:val="DC52CFE2"/>
    <w:lvl w:ilvl="0" w:tplc="D55E28B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22D6BFB"/>
    <w:multiLevelType w:val="hybridMultilevel"/>
    <w:tmpl w:val="05E20F0E"/>
    <w:lvl w:ilvl="0" w:tplc="F650183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2A440EA"/>
    <w:multiLevelType w:val="hybridMultilevel"/>
    <w:tmpl w:val="2A36E7C0"/>
    <w:lvl w:ilvl="0" w:tplc="D55E28B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2FC0E60"/>
    <w:multiLevelType w:val="hybridMultilevel"/>
    <w:tmpl w:val="624420BA"/>
    <w:lvl w:ilvl="0" w:tplc="D55E28BC">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4A068FC"/>
    <w:multiLevelType w:val="hybridMultilevel"/>
    <w:tmpl w:val="C9BA5E02"/>
    <w:lvl w:ilvl="0" w:tplc="D55E28BC">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6696778"/>
    <w:multiLevelType w:val="hybridMultilevel"/>
    <w:tmpl w:val="8A7AF2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4ACE0E89"/>
    <w:multiLevelType w:val="hybridMultilevel"/>
    <w:tmpl w:val="D4E049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C7F5D77"/>
    <w:multiLevelType w:val="hybridMultilevel"/>
    <w:tmpl w:val="48EE1F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4D882539"/>
    <w:multiLevelType w:val="hybridMultilevel"/>
    <w:tmpl w:val="600293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FDE42B4"/>
    <w:multiLevelType w:val="hybridMultilevel"/>
    <w:tmpl w:val="5D26ED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52205ECC"/>
    <w:multiLevelType w:val="hybridMultilevel"/>
    <w:tmpl w:val="5B38C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73545FB"/>
    <w:multiLevelType w:val="hybridMultilevel"/>
    <w:tmpl w:val="6F2EAE44"/>
    <w:lvl w:ilvl="0" w:tplc="D55E28BC">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5C311A29"/>
    <w:multiLevelType w:val="hybridMultilevel"/>
    <w:tmpl w:val="F99EB0DC"/>
    <w:lvl w:ilvl="0" w:tplc="D55E28B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07F297D"/>
    <w:multiLevelType w:val="hybridMultilevel"/>
    <w:tmpl w:val="CAD25DA4"/>
    <w:lvl w:ilvl="0" w:tplc="D55E28BC">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0EE639B"/>
    <w:multiLevelType w:val="hybridMultilevel"/>
    <w:tmpl w:val="77BA9452"/>
    <w:lvl w:ilvl="0" w:tplc="D55E28B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584463C"/>
    <w:multiLevelType w:val="multilevel"/>
    <w:tmpl w:val="67AC8F1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65CE5103"/>
    <w:multiLevelType w:val="hybridMultilevel"/>
    <w:tmpl w:val="477CDE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80B30B7"/>
    <w:multiLevelType w:val="hybridMultilevel"/>
    <w:tmpl w:val="3AA66F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68F83D94"/>
    <w:multiLevelType w:val="hybridMultilevel"/>
    <w:tmpl w:val="84AC603A"/>
    <w:lvl w:ilvl="0" w:tplc="D55E28BC">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C571BB9"/>
    <w:multiLevelType w:val="hybridMultilevel"/>
    <w:tmpl w:val="6772E800"/>
    <w:lvl w:ilvl="0" w:tplc="D55E28B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F072AA2"/>
    <w:multiLevelType w:val="hybridMultilevel"/>
    <w:tmpl w:val="9FFAB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159379F"/>
    <w:multiLevelType w:val="multilevel"/>
    <w:tmpl w:val="0F66060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74E7095B"/>
    <w:multiLevelType w:val="multilevel"/>
    <w:tmpl w:val="1262A7A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75A05F7A"/>
    <w:multiLevelType w:val="hybridMultilevel"/>
    <w:tmpl w:val="83167B3A"/>
    <w:lvl w:ilvl="0" w:tplc="D55E28B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6BC56CD"/>
    <w:multiLevelType w:val="hybridMultilevel"/>
    <w:tmpl w:val="999ECC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76EE57F4"/>
    <w:multiLevelType w:val="hybridMultilevel"/>
    <w:tmpl w:val="1FDA60DC"/>
    <w:lvl w:ilvl="0" w:tplc="D55E28BC">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6FB4A60"/>
    <w:multiLevelType w:val="hybridMultilevel"/>
    <w:tmpl w:val="5BA4FD52"/>
    <w:lvl w:ilvl="0" w:tplc="D55E28B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A97340E"/>
    <w:multiLevelType w:val="hybridMultilevel"/>
    <w:tmpl w:val="34261202"/>
    <w:lvl w:ilvl="0" w:tplc="D55E28B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AEB674F"/>
    <w:multiLevelType w:val="hybridMultilevel"/>
    <w:tmpl w:val="2A403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D102D67"/>
    <w:multiLevelType w:val="hybridMultilevel"/>
    <w:tmpl w:val="247610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121162">
    <w:abstractNumId w:val="22"/>
  </w:num>
  <w:num w:numId="2" w16cid:durableId="852184456">
    <w:abstractNumId w:val="19"/>
  </w:num>
  <w:num w:numId="3" w16cid:durableId="1263227335">
    <w:abstractNumId w:val="37"/>
  </w:num>
  <w:num w:numId="4" w16cid:durableId="1927617317">
    <w:abstractNumId w:val="2"/>
  </w:num>
  <w:num w:numId="5" w16cid:durableId="2041708584">
    <w:abstractNumId w:val="27"/>
  </w:num>
  <w:num w:numId="6" w16cid:durableId="1394278604">
    <w:abstractNumId w:val="39"/>
  </w:num>
  <w:num w:numId="7" w16cid:durableId="1857648135">
    <w:abstractNumId w:val="26"/>
  </w:num>
  <w:num w:numId="8" w16cid:durableId="876625131">
    <w:abstractNumId w:val="40"/>
  </w:num>
  <w:num w:numId="9" w16cid:durableId="451477544">
    <w:abstractNumId w:val="33"/>
  </w:num>
  <w:num w:numId="10" w16cid:durableId="445731450">
    <w:abstractNumId w:val="49"/>
  </w:num>
  <w:num w:numId="11" w16cid:durableId="658271696">
    <w:abstractNumId w:val="12"/>
  </w:num>
  <w:num w:numId="12" w16cid:durableId="1843354871">
    <w:abstractNumId w:val="23"/>
  </w:num>
  <w:num w:numId="13" w16cid:durableId="279184467">
    <w:abstractNumId w:val="14"/>
  </w:num>
  <w:num w:numId="14" w16cid:durableId="1832871972">
    <w:abstractNumId w:val="11"/>
  </w:num>
  <w:num w:numId="15" w16cid:durableId="1902134811">
    <w:abstractNumId w:val="29"/>
  </w:num>
  <w:num w:numId="16" w16cid:durableId="2007855457">
    <w:abstractNumId w:val="62"/>
  </w:num>
  <w:num w:numId="17" w16cid:durableId="595283012">
    <w:abstractNumId w:val="8"/>
  </w:num>
  <w:num w:numId="18" w16cid:durableId="199242550">
    <w:abstractNumId w:val="50"/>
  </w:num>
  <w:num w:numId="19" w16cid:durableId="1833180742">
    <w:abstractNumId w:val="10"/>
  </w:num>
  <w:num w:numId="20" w16cid:durableId="1809320706">
    <w:abstractNumId w:val="56"/>
  </w:num>
  <w:num w:numId="21" w16cid:durableId="427510655">
    <w:abstractNumId w:val="3"/>
  </w:num>
  <w:num w:numId="22" w16cid:durableId="615647781">
    <w:abstractNumId w:val="48"/>
  </w:num>
  <w:num w:numId="23" w16cid:durableId="2102095212">
    <w:abstractNumId w:val="16"/>
  </w:num>
  <w:num w:numId="24" w16cid:durableId="178541691">
    <w:abstractNumId w:val="36"/>
  </w:num>
  <w:num w:numId="25" w16cid:durableId="718282759">
    <w:abstractNumId w:val="61"/>
  </w:num>
  <w:num w:numId="26" w16cid:durableId="2005745083">
    <w:abstractNumId w:val="55"/>
  </w:num>
  <w:num w:numId="27" w16cid:durableId="1272201492">
    <w:abstractNumId w:val="54"/>
  </w:num>
  <w:num w:numId="28" w16cid:durableId="2016153367">
    <w:abstractNumId w:val="9"/>
  </w:num>
  <w:num w:numId="29" w16cid:durableId="730663322">
    <w:abstractNumId w:val="5"/>
  </w:num>
  <w:num w:numId="30" w16cid:durableId="549154022">
    <w:abstractNumId w:val="63"/>
  </w:num>
  <w:num w:numId="31" w16cid:durableId="480848280">
    <w:abstractNumId w:val="24"/>
  </w:num>
  <w:num w:numId="32" w16cid:durableId="2016105298">
    <w:abstractNumId w:val="21"/>
  </w:num>
  <w:num w:numId="33" w16cid:durableId="1986666754">
    <w:abstractNumId w:val="0"/>
  </w:num>
  <w:num w:numId="34" w16cid:durableId="2057771734">
    <w:abstractNumId w:val="38"/>
  </w:num>
  <w:num w:numId="35" w16cid:durableId="1952282102">
    <w:abstractNumId w:val="34"/>
  </w:num>
  <w:num w:numId="36" w16cid:durableId="345668955">
    <w:abstractNumId w:val="20"/>
  </w:num>
  <w:num w:numId="37" w16cid:durableId="289360530">
    <w:abstractNumId w:val="59"/>
  </w:num>
  <w:num w:numId="38" w16cid:durableId="277414719">
    <w:abstractNumId w:val="30"/>
  </w:num>
  <w:num w:numId="39" w16cid:durableId="654335181">
    <w:abstractNumId w:val="64"/>
  </w:num>
  <w:num w:numId="40" w16cid:durableId="1297956442">
    <w:abstractNumId w:val="46"/>
  </w:num>
  <w:num w:numId="41" w16cid:durableId="175463108">
    <w:abstractNumId w:val="52"/>
  </w:num>
  <w:num w:numId="42" w16cid:durableId="1083260743">
    <w:abstractNumId w:val="47"/>
  </w:num>
  <w:num w:numId="43" w16cid:durableId="1902867762">
    <w:abstractNumId w:val="42"/>
  </w:num>
  <w:num w:numId="44" w16cid:durableId="1228417518">
    <w:abstractNumId w:val="41"/>
  </w:num>
  <w:num w:numId="45" w16cid:durableId="1175148243">
    <w:abstractNumId w:val="15"/>
  </w:num>
  <w:num w:numId="46" w16cid:durableId="807749440">
    <w:abstractNumId w:val="31"/>
  </w:num>
  <w:num w:numId="47" w16cid:durableId="337269061">
    <w:abstractNumId w:val="65"/>
  </w:num>
  <w:num w:numId="48" w16cid:durableId="136461728">
    <w:abstractNumId w:val="53"/>
  </w:num>
  <w:num w:numId="49" w16cid:durableId="342442690">
    <w:abstractNumId w:val="35"/>
  </w:num>
  <w:num w:numId="50" w16cid:durableId="755443890">
    <w:abstractNumId w:val="60"/>
  </w:num>
  <w:num w:numId="51" w16cid:durableId="618947992">
    <w:abstractNumId w:val="45"/>
  </w:num>
  <w:num w:numId="52" w16cid:durableId="214392836">
    <w:abstractNumId w:val="44"/>
  </w:num>
  <w:num w:numId="53" w16cid:durableId="1514490834">
    <w:abstractNumId w:val="7"/>
  </w:num>
  <w:num w:numId="54" w16cid:durableId="252973847">
    <w:abstractNumId w:val="18"/>
  </w:num>
  <w:num w:numId="55" w16cid:durableId="304313437">
    <w:abstractNumId w:val="13"/>
  </w:num>
  <w:num w:numId="56" w16cid:durableId="1986857365">
    <w:abstractNumId w:val="51"/>
  </w:num>
  <w:num w:numId="57" w16cid:durableId="518197414">
    <w:abstractNumId w:val="6"/>
  </w:num>
  <w:num w:numId="58" w16cid:durableId="748815124">
    <w:abstractNumId w:val="58"/>
  </w:num>
  <w:num w:numId="59" w16cid:durableId="1958901236">
    <w:abstractNumId w:val="57"/>
  </w:num>
  <w:num w:numId="60" w16cid:durableId="437261484">
    <w:abstractNumId w:val="28"/>
  </w:num>
  <w:num w:numId="61" w16cid:durableId="1263995760">
    <w:abstractNumId w:val="17"/>
  </w:num>
  <w:num w:numId="62" w16cid:durableId="653534106">
    <w:abstractNumId w:val="25"/>
  </w:num>
  <w:num w:numId="63" w16cid:durableId="1462309139">
    <w:abstractNumId w:val="32"/>
  </w:num>
  <w:num w:numId="64" w16cid:durableId="1831209659">
    <w:abstractNumId w:val="43"/>
  </w:num>
  <w:num w:numId="65" w16cid:durableId="1481769936">
    <w:abstractNumId w:val="1"/>
  </w:num>
  <w:num w:numId="66" w16cid:durableId="1853445672">
    <w:abstractNumId w:val="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VV8OtZzqR00tWzhVmBGeq7WDbLeT5KlbeBFEQG4T8rsQ1ZSnuOLPIyMw6eIFzj3PWgUpW7Kkbuy/nIHL5A/pCw==" w:salt="G+Vieq9V/jliF1t1Zop6M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C72"/>
    <w:rsid w:val="00000003"/>
    <w:rsid w:val="000002A4"/>
    <w:rsid w:val="0000074C"/>
    <w:rsid w:val="00000EF2"/>
    <w:rsid w:val="00001CEE"/>
    <w:rsid w:val="00001D8A"/>
    <w:rsid w:val="0000233F"/>
    <w:rsid w:val="00002595"/>
    <w:rsid w:val="000035A1"/>
    <w:rsid w:val="00006009"/>
    <w:rsid w:val="000074B1"/>
    <w:rsid w:val="00010452"/>
    <w:rsid w:val="000104BB"/>
    <w:rsid w:val="00010B34"/>
    <w:rsid w:val="00010F1E"/>
    <w:rsid w:val="000122A1"/>
    <w:rsid w:val="000125ED"/>
    <w:rsid w:val="00013251"/>
    <w:rsid w:val="0001533E"/>
    <w:rsid w:val="000158E2"/>
    <w:rsid w:val="000165E6"/>
    <w:rsid w:val="00016BB7"/>
    <w:rsid w:val="00017DE5"/>
    <w:rsid w:val="00020837"/>
    <w:rsid w:val="0002139B"/>
    <w:rsid w:val="00022582"/>
    <w:rsid w:val="000228CD"/>
    <w:rsid w:val="00022EF4"/>
    <w:rsid w:val="00023298"/>
    <w:rsid w:val="00023FFB"/>
    <w:rsid w:val="00024E3E"/>
    <w:rsid w:val="00024EA8"/>
    <w:rsid w:val="0002508E"/>
    <w:rsid w:val="000251AA"/>
    <w:rsid w:val="0002591A"/>
    <w:rsid w:val="00026555"/>
    <w:rsid w:val="000273D8"/>
    <w:rsid w:val="00027FC9"/>
    <w:rsid w:val="00030661"/>
    <w:rsid w:val="00031C83"/>
    <w:rsid w:val="000323A4"/>
    <w:rsid w:val="00033343"/>
    <w:rsid w:val="00034157"/>
    <w:rsid w:val="000354C8"/>
    <w:rsid w:val="00035BE8"/>
    <w:rsid w:val="00036483"/>
    <w:rsid w:val="00037797"/>
    <w:rsid w:val="000406D9"/>
    <w:rsid w:val="000420D8"/>
    <w:rsid w:val="000424CA"/>
    <w:rsid w:val="0004281C"/>
    <w:rsid w:val="00042D93"/>
    <w:rsid w:val="00043195"/>
    <w:rsid w:val="00043991"/>
    <w:rsid w:val="0004473E"/>
    <w:rsid w:val="00044B37"/>
    <w:rsid w:val="00046324"/>
    <w:rsid w:val="00047AAF"/>
    <w:rsid w:val="0005097B"/>
    <w:rsid w:val="00050C0F"/>
    <w:rsid w:val="00051909"/>
    <w:rsid w:val="00052472"/>
    <w:rsid w:val="00052E8B"/>
    <w:rsid w:val="0005327D"/>
    <w:rsid w:val="0005406C"/>
    <w:rsid w:val="000567D0"/>
    <w:rsid w:val="00060469"/>
    <w:rsid w:val="00061F05"/>
    <w:rsid w:val="0006315B"/>
    <w:rsid w:val="00067877"/>
    <w:rsid w:val="00067EFB"/>
    <w:rsid w:val="000705EE"/>
    <w:rsid w:val="000706A9"/>
    <w:rsid w:val="000729DD"/>
    <w:rsid w:val="00075B4E"/>
    <w:rsid w:val="0007681B"/>
    <w:rsid w:val="00076FFB"/>
    <w:rsid w:val="00077299"/>
    <w:rsid w:val="00077A9C"/>
    <w:rsid w:val="00077C74"/>
    <w:rsid w:val="00077D17"/>
    <w:rsid w:val="00080FAA"/>
    <w:rsid w:val="00081E56"/>
    <w:rsid w:val="0008209B"/>
    <w:rsid w:val="00082308"/>
    <w:rsid w:val="00083B99"/>
    <w:rsid w:val="000844F7"/>
    <w:rsid w:val="000845BC"/>
    <w:rsid w:val="00085EC6"/>
    <w:rsid w:val="0008647F"/>
    <w:rsid w:val="000873B2"/>
    <w:rsid w:val="00087532"/>
    <w:rsid w:val="00090640"/>
    <w:rsid w:val="0009178B"/>
    <w:rsid w:val="00091845"/>
    <w:rsid w:val="000924E8"/>
    <w:rsid w:val="00092CB1"/>
    <w:rsid w:val="000935F5"/>
    <w:rsid w:val="0009463F"/>
    <w:rsid w:val="00095F95"/>
    <w:rsid w:val="00096DF8"/>
    <w:rsid w:val="0009744A"/>
    <w:rsid w:val="00097CB9"/>
    <w:rsid w:val="000A1E16"/>
    <w:rsid w:val="000A2462"/>
    <w:rsid w:val="000A24D4"/>
    <w:rsid w:val="000A2A0F"/>
    <w:rsid w:val="000A36D7"/>
    <w:rsid w:val="000A37D6"/>
    <w:rsid w:val="000A5A44"/>
    <w:rsid w:val="000A6079"/>
    <w:rsid w:val="000A61EF"/>
    <w:rsid w:val="000A7553"/>
    <w:rsid w:val="000A7D8C"/>
    <w:rsid w:val="000B0B0C"/>
    <w:rsid w:val="000B26E0"/>
    <w:rsid w:val="000B2AAF"/>
    <w:rsid w:val="000B4284"/>
    <w:rsid w:val="000B5344"/>
    <w:rsid w:val="000B598A"/>
    <w:rsid w:val="000B7AB0"/>
    <w:rsid w:val="000B7AB4"/>
    <w:rsid w:val="000C058C"/>
    <w:rsid w:val="000C37B6"/>
    <w:rsid w:val="000C3F8A"/>
    <w:rsid w:val="000C47E8"/>
    <w:rsid w:val="000C4AD7"/>
    <w:rsid w:val="000C4BD2"/>
    <w:rsid w:val="000C4EE0"/>
    <w:rsid w:val="000C5E22"/>
    <w:rsid w:val="000C5F12"/>
    <w:rsid w:val="000C65BB"/>
    <w:rsid w:val="000C694C"/>
    <w:rsid w:val="000D02DB"/>
    <w:rsid w:val="000D08CD"/>
    <w:rsid w:val="000D127E"/>
    <w:rsid w:val="000D1725"/>
    <w:rsid w:val="000D1D9A"/>
    <w:rsid w:val="000D2049"/>
    <w:rsid w:val="000D42FE"/>
    <w:rsid w:val="000D5F0E"/>
    <w:rsid w:val="000D6011"/>
    <w:rsid w:val="000D724A"/>
    <w:rsid w:val="000D7746"/>
    <w:rsid w:val="000D7942"/>
    <w:rsid w:val="000E01F0"/>
    <w:rsid w:val="000E07AA"/>
    <w:rsid w:val="000E0EA0"/>
    <w:rsid w:val="000E26AA"/>
    <w:rsid w:val="000E3D40"/>
    <w:rsid w:val="000E4DDA"/>
    <w:rsid w:val="000E4ECA"/>
    <w:rsid w:val="000E5362"/>
    <w:rsid w:val="000E728B"/>
    <w:rsid w:val="000E772E"/>
    <w:rsid w:val="000F19C6"/>
    <w:rsid w:val="000F3532"/>
    <w:rsid w:val="000F443C"/>
    <w:rsid w:val="000F44DC"/>
    <w:rsid w:val="000F4F38"/>
    <w:rsid w:val="000F7412"/>
    <w:rsid w:val="000F7EC5"/>
    <w:rsid w:val="00101AC3"/>
    <w:rsid w:val="00102D47"/>
    <w:rsid w:val="001032DF"/>
    <w:rsid w:val="001059E7"/>
    <w:rsid w:val="00106A6E"/>
    <w:rsid w:val="00107146"/>
    <w:rsid w:val="001075DF"/>
    <w:rsid w:val="00111CF2"/>
    <w:rsid w:val="00113B6C"/>
    <w:rsid w:val="001150E2"/>
    <w:rsid w:val="00115168"/>
    <w:rsid w:val="00117A85"/>
    <w:rsid w:val="00120F39"/>
    <w:rsid w:val="00121DA7"/>
    <w:rsid w:val="00123090"/>
    <w:rsid w:val="001231FF"/>
    <w:rsid w:val="001237C8"/>
    <w:rsid w:val="00123FF6"/>
    <w:rsid w:val="001244DB"/>
    <w:rsid w:val="0012461F"/>
    <w:rsid w:val="00124AC1"/>
    <w:rsid w:val="00125538"/>
    <w:rsid w:val="00125714"/>
    <w:rsid w:val="00126E87"/>
    <w:rsid w:val="001270A9"/>
    <w:rsid w:val="00127279"/>
    <w:rsid w:val="00127345"/>
    <w:rsid w:val="00130D14"/>
    <w:rsid w:val="00131699"/>
    <w:rsid w:val="00132825"/>
    <w:rsid w:val="00133EE5"/>
    <w:rsid w:val="00135565"/>
    <w:rsid w:val="0013596D"/>
    <w:rsid w:val="00135BAD"/>
    <w:rsid w:val="00136508"/>
    <w:rsid w:val="00137194"/>
    <w:rsid w:val="00137A62"/>
    <w:rsid w:val="00141AFC"/>
    <w:rsid w:val="001421AB"/>
    <w:rsid w:val="00142660"/>
    <w:rsid w:val="00142938"/>
    <w:rsid w:val="00143B74"/>
    <w:rsid w:val="00145E8C"/>
    <w:rsid w:val="00145EF5"/>
    <w:rsid w:val="001460D9"/>
    <w:rsid w:val="00147951"/>
    <w:rsid w:val="00150933"/>
    <w:rsid w:val="001543C8"/>
    <w:rsid w:val="00154AB0"/>
    <w:rsid w:val="00154DD1"/>
    <w:rsid w:val="00155F68"/>
    <w:rsid w:val="00156132"/>
    <w:rsid w:val="001566F5"/>
    <w:rsid w:val="00157A49"/>
    <w:rsid w:val="00157E4B"/>
    <w:rsid w:val="00157F5A"/>
    <w:rsid w:val="00162743"/>
    <w:rsid w:val="0016418C"/>
    <w:rsid w:val="0016583A"/>
    <w:rsid w:val="001659EA"/>
    <w:rsid w:val="00166170"/>
    <w:rsid w:val="00167F03"/>
    <w:rsid w:val="00171A98"/>
    <w:rsid w:val="001747B7"/>
    <w:rsid w:val="00176B18"/>
    <w:rsid w:val="00180148"/>
    <w:rsid w:val="0018018D"/>
    <w:rsid w:val="001804B1"/>
    <w:rsid w:val="00180716"/>
    <w:rsid w:val="00180781"/>
    <w:rsid w:val="00182609"/>
    <w:rsid w:val="0018552F"/>
    <w:rsid w:val="001863CC"/>
    <w:rsid w:val="00187E78"/>
    <w:rsid w:val="00190273"/>
    <w:rsid w:val="0019036A"/>
    <w:rsid w:val="00190A30"/>
    <w:rsid w:val="001914A3"/>
    <w:rsid w:val="00191E06"/>
    <w:rsid w:val="00192D60"/>
    <w:rsid w:val="00194AED"/>
    <w:rsid w:val="00194E8D"/>
    <w:rsid w:val="00196377"/>
    <w:rsid w:val="00196ADD"/>
    <w:rsid w:val="00196BFD"/>
    <w:rsid w:val="0019726D"/>
    <w:rsid w:val="00197B7A"/>
    <w:rsid w:val="00197CB6"/>
    <w:rsid w:val="001A08FB"/>
    <w:rsid w:val="001A0CBD"/>
    <w:rsid w:val="001A0E67"/>
    <w:rsid w:val="001A17CD"/>
    <w:rsid w:val="001A2CC3"/>
    <w:rsid w:val="001A305F"/>
    <w:rsid w:val="001A4366"/>
    <w:rsid w:val="001A4A25"/>
    <w:rsid w:val="001A5463"/>
    <w:rsid w:val="001A556E"/>
    <w:rsid w:val="001A55FC"/>
    <w:rsid w:val="001A5A41"/>
    <w:rsid w:val="001A62CC"/>
    <w:rsid w:val="001A65F3"/>
    <w:rsid w:val="001A68A0"/>
    <w:rsid w:val="001A6E7B"/>
    <w:rsid w:val="001A7286"/>
    <w:rsid w:val="001A74FE"/>
    <w:rsid w:val="001B08D8"/>
    <w:rsid w:val="001B0CC6"/>
    <w:rsid w:val="001B1323"/>
    <w:rsid w:val="001B14E0"/>
    <w:rsid w:val="001B1DFE"/>
    <w:rsid w:val="001B3A81"/>
    <w:rsid w:val="001B4449"/>
    <w:rsid w:val="001B45A9"/>
    <w:rsid w:val="001B5883"/>
    <w:rsid w:val="001B5994"/>
    <w:rsid w:val="001B6CE3"/>
    <w:rsid w:val="001B74AB"/>
    <w:rsid w:val="001B75C0"/>
    <w:rsid w:val="001B7770"/>
    <w:rsid w:val="001C1D13"/>
    <w:rsid w:val="001C1FEF"/>
    <w:rsid w:val="001C2532"/>
    <w:rsid w:val="001C2FBB"/>
    <w:rsid w:val="001C43E8"/>
    <w:rsid w:val="001C4E33"/>
    <w:rsid w:val="001C62A9"/>
    <w:rsid w:val="001C7AE2"/>
    <w:rsid w:val="001D161D"/>
    <w:rsid w:val="001D3455"/>
    <w:rsid w:val="001D5988"/>
    <w:rsid w:val="001D6806"/>
    <w:rsid w:val="001D6F2E"/>
    <w:rsid w:val="001D78C7"/>
    <w:rsid w:val="001D7B2B"/>
    <w:rsid w:val="001D7C65"/>
    <w:rsid w:val="001E24E8"/>
    <w:rsid w:val="001E272D"/>
    <w:rsid w:val="001E43DC"/>
    <w:rsid w:val="001E4BBE"/>
    <w:rsid w:val="001E5793"/>
    <w:rsid w:val="001E5983"/>
    <w:rsid w:val="001E5E6E"/>
    <w:rsid w:val="001E6589"/>
    <w:rsid w:val="001F0A49"/>
    <w:rsid w:val="001F1590"/>
    <w:rsid w:val="001F4157"/>
    <w:rsid w:val="001F423B"/>
    <w:rsid w:val="001F53C5"/>
    <w:rsid w:val="001F5FBA"/>
    <w:rsid w:val="001F6158"/>
    <w:rsid w:val="001F6A35"/>
    <w:rsid w:val="001F6B54"/>
    <w:rsid w:val="001F787E"/>
    <w:rsid w:val="002004C2"/>
    <w:rsid w:val="002005A2"/>
    <w:rsid w:val="00200975"/>
    <w:rsid w:val="00200E75"/>
    <w:rsid w:val="002016A2"/>
    <w:rsid w:val="00201EF3"/>
    <w:rsid w:val="00203282"/>
    <w:rsid w:val="00203593"/>
    <w:rsid w:val="00203E39"/>
    <w:rsid w:val="00204793"/>
    <w:rsid w:val="002071C5"/>
    <w:rsid w:val="0020763C"/>
    <w:rsid w:val="00207AC9"/>
    <w:rsid w:val="00211690"/>
    <w:rsid w:val="00211B9B"/>
    <w:rsid w:val="00211DAE"/>
    <w:rsid w:val="002134D7"/>
    <w:rsid w:val="00213A6E"/>
    <w:rsid w:val="00215449"/>
    <w:rsid w:val="00217A8C"/>
    <w:rsid w:val="00217D88"/>
    <w:rsid w:val="00220415"/>
    <w:rsid w:val="0022126F"/>
    <w:rsid w:val="00221665"/>
    <w:rsid w:val="00224560"/>
    <w:rsid w:val="00224E85"/>
    <w:rsid w:val="0022626B"/>
    <w:rsid w:val="0023148D"/>
    <w:rsid w:val="002322BF"/>
    <w:rsid w:val="002324F1"/>
    <w:rsid w:val="00235748"/>
    <w:rsid w:val="00236C7D"/>
    <w:rsid w:val="00236D33"/>
    <w:rsid w:val="00237708"/>
    <w:rsid w:val="002401AB"/>
    <w:rsid w:val="00241CB1"/>
    <w:rsid w:val="00243A20"/>
    <w:rsid w:val="0024490A"/>
    <w:rsid w:val="0024511E"/>
    <w:rsid w:val="0024594A"/>
    <w:rsid w:val="00247CCE"/>
    <w:rsid w:val="00247DB2"/>
    <w:rsid w:val="00250814"/>
    <w:rsid w:val="00250845"/>
    <w:rsid w:val="00251237"/>
    <w:rsid w:val="002522A1"/>
    <w:rsid w:val="0025298D"/>
    <w:rsid w:val="00254FBC"/>
    <w:rsid w:val="002558F7"/>
    <w:rsid w:val="002559AB"/>
    <w:rsid w:val="00257E22"/>
    <w:rsid w:val="00260AD7"/>
    <w:rsid w:val="00262748"/>
    <w:rsid w:val="00263BAA"/>
    <w:rsid w:val="00263D74"/>
    <w:rsid w:val="002658B3"/>
    <w:rsid w:val="00266EE7"/>
    <w:rsid w:val="00267419"/>
    <w:rsid w:val="00271179"/>
    <w:rsid w:val="00272C07"/>
    <w:rsid w:val="002736C6"/>
    <w:rsid w:val="00273FC2"/>
    <w:rsid w:val="002746F0"/>
    <w:rsid w:val="0027499A"/>
    <w:rsid w:val="002754CC"/>
    <w:rsid w:val="002776BE"/>
    <w:rsid w:val="00280224"/>
    <w:rsid w:val="00280985"/>
    <w:rsid w:val="00281B0C"/>
    <w:rsid w:val="002829F1"/>
    <w:rsid w:val="00283E13"/>
    <w:rsid w:val="00284BDC"/>
    <w:rsid w:val="002855D6"/>
    <w:rsid w:val="00285851"/>
    <w:rsid w:val="00285A97"/>
    <w:rsid w:val="002866EB"/>
    <w:rsid w:val="00286A67"/>
    <w:rsid w:val="0028701F"/>
    <w:rsid w:val="002872E5"/>
    <w:rsid w:val="002904E6"/>
    <w:rsid w:val="002917A8"/>
    <w:rsid w:val="00291BAB"/>
    <w:rsid w:val="00292182"/>
    <w:rsid w:val="00292AD9"/>
    <w:rsid w:val="00292CCE"/>
    <w:rsid w:val="00293481"/>
    <w:rsid w:val="00293C19"/>
    <w:rsid w:val="00293DD5"/>
    <w:rsid w:val="002955C2"/>
    <w:rsid w:val="00295D34"/>
    <w:rsid w:val="00296646"/>
    <w:rsid w:val="00297799"/>
    <w:rsid w:val="00297C33"/>
    <w:rsid w:val="002A0185"/>
    <w:rsid w:val="002A0B19"/>
    <w:rsid w:val="002A0B50"/>
    <w:rsid w:val="002A1A8A"/>
    <w:rsid w:val="002A250B"/>
    <w:rsid w:val="002A2974"/>
    <w:rsid w:val="002A2E5E"/>
    <w:rsid w:val="002A3264"/>
    <w:rsid w:val="002A481E"/>
    <w:rsid w:val="002A55BF"/>
    <w:rsid w:val="002A5CAD"/>
    <w:rsid w:val="002A74FD"/>
    <w:rsid w:val="002A7956"/>
    <w:rsid w:val="002A7D72"/>
    <w:rsid w:val="002B061C"/>
    <w:rsid w:val="002B0ED3"/>
    <w:rsid w:val="002B18F5"/>
    <w:rsid w:val="002B2750"/>
    <w:rsid w:val="002B2A2E"/>
    <w:rsid w:val="002B43F0"/>
    <w:rsid w:val="002B65A1"/>
    <w:rsid w:val="002B781A"/>
    <w:rsid w:val="002C0029"/>
    <w:rsid w:val="002C291D"/>
    <w:rsid w:val="002C35D1"/>
    <w:rsid w:val="002C4AAB"/>
    <w:rsid w:val="002C5188"/>
    <w:rsid w:val="002C5ACB"/>
    <w:rsid w:val="002C6A50"/>
    <w:rsid w:val="002C7672"/>
    <w:rsid w:val="002C7D83"/>
    <w:rsid w:val="002D05FF"/>
    <w:rsid w:val="002D06A7"/>
    <w:rsid w:val="002D0A90"/>
    <w:rsid w:val="002D0BB3"/>
    <w:rsid w:val="002D28D2"/>
    <w:rsid w:val="002D2CF6"/>
    <w:rsid w:val="002D4625"/>
    <w:rsid w:val="002D52B5"/>
    <w:rsid w:val="002D53C3"/>
    <w:rsid w:val="002D74DD"/>
    <w:rsid w:val="002D7ABD"/>
    <w:rsid w:val="002E0E22"/>
    <w:rsid w:val="002E139A"/>
    <w:rsid w:val="002E1476"/>
    <w:rsid w:val="002E1E05"/>
    <w:rsid w:val="002E2ECB"/>
    <w:rsid w:val="002E3B96"/>
    <w:rsid w:val="002E3D05"/>
    <w:rsid w:val="002E3E76"/>
    <w:rsid w:val="002E527F"/>
    <w:rsid w:val="002E5E45"/>
    <w:rsid w:val="002E6AC1"/>
    <w:rsid w:val="002E797F"/>
    <w:rsid w:val="002E7EEA"/>
    <w:rsid w:val="002F1B23"/>
    <w:rsid w:val="002F26AB"/>
    <w:rsid w:val="002F3A63"/>
    <w:rsid w:val="002F3AF9"/>
    <w:rsid w:val="002F4FE9"/>
    <w:rsid w:val="002F5926"/>
    <w:rsid w:val="002F6372"/>
    <w:rsid w:val="002F7313"/>
    <w:rsid w:val="002F7479"/>
    <w:rsid w:val="0030090A"/>
    <w:rsid w:val="003029AE"/>
    <w:rsid w:val="003029B2"/>
    <w:rsid w:val="00302D55"/>
    <w:rsid w:val="003038C8"/>
    <w:rsid w:val="003057CE"/>
    <w:rsid w:val="00310302"/>
    <w:rsid w:val="00311AD1"/>
    <w:rsid w:val="00312AF3"/>
    <w:rsid w:val="00312FEF"/>
    <w:rsid w:val="00314880"/>
    <w:rsid w:val="0031500A"/>
    <w:rsid w:val="0031696C"/>
    <w:rsid w:val="00316B3F"/>
    <w:rsid w:val="00320751"/>
    <w:rsid w:val="003209CA"/>
    <w:rsid w:val="00320A30"/>
    <w:rsid w:val="00320EEC"/>
    <w:rsid w:val="00321E72"/>
    <w:rsid w:val="0032214E"/>
    <w:rsid w:val="00322972"/>
    <w:rsid w:val="00323457"/>
    <w:rsid w:val="00325BE2"/>
    <w:rsid w:val="0032663A"/>
    <w:rsid w:val="003275DF"/>
    <w:rsid w:val="003304E7"/>
    <w:rsid w:val="00330E64"/>
    <w:rsid w:val="00330F3F"/>
    <w:rsid w:val="0033115A"/>
    <w:rsid w:val="00331D70"/>
    <w:rsid w:val="00332132"/>
    <w:rsid w:val="003328CC"/>
    <w:rsid w:val="003333A8"/>
    <w:rsid w:val="0033342B"/>
    <w:rsid w:val="00333F19"/>
    <w:rsid w:val="00334877"/>
    <w:rsid w:val="003356CD"/>
    <w:rsid w:val="00335A6D"/>
    <w:rsid w:val="003365BF"/>
    <w:rsid w:val="00340125"/>
    <w:rsid w:val="00340A6A"/>
    <w:rsid w:val="0034108A"/>
    <w:rsid w:val="00341E03"/>
    <w:rsid w:val="00342BA2"/>
    <w:rsid w:val="0034317E"/>
    <w:rsid w:val="00343AAC"/>
    <w:rsid w:val="00343B8D"/>
    <w:rsid w:val="00347386"/>
    <w:rsid w:val="003477DB"/>
    <w:rsid w:val="00347D08"/>
    <w:rsid w:val="00351929"/>
    <w:rsid w:val="00352DFF"/>
    <w:rsid w:val="00354433"/>
    <w:rsid w:val="003555DA"/>
    <w:rsid w:val="0036132F"/>
    <w:rsid w:val="00362246"/>
    <w:rsid w:val="00363084"/>
    <w:rsid w:val="0036325A"/>
    <w:rsid w:val="00363AB4"/>
    <w:rsid w:val="00364246"/>
    <w:rsid w:val="00364D0F"/>
    <w:rsid w:val="00364E36"/>
    <w:rsid w:val="003655AD"/>
    <w:rsid w:val="00365B33"/>
    <w:rsid w:val="00365B97"/>
    <w:rsid w:val="0036656D"/>
    <w:rsid w:val="00367041"/>
    <w:rsid w:val="00367658"/>
    <w:rsid w:val="00367914"/>
    <w:rsid w:val="00370DE7"/>
    <w:rsid w:val="00372221"/>
    <w:rsid w:val="00372392"/>
    <w:rsid w:val="00373917"/>
    <w:rsid w:val="00373A42"/>
    <w:rsid w:val="00374FE3"/>
    <w:rsid w:val="00375935"/>
    <w:rsid w:val="003759AE"/>
    <w:rsid w:val="003760E7"/>
    <w:rsid w:val="00377767"/>
    <w:rsid w:val="00377AA8"/>
    <w:rsid w:val="00377F0A"/>
    <w:rsid w:val="003805DB"/>
    <w:rsid w:val="003823BE"/>
    <w:rsid w:val="00382CA0"/>
    <w:rsid w:val="00383064"/>
    <w:rsid w:val="0038340E"/>
    <w:rsid w:val="003848C1"/>
    <w:rsid w:val="00385112"/>
    <w:rsid w:val="00386068"/>
    <w:rsid w:val="003861E9"/>
    <w:rsid w:val="00386C3A"/>
    <w:rsid w:val="003873D2"/>
    <w:rsid w:val="003875F1"/>
    <w:rsid w:val="00387B95"/>
    <w:rsid w:val="00390E80"/>
    <w:rsid w:val="00390FD5"/>
    <w:rsid w:val="00393575"/>
    <w:rsid w:val="00393E33"/>
    <w:rsid w:val="003941CF"/>
    <w:rsid w:val="003946F0"/>
    <w:rsid w:val="00394BBB"/>
    <w:rsid w:val="00394C82"/>
    <w:rsid w:val="00395C9C"/>
    <w:rsid w:val="00395D3A"/>
    <w:rsid w:val="003972FF"/>
    <w:rsid w:val="003A0837"/>
    <w:rsid w:val="003A1287"/>
    <w:rsid w:val="003A1358"/>
    <w:rsid w:val="003A2B0A"/>
    <w:rsid w:val="003A38C3"/>
    <w:rsid w:val="003A3A55"/>
    <w:rsid w:val="003A3BDA"/>
    <w:rsid w:val="003A3E8A"/>
    <w:rsid w:val="003A5A32"/>
    <w:rsid w:val="003A6AAB"/>
    <w:rsid w:val="003A6CF3"/>
    <w:rsid w:val="003B1820"/>
    <w:rsid w:val="003B347A"/>
    <w:rsid w:val="003B4E5A"/>
    <w:rsid w:val="003B6386"/>
    <w:rsid w:val="003B66D8"/>
    <w:rsid w:val="003C090B"/>
    <w:rsid w:val="003C178D"/>
    <w:rsid w:val="003C1974"/>
    <w:rsid w:val="003C1C86"/>
    <w:rsid w:val="003C245B"/>
    <w:rsid w:val="003C248D"/>
    <w:rsid w:val="003C3096"/>
    <w:rsid w:val="003C4078"/>
    <w:rsid w:val="003C4AEC"/>
    <w:rsid w:val="003C7917"/>
    <w:rsid w:val="003D1C51"/>
    <w:rsid w:val="003D1CEF"/>
    <w:rsid w:val="003D27DC"/>
    <w:rsid w:val="003D3E4D"/>
    <w:rsid w:val="003D4453"/>
    <w:rsid w:val="003D4ACF"/>
    <w:rsid w:val="003D631C"/>
    <w:rsid w:val="003D6665"/>
    <w:rsid w:val="003D71E4"/>
    <w:rsid w:val="003D72D0"/>
    <w:rsid w:val="003D7AA6"/>
    <w:rsid w:val="003D7BBA"/>
    <w:rsid w:val="003E098C"/>
    <w:rsid w:val="003E0CFA"/>
    <w:rsid w:val="003E0DB3"/>
    <w:rsid w:val="003E2B6C"/>
    <w:rsid w:val="003E46EC"/>
    <w:rsid w:val="003E5502"/>
    <w:rsid w:val="003E6B3E"/>
    <w:rsid w:val="003E7A4B"/>
    <w:rsid w:val="003F044D"/>
    <w:rsid w:val="003F16D8"/>
    <w:rsid w:val="003F177B"/>
    <w:rsid w:val="003F2375"/>
    <w:rsid w:val="003F26A9"/>
    <w:rsid w:val="003F3142"/>
    <w:rsid w:val="003F3E31"/>
    <w:rsid w:val="003F432B"/>
    <w:rsid w:val="003F5742"/>
    <w:rsid w:val="003F5852"/>
    <w:rsid w:val="003F76E9"/>
    <w:rsid w:val="00400079"/>
    <w:rsid w:val="00401A72"/>
    <w:rsid w:val="00403561"/>
    <w:rsid w:val="00403DAB"/>
    <w:rsid w:val="00404D94"/>
    <w:rsid w:val="00404F8D"/>
    <w:rsid w:val="004065A0"/>
    <w:rsid w:val="00406B83"/>
    <w:rsid w:val="00407155"/>
    <w:rsid w:val="00407891"/>
    <w:rsid w:val="00410405"/>
    <w:rsid w:val="00411956"/>
    <w:rsid w:val="004120C8"/>
    <w:rsid w:val="004138F3"/>
    <w:rsid w:val="004140E0"/>
    <w:rsid w:val="00415A90"/>
    <w:rsid w:val="004170E8"/>
    <w:rsid w:val="00417497"/>
    <w:rsid w:val="004177A4"/>
    <w:rsid w:val="004203A7"/>
    <w:rsid w:val="0042196A"/>
    <w:rsid w:val="00422165"/>
    <w:rsid w:val="004228BA"/>
    <w:rsid w:val="00422C13"/>
    <w:rsid w:val="00422CFA"/>
    <w:rsid w:val="00422F17"/>
    <w:rsid w:val="00423249"/>
    <w:rsid w:val="004236B2"/>
    <w:rsid w:val="00423AFC"/>
    <w:rsid w:val="00423D84"/>
    <w:rsid w:val="004249AD"/>
    <w:rsid w:val="00424CF7"/>
    <w:rsid w:val="00425940"/>
    <w:rsid w:val="00425D4C"/>
    <w:rsid w:val="00426055"/>
    <w:rsid w:val="00426FDE"/>
    <w:rsid w:val="0043091A"/>
    <w:rsid w:val="0043118C"/>
    <w:rsid w:val="0043317F"/>
    <w:rsid w:val="00434224"/>
    <w:rsid w:val="0043433B"/>
    <w:rsid w:val="00435211"/>
    <w:rsid w:val="00435E87"/>
    <w:rsid w:val="00436F33"/>
    <w:rsid w:val="00437396"/>
    <w:rsid w:val="00437DE0"/>
    <w:rsid w:val="00440332"/>
    <w:rsid w:val="00441142"/>
    <w:rsid w:val="00441872"/>
    <w:rsid w:val="00441988"/>
    <w:rsid w:val="0044309F"/>
    <w:rsid w:val="00445431"/>
    <w:rsid w:val="00446A70"/>
    <w:rsid w:val="00447C80"/>
    <w:rsid w:val="00451629"/>
    <w:rsid w:val="00451F8D"/>
    <w:rsid w:val="004541E1"/>
    <w:rsid w:val="0045481D"/>
    <w:rsid w:val="00454CC9"/>
    <w:rsid w:val="004559C1"/>
    <w:rsid w:val="00455E98"/>
    <w:rsid w:val="00457331"/>
    <w:rsid w:val="00457E56"/>
    <w:rsid w:val="004600DF"/>
    <w:rsid w:val="00460C98"/>
    <w:rsid w:val="00462677"/>
    <w:rsid w:val="004636E1"/>
    <w:rsid w:val="00463B6D"/>
    <w:rsid w:val="00463D48"/>
    <w:rsid w:val="0046489D"/>
    <w:rsid w:val="00464A53"/>
    <w:rsid w:val="00466972"/>
    <w:rsid w:val="00466CB3"/>
    <w:rsid w:val="00466F91"/>
    <w:rsid w:val="00467339"/>
    <w:rsid w:val="00467CE1"/>
    <w:rsid w:val="00467D24"/>
    <w:rsid w:val="00471019"/>
    <w:rsid w:val="004711E1"/>
    <w:rsid w:val="004716BC"/>
    <w:rsid w:val="00474DA2"/>
    <w:rsid w:val="00474F48"/>
    <w:rsid w:val="004758BA"/>
    <w:rsid w:val="00476B17"/>
    <w:rsid w:val="004771CD"/>
    <w:rsid w:val="00477702"/>
    <w:rsid w:val="0047777C"/>
    <w:rsid w:val="00480108"/>
    <w:rsid w:val="00480148"/>
    <w:rsid w:val="00480C45"/>
    <w:rsid w:val="00480EE1"/>
    <w:rsid w:val="004816A5"/>
    <w:rsid w:val="00482A06"/>
    <w:rsid w:val="0048483B"/>
    <w:rsid w:val="00484963"/>
    <w:rsid w:val="00487160"/>
    <w:rsid w:val="00487CD2"/>
    <w:rsid w:val="00487D6C"/>
    <w:rsid w:val="00491C80"/>
    <w:rsid w:val="00491D90"/>
    <w:rsid w:val="004922DF"/>
    <w:rsid w:val="00493390"/>
    <w:rsid w:val="00493ABA"/>
    <w:rsid w:val="004952DD"/>
    <w:rsid w:val="0049648C"/>
    <w:rsid w:val="004964EB"/>
    <w:rsid w:val="00496BA0"/>
    <w:rsid w:val="00496FA5"/>
    <w:rsid w:val="004A0DF2"/>
    <w:rsid w:val="004A0DFA"/>
    <w:rsid w:val="004A180D"/>
    <w:rsid w:val="004A3363"/>
    <w:rsid w:val="004A6DB1"/>
    <w:rsid w:val="004A7BA0"/>
    <w:rsid w:val="004B0BD6"/>
    <w:rsid w:val="004B16F0"/>
    <w:rsid w:val="004B1D20"/>
    <w:rsid w:val="004B220B"/>
    <w:rsid w:val="004B2276"/>
    <w:rsid w:val="004B35B7"/>
    <w:rsid w:val="004B3A9C"/>
    <w:rsid w:val="004B4CC4"/>
    <w:rsid w:val="004B5508"/>
    <w:rsid w:val="004B6942"/>
    <w:rsid w:val="004B6CDD"/>
    <w:rsid w:val="004B799C"/>
    <w:rsid w:val="004C0A70"/>
    <w:rsid w:val="004C2C38"/>
    <w:rsid w:val="004C2D4F"/>
    <w:rsid w:val="004C5233"/>
    <w:rsid w:val="004C55A0"/>
    <w:rsid w:val="004C5781"/>
    <w:rsid w:val="004C6B08"/>
    <w:rsid w:val="004C7213"/>
    <w:rsid w:val="004C78CE"/>
    <w:rsid w:val="004C7A57"/>
    <w:rsid w:val="004C7BCE"/>
    <w:rsid w:val="004D05FF"/>
    <w:rsid w:val="004D0F9F"/>
    <w:rsid w:val="004D20EA"/>
    <w:rsid w:val="004D29BC"/>
    <w:rsid w:val="004D36F4"/>
    <w:rsid w:val="004D3C52"/>
    <w:rsid w:val="004D47F3"/>
    <w:rsid w:val="004D6EA8"/>
    <w:rsid w:val="004D6F1F"/>
    <w:rsid w:val="004E0825"/>
    <w:rsid w:val="004E092C"/>
    <w:rsid w:val="004E0BC6"/>
    <w:rsid w:val="004E2089"/>
    <w:rsid w:val="004E21CF"/>
    <w:rsid w:val="004E42B1"/>
    <w:rsid w:val="004E48A6"/>
    <w:rsid w:val="004E7075"/>
    <w:rsid w:val="004F1507"/>
    <w:rsid w:val="004F178E"/>
    <w:rsid w:val="004F1801"/>
    <w:rsid w:val="004F24CA"/>
    <w:rsid w:val="004F32DF"/>
    <w:rsid w:val="004F3EF2"/>
    <w:rsid w:val="004F4ED9"/>
    <w:rsid w:val="004F5099"/>
    <w:rsid w:val="004F52C2"/>
    <w:rsid w:val="004F536F"/>
    <w:rsid w:val="004F53C5"/>
    <w:rsid w:val="004F6DBB"/>
    <w:rsid w:val="004F7186"/>
    <w:rsid w:val="004F7227"/>
    <w:rsid w:val="004F7355"/>
    <w:rsid w:val="004F73AE"/>
    <w:rsid w:val="004F74D1"/>
    <w:rsid w:val="004F766E"/>
    <w:rsid w:val="004F7A3B"/>
    <w:rsid w:val="004F7B86"/>
    <w:rsid w:val="004F7CC6"/>
    <w:rsid w:val="00500C16"/>
    <w:rsid w:val="0050272C"/>
    <w:rsid w:val="005029E1"/>
    <w:rsid w:val="005030C1"/>
    <w:rsid w:val="00503B3B"/>
    <w:rsid w:val="00503F53"/>
    <w:rsid w:val="00504EE9"/>
    <w:rsid w:val="00505339"/>
    <w:rsid w:val="00506743"/>
    <w:rsid w:val="005078B5"/>
    <w:rsid w:val="00507FB9"/>
    <w:rsid w:val="00510821"/>
    <w:rsid w:val="00510948"/>
    <w:rsid w:val="00510EB2"/>
    <w:rsid w:val="00510F29"/>
    <w:rsid w:val="005121A4"/>
    <w:rsid w:val="00513444"/>
    <w:rsid w:val="00514248"/>
    <w:rsid w:val="00514DDD"/>
    <w:rsid w:val="00516363"/>
    <w:rsid w:val="00516722"/>
    <w:rsid w:val="00516DD5"/>
    <w:rsid w:val="00516F1D"/>
    <w:rsid w:val="00520065"/>
    <w:rsid w:val="00520728"/>
    <w:rsid w:val="00525DB7"/>
    <w:rsid w:val="00526196"/>
    <w:rsid w:val="00526468"/>
    <w:rsid w:val="00526A8B"/>
    <w:rsid w:val="00530602"/>
    <w:rsid w:val="00530BC2"/>
    <w:rsid w:val="00531855"/>
    <w:rsid w:val="005319B0"/>
    <w:rsid w:val="00533164"/>
    <w:rsid w:val="005332B9"/>
    <w:rsid w:val="005336FD"/>
    <w:rsid w:val="00536D69"/>
    <w:rsid w:val="0054056B"/>
    <w:rsid w:val="00541BE0"/>
    <w:rsid w:val="00541D6F"/>
    <w:rsid w:val="005420D6"/>
    <w:rsid w:val="00543338"/>
    <w:rsid w:val="00544EF5"/>
    <w:rsid w:val="005450FB"/>
    <w:rsid w:val="00545699"/>
    <w:rsid w:val="0054650E"/>
    <w:rsid w:val="005469CE"/>
    <w:rsid w:val="00547782"/>
    <w:rsid w:val="00547EFB"/>
    <w:rsid w:val="00551DF6"/>
    <w:rsid w:val="00554131"/>
    <w:rsid w:val="00554936"/>
    <w:rsid w:val="00555616"/>
    <w:rsid w:val="005556F9"/>
    <w:rsid w:val="00556F20"/>
    <w:rsid w:val="00556F96"/>
    <w:rsid w:val="00557BDD"/>
    <w:rsid w:val="005619B9"/>
    <w:rsid w:val="00562F44"/>
    <w:rsid w:val="005633C8"/>
    <w:rsid w:val="00563A57"/>
    <w:rsid w:val="00563FC4"/>
    <w:rsid w:val="00564A92"/>
    <w:rsid w:val="00564E7B"/>
    <w:rsid w:val="00565833"/>
    <w:rsid w:val="00566136"/>
    <w:rsid w:val="00566FB5"/>
    <w:rsid w:val="005675C6"/>
    <w:rsid w:val="00567966"/>
    <w:rsid w:val="00567ACB"/>
    <w:rsid w:val="00567C08"/>
    <w:rsid w:val="00570BFF"/>
    <w:rsid w:val="00570FE9"/>
    <w:rsid w:val="00571121"/>
    <w:rsid w:val="00571710"/>
    <w:rsid w:val="00571FC0"/>
    <w:rsid w:val="005721B8"/>
    <w:rsid w:val="00572272"/>
    <w:rsid w:val="00572B31"/>
    <w:rsid w:val="005757B3"/>
    <w:rsid w:val="00575FC6"/>
    <w:rsid w:val="005768A0"/>
    <w:rsid w:val="005802A3"/>
    <w:rsid w:val="0058048B"/>
    <w:rsid w:val="00580E40"/>
    <w:rsid w:val="00581009"/>
    <w:rsid w:val="0058115B"/>
    <w:rsid w:val="005818CC"/>
    <w:rsid w:val="00581F51"/>
    <w:rsid w:val="0058277D"/>
    <w:rsid w:val="00582AC1"/>
    <w:rsid w:val="00582C6E"/>
    <w:rsid w:val="00582CA2"/>
    <w:rsid w:val="00582E82"/>
    <w:rsid w:val="00583E56"/>
    <w:rsid w:val="0058435D"/>
    <w:rsid w:val="005844D9"/>
    <w:rsid w:val="0058527F"/>
    <w:rsid w:val="0058570A"/>
    <w:rsid w:val="00586A38"/>
    <w:rsid w:val="005872B3"/>
    <w:rsid w:val="00587A9E"/>
    <w:rsid w:val="00592A8F"/>
    <w:rsid w:val="00592AFA"/>
    <w:rsid w:val="00592C88"/>
    <w:rsid w:val="00593370"/>
    <w:rsid w:val="00594A87"/>
    <w:rsid w:val="00597BD8"/>
    <w:rsid w:val="005A007A"/>
    <w:rsid w:val="005A09ED"/>
    <w:rsid w:val="005A0BFC"/>
    <w:rsid w:val="005A14E8"/>
    <w:rsid w:val="005A2BBD"/>
    <w:rsid w:val="005A7234"/>
    <w:rsid w:val="005A7BC0"/>
    <w:rsid w:val="005B1B06"/>
    <w:rsid w:val="005B2DE9"/>
    <w:rsid w:val="005B42F0"/>
    <w:rsid w:val="005B74B6"/>
    <w:rsid w:val="005B7D61"/>
    <w:rsid w:val="005C095E"/>
    <w:rsid w:val="005C0E8D"/>
    <w:rsid w:val="005C2F03"/>
    <w:rsid w:val="005C3086"/>
    <w:rsid w:val="005C33DE"/>
    <w:rsid w:val="005C3B04"/>
    <w:rsid w:val="005C3FFF"/>
    <w:rsid w:val="005C450C"/>
    <w:rsid w:val="005C6724"/>
    <w:rsid w:val="005C6900"/>
    <w:rsid w:val="005C6AA6"/>
    <w:rsid w:val="005C7672"/>
    <w:rsid w:val="005D03F7"/>
    <w:rsid w:val="005D155B"/>
    <w:rsid w:val="005D1681"/>
    <w:rsid w:val="005D1D74"/>
    <w:rsid w:val="005D1E94"/>
    <w:rsid w:val="005D2170"/>
    <w:rsid w:val="005D4484"/>
    <w:rsid w:val="005D6402"/>
    <w:rsid w:val="005D7498"/>
    <w:rsid w:val="005E2077"/>
    <w:rsid w:val="005E2315"/>
    <w:rsid w:val="005E4267"/>
    <w:rsid w:val="005E545B"/>
    <w:rsid w:val="005E6C91"/>
    <w:rsid w:val="005E7246"/>
    <w:rsid w:val="005F09E5"/>
    <w:rsid w:val="005F0EBA"/>
    <w:rsid w:val="005F2DE4"/>
    <w:rsid w:val="005F2E62"/>
    <w:rsid w:val="005F3A0C"/>
    <w:rsid w:val="005F3B01"/>
    <w:rsid w:val="005F52C4"/>
    <w:rsid w:val="005F56A9"/>
    <w:rsid w:val="005F5F82"/>
    <w:rsid w:val="005F6234"/>
    <w:rsid w:val="005F664E"/>
    <w:rsid w:val="005F66E7"/>
    <w:rsid w:val="005F76C2"/>
    <w:rsid w:val="00600408"/>
    <w:rsid w:val="00601E5F"/>
    <w:rsid w:val="00603477"/>
    <w:rsid w:val="0060354A"/>
    <w:rsid w:val="00603B76"/>
    <w:rsid w:val="00603D9E"/>
    <w:rsid w:val="006046FB"/>
    <w:rsid w:val="00606C78"/>
    <w:rsid w:val="00607CF4"/>
    <w:rsid w:val="0061309C"/>
    <w:rsid w:val="006133E3"/>
    <w:rsid w:val="006134CA"/>
    <w:rsid w:val="006136C7"/>
    <w:rsid w:val="00613714"/>
    <w:rsid w:val="00613747"/>
    <w:rsid w:val="006144C8"/>
    <w:rsid w:val="00615032"/>
    <w:rsid w:val="00615AA3"/>
    <w:rsid w:val="00616CA2"/>
    <w:rsid w:val="006172A1"/>
    <w:rsid w:val="006175E4"/>
    <w:rsid w:val="006221B5"/>
    <w:rsid w:val="00623387"/>
    <w:rsid w:val="00623AFA"/>
    <w:rsid w:val="006246AE"/>
    <w:rsid w:val="00624B4C"/>
    <w:rsid w:val="00624D87"/>
    <w:rsid w:val="00625AC9"/>
    <w:rsid w:val="00625D56"/>
    <w:rsid w:val="0062633A"/>
    <w:rsid w:val="006264C8"/>
    <w:rsid w:val="006266D0"/>
    <w:rsid w:val="0062702B"/>
    <w:rsid w:val="00632013"/>
    <w:rsid w:val="00632F66"/>
    <w:rsid w:val="006359D0"/>
    <w:rsid w:val="00637DF7"/>
    <w:rsid w:val="006411A8"/>
    <w:rsid w:val="00641CAD"/>
    <w:rsid w:val="00642342"/>
    <w:rsid w:val="00642EA6"/>
    <w:rsid w:val="006438AB"/>
    <w:rsid w:val="00643F86"/>
    <w:rsid w:val="00644B93"/>
    <w:rsid w:val="006454D7"/>
    <w:rsid w:val="00645504"/>
    <w:rsid w:val="00645DC0"/>
    <w:rsid w:val="00647D79"/>
    <w:rsid w:val="00647D92"/>
    <w:rsid w:val="00650598"/>
    <w:rsid w:val="00650C22"/>
    <w:rsid w:val="0065265F"/>
    <w:rsid w:val="0065346B"/>
    <w:rsid w:val="006534ED"/>
    <w:rsid w:val="0065479F"/>
    <w:rsid w:val="006555BA"/>
    <w:rsid w:val="0065597F"/>
    <w:rsid w:val="00656CD3"/>
    <w:rsid w:val="00657932"/>
    <w:rsid w:val="00660505"/>
    <w:rsid w:val="00662317"/>
    <w:rsid w:val="0066293D"/>
    <w:rsid w:val="00662C02"/>
    <w:rsid w:val="00663944"/>
    <w:rsid w:val="00666F3F"/>
    <w:rsid w:val="00667D5F"/>
    <w:rsid w:val="00667FBD"/>
    <w:rsid w:val="006700D0"/>
    <w:rsid w:val="00671CE8"/>
    <w:rsid w:val="00671D57"/>
    <w:rsid w:val="0067543A"/>
    <w:rsid w:val="006759B7"/>
    <w:rsid w:val="00676308"/>
    <w:rsid w:val="00676679"/>
    <w:rsid w:val="00677F90"/>
    <w:rsid w:val="00682DA4"/>
    <w:rsid w:val="00683DDA"/>
    <w:rsid w:val="006844E3"/>
    <w:rsid w:val="006849E9"/>
    <w:rsid w:val="006859DD"/>
    <w:rsid w:val="00686577"/>
    <w:rsid w:val="00687730"/>
    <w:rsid w:val="006901E6"/>
    <w:rsid w:val="00690C60"/>
    <w:rsid w:val="006911F0"/>
    <w:rsid w:val="006916C6"/>
    <w:rsid w:val="006916C8"/>
    <w:rsid w:val="006917CC"/>
    <w:rsid w:val="006919EF"/>
    <w:rsid w:val="00692F15"/>
    <w:rsid w:val="00692FEB"/>
    <w:rsid w:val="0069460A"/>
    <w:rsid w:val="00694B70"/>
    <w:rsid w:val="00695721"/>
    <w:rsid w:val="006962D6"/>
    <w:rsid w:val="00696317"/>
    <w:rsid w:val="006968DD"/>
    <w:rsid w:val="006969E7"/>
    <w:rsid w:val="0069718D"/>
    <w:rsid w:val="0069776E"/>
    <w:rsid w:val="006A19DA"/>
    <w:rsid w:val="006A3388"/>
    <w:rsid w:val="006A3F12"/>
    <w:rsid w:val="006A4EE6"/>
    <w:rsid w:val="006A54B8"/>
    <w:rsid w:val="006A58D3"/>
    <w:rsid w:val="006A63B2"/>
    <w:rsid w:val="006A6C35"/>
    <w:rsid w:val="006A7257"/>
    <w:rsid w:val="006B005E"/>
    <w:rsid w:val="006B02FF"/>
    <w:rsid w:val="006B286A"/>
    <w:rsid w:val="006B2A0B"/>
    <w:rsid w:val="006B5145"/>
    <w:rsid w:val="006B5DDE"/>
    <w:rsid w:val="006B61D3"/>
    <w:rsid w:val="006B6695"/>
    <w:rsid w:val="006B6714"/>
    <w:rsid w:val="006B6DF7"/>
    <w:rsid w:val="006B73E3"/>
    <w:rsid w:val="006B7F72"/>
    <w:rsid w:val="006C0099"/>
    <w:rsid w:val="006C1112"/>
    <w:rsid w:val="006C1535"/>
    <w:rsid w:val="006C24A5"/>
    <w:rsid w:val="006C2E17"/>
    <w:rsid w:val="006C3054"/>
    <w:rsid w:val="006C3287"/>
    <w:rsid w:val="006C3B4A"/>
    <w:rsid w:val="006C436A"/>
    <w:rsid w:val="006C512B"/>
    <w:rsid w:val="006C5272"/>
    <w:rsid w:val="006C5562"/>
    <w:rsid w:val="006C6291"/>
    <w:rsid w:val="006C731F"/>
    <w:rsid w:val="006D0530"/>
    <w:rsid w:val="006D304A"/>
    <w:rsid w:val="006D3C5C"/>
    <w:rsid w:val="006D4D1B"/>
    <w:rsid w:val="006D51C8"/>
    <w:rsid w:val="006D5317"/>
    <w:rsid w:val="006D5CA5"/>
    <w:rsid w:val="006E0220"/>
    <w:rsid w:val="006E0BCE"/>
    <w:rsid w:val="006E1B15"/>
    <w:rsid w:val="006E4035"/>
    <w:rsid w:val="006E505E"/>
    <w:rsid w:val="006E66C3"/>
    <w:rsid w:val="006F0B59"/>
    <w:rsid w:val="006F0ED2"/>
    <w:rsid w:val="006F4210"/>
    <w:rsid w:val="006F4CF9"/>
    <w:rsid w:val="006F4F63"/>
    <w:rsid w:val="006F5241"/>
    <w:rsid w:val="006F5AC5"/>
    <w:rsid w:val="006F65A5"/>
    <w:rsid w:val="006F765A"/>
    <w:rsid w:val="0070018A"/>
    <w:rsid w:val="00700A10"/>
    <w:rsid w:val="00700F45"/>
    <w:rsid w:val="00703580"/>
    <w:rsid w:val="007039C9"/>
    <w:rsid w:val="007039E4"/>
    <w:rsid w:val="00704A9E"/>
    <w:rsid w:val="007101BB"/>
    <w:rsid w:val="00710EF3"/>
    <w:rsid w:val="007115A0"/>
    <w:rsid w:val="00711A87"/>
    <w:rsid w:val="00711CB0"/>
    <w:rsid w:val="007132BC"/>
    <w:rsid w:val="00714BF6"/>
    <w:rsid w:val="00714D64"/>
    <w:rsid w:val="0071645C"/>
    <w:rsid w:val="00717003"/>
    <w:rsid w:val="00717676"/>
    <w:rsid w:val="00717861"/>
    <w:rsid w:val="00720084"/>
    <w:rsid w:val="007205BD"/>
    <w:rsid w:val="00720B94"/>
    <w:rsid w:val="0072290D"/>
    <w:rsid w:val="007233B3"/>
    <w:rsid w:val="00723D9D"/>
    <w:rsid w:val="00723F64"/>
    <w:rsid w:val="0072413D"/>
    <w:rsid w:val="007244EF"/>
    <w:rsid w:val="00724EE0"/>
    <w:rsid w:val="00726735"/>
    <w:rsid w:val="0072768C"/>
    <w:rsid w:val="0072776D"/>
    <w:rsid w:val="00730906"/>
    <w:rsid w:val="00730EAE"/>
    <w:rsid w:val="00730ED1"/>
    <w:rsid w:val="007311E7"/>
    <w:rsid w:val="00731AF6"/>
    <w:rsid w:val="0073221B"/>
    <w:rsid w:val="007324D6"/>
    <w:rsid w:val="00733049"/>
    <w:rsid w:val="0073340E"/>
    <w:rsid w:val="00733C79"/>
    <w:rsid w:val="007340EF"/>
    <w:rsid w:val="00734320"/>
    <w:rsid w:val="0073463E"/>
    <w:rsid w:val="00736377"/>
    <w:rsid w:val="00740205"/>
    <w:rsid w:val="00741418"/>
    <w:rsid w:val="00741A7A"/>
    <w:rsid w:val="00742166"/>
    <w:rsid w:val="00742E78"/>
    <w:rsid w:val="00743326"/>
    <w:rsid w:val="00743916"/>
    <w:rsid w:val="00743F17"/>
    <w:rsid w:val="00744527"/>
    <w:rsid w:val="00744C3B"/>
    <w:rsid w:val="00745286"/>
    <w:rsid w:val="0074593B"/>
    <w:rsid w:val="00746E85"/>
    <w:rsid w:val="00747965"/>
    <w:rsid w:val="0075017C"/>
    <w:rsid w:val="007502C9"/>
    <w:rsid w:val="007503B6"/>
    <w:rsid w:val="00750AF5"/>
    <w:rsid w:val="00752188"/>
    <w:rsid w:val="007522C4"/>
    <w:rsid w:val="00752BAD"/>
    <w:rsid w:val="00752DD4"/>
    <w:rsid w:val="00753C21"/>
    <w:rsid w:val="007542CF"/>
    <w:rsid w:val="00755742"/>
    <w:rsid w:val="00755CDE"/>
    <w:rsid w:val="00755D7E"/>
    <w:rsid w:val="00756790"/>
    <w:rsid w:val="007619B3"/>
    <w:rsid w:val="007630DD"/>
    <w:rsid w:val="007631FE"/>
    <w:rsid w:val="00764A4F"/>
    <w:rsid w:val="00764B2E"/>
    <w:rsid w:val="00765AAC"/>
    <w:rsid w:val="00765CFD"/>
    <w:rsid w:val="0076F451"/>
    <w:rsid w:val="00770080"/>
    <w:rsid w:val="00770C67"/>
    <w:rsid w:val="00770F88"/>
    <w:rsid w:val="0077232E"/>
    <w:rsid w:val="007729C0"/>
    <w:rsid w:val="00772B7C"/>
    <w:rsid w:val="0077380A"/>
    <w:rsid w:val="00774BFB"/>
    <w:rsid w:val="0077564E"/>
    <w:rsid w:val="007757F2"/>
    <w:rsid w:val="0077631F"/>
    <w:rsid w:val="00777133"/>
    <w:rsid w:val="007772F8"/>
    <w:rsid w:val="00777303"/>
    <w:rsid w:val="00777D32"/>
    <w:rsid w:val="007800F3"/>
    <w:rsid w:val="00780536"/>
    <w:rsid w:val="00780B04"/>
    <w:rsid w:val="007810BA"/>
    <w:rsid w:val="00781313"/>
    <w:rsid w:val="00782829"/>
    <w:rsid w:val="007829AC"/>
    <w:rsid w:val="007829DF"/>
    <w:rsid w:val="00782B44"/>
    <w:rsid w:val="00782D55"/>
    <w:rsid w:val="00783A71"/>
    <w:rsid w:val="00784D8A"/>
    <w:rsid w:val="007864EE"/>
    <w:rsid w:val="007903CC"/>
    <w:rsid w:val="00790F0B"/>
    <w:rsid w:val="00790F30"/>
    <w:rsid w:val="00791B42"/>
    <w:rsid w:val="007923E6"/>
    <w:rsid w:val="00792CF2"/>
    <w:rsid w:val="00794782"/>
    <w:rsid w:val="00795F25"/>
    <w:rsid w:val="00795FA1"/>
    <w:rsid w:val="00797A25"/>
    <w:rsid w:val="007A07D1"/>
    <w:rsid w:val="007A10B1"/>
    <w:rsid w:val="007A46F7"/>
    <w:rsid w:val="007A4B74"/>
    <w:rsid w:val="007A4E75"/>
    <w:rsid w:val="007A5613"/>
    <w:rsid w:val="007A578F"/>
    <w:rsid w:val="007A6230"/>
    <w:rsid w:val="007A7B96"/>
    <w:rsid w:val="007B0292"/>
    <w:rsid w:val="007B0A6F"/>
    <w:rsid w:val="007B1F6A"/>
    <w:rsid w:val="007B1FBA"/>
    <w:rsid w:val="007B2BF9"/>
    <w:rsid w:val="007B4217"/>
    <w:rsid w:val="007B45AB"/>
    <w:rsid w:val="007B54F3"/>
    <w:rsid w:val="007B647E"/>
    <w:rsid w:val="007B6ED3"/>
    <w:rsid w:val="007B6F12"/>
    <w:rsid w:val="007B7DDF"/>
    <w:rsid w:val="007C04FC"/>
    <w:rsid w:val="007C1D38"/>
    <w:rsid w:val="007C2115"/>
    <w:rsid w:val="007C5A82"/>
    <w:rsid w:val="007C5B64"/>
    <w:rsid w:val="007C5DBE"/>
    <w:rsid w:val="007C61B2"/>
    <w:rsid w:val="007C7B1C"/>
    <w:rsid w:val="007D0673"/>
    <w:rsid w:val="007D0B26"/>
    <w:rsid w:val="007D0D0F"/>
    <w:rsid w:val="007D1FCA"/>
    <w:rsid w:val="007D2B18"/>
    <w:rsid w:val="007D2BBB"/>
    <w:rsid w:val="007D40F0"/>
    <w:rsid w:val="007D434D"/>
    <w:rsid w:val="007D453D"/>
    <w:rsid w:val="007D613D"/>
    <w:rsid w:val="007D69E1"/>
    <w:rsid w:val="007D6C8A"/>
    <w:rsid w:val="007D7DC1"/>
    <w:rsid w:val="007E1673"/>
    <w:rsid w:val="007E1765"/>
    <w:rsid w:val="007E17F6"/>
    <w:rsid w:val="007E187E"/>
    <w:rsid w:val="007E2405"/>
    <w:rsid w:val="007E253F"/>
    <w:rsid w:val="007E34F6"/>
    <w:rsid w:val="007E3E54"/>
    <w:rsid w:val="007E501E"/>
    <w:rsid w:val="007E6E02"/>
    <w:rsid w:val="007E7479"/>
    <w:rsid w:val="007F049F"/>
    <w:rsid w:val="007F2527"/>
    <w:rsid w:val="007F474B"/>
    <w:rsid w:val="007F4C5E"/>
    <w:rsid w:val="007F5AAF"/>
    <w:rsid w:val="007F5B33"/>
    <w:rsid w:val="007F7642"/>
    <w:rsid w:val="008004C6"/>
    <w:rsid w:val="008032C6"/>
    <w:rsid w:val="008045EF"/>
    <w:rsid w:val="008052E8"/>
    <w:rsid w:val="00805606"/>
    <w:rsid w:val="00805789"/>
    <w:rsid w:val="00807B37"/>
    <w:rsid w:val="0081094E"/>
    <w:rsid w:val="00813147"/>
    <w:rsid w:val="00813E9B"/>
    <w:rsid w:val="0081665D"/>
    <w:rsid w:val="008172AE"/>
    <w:rsid w:val="00817A31"/>
    <w:rsid w:val="00820458"/>
    <w:rsid w:val="008209ED"/>
    <w:rsid w:val="0082100E"/>
    <w:rsid w:val="00821AEA"/>
    <w:rsid w:val="00822534"/>
    <w:rsid w:val="0082269E"/>
    <w:rsid w:val="0082383B"/>
    <w:rsid w:val="008255A9"/>
    <w:rsid w:val="00825B00"/>
    <w:rsid w:val="00826A0B"/>
    <w:rsid w:val="00826ADC"/>
    <w:rsid w:val="00826BC6"/>
    <w:rsid w:val="0082706F"/>
    <w:rsid w:val="00830B06"/>
    <w:rsid w:val="00831FB4"/>
    <w:rsid w:val="0083384F"/>
    <w:rsid w:val="0083511B"/>
    <w:rsid w:val="008367CA"/>
    <w:rsid w:val="00836C75"/>
    <w:rsid w:val="00836ED4"/>
    <w:rsid w:val="00837D90"/>
    <w:rsid w:val="00841A78"/>
    <w:rsid w:val="00842E60"/>
    <w:rsid w:val="00843AA0"/>
    <w:rsid w:val="00843DB0"/>
    <w:rsid w:val="00844D79"/>
    <w:rsid w:val="008462C8"/>
    <w:rsid w:val="008464AC"/>
    <w:rsid w:val="00847220"/>
    <w:rsid w:val="008519D8"/>
    <w:rsid w:val="00853BF2"/>
    <w:rsid w:val="00853C67"/>
    <w:rsid w:val="00854A2C"/>
    <w:rsid w:val="00854DB1"/>
    <w:rsid w:val="00854E9C"/>
    <w:rsid w:val="0085621A"/>
    <w:rsid w:val="00856B3F"/>
    <w:rsid w:val="00856D16"/>
    <w:rsid w:val="008619FC"/>
    <w:rsid w:val="00861AD9"/>
    <w:rsid w:val="008635D5"/>
    <w:rsid w:val="00863CC8"/>
    <w:rsid w:val="008641B4"/>
    <w:rsid w:val="00864300"/>
    <w:rsid w:val="0086636A"/>
    <w:rsid w:val="008676D6"/>
    <w:rsid w:val="00867C25"/>
    <w:rsid w:val="008727AF"/>
    <w:rsid w:val="00873CF3"/>
    <w:rsid w:val="00875D5F"/>
    <w:rsid w:val="0087605B"/>
    <w:rsid w:val="00880C38"/>
    <w:rsid w:val="008814F5"/>
    <w:rsid w:val="00882464"/>
    <w:rsid w:val="00882ED8"/>
    <w:rsid w:val="00882FBF"/>
    <w:rsid w:val="00883589"/>
    <w:rsid w:val="008839D0"/>
    <w:rsid w:val="008845BC"/>
    <w:rsid w:val="00885CDC"/>
    <w:rsid w:val="008860FB"/>
    <w:rsid w:val="00886557"/>
    <w:rsid w:val="00886EEE"/>
    <w:rsid w:val="008874B9"/>
    <w:rsid w:val="00887F04"/>
    <w:rsid w:val="008903C6"/>
    <w:rsid w:val="008907C1"/>
    <w:rsid w:val="00891913"/>
    <w:rsid w:val="00893019"/>
    <w:rsid w:val="008948CC"/>
    <w:rsid w:val="008A01C1"/>
    <w:rsid w:val="008A044B"/>
    <w:rsid w:val="008A0BA8"/>
    <w:rsid w:val="008A197F"/>
    <w:rsid w:val="008A1F21"/>
    <w:rsid w:val="008A3BB5"/>
    <w:rsid w:val="008A4751"/>
    <w:rsid w:val="008A51CB"/>
    <w:rsid w:val="008A6E5C"/>
    <w:rsid w:val="008A7594"/>
    <w:rsid w:val="008B088B"/>
    <w:rsid w:val="008B269A"/>
    <w:rsid w:val="008B4BAC"/>
    <w:rsid w:val="008B4DF5"/>
    <w:rsid w:val="008B4E96"/>
    <w:rsid w:val="008B5E5C"/>
    <w:rsid w:val="008B7A6C"/>
    <w:rsid w:val="008B7DB2"/>
    <w:rsid w:val="008C3D2A"/>
    <w:rsid w:val="008C3F8B"/>
    <w:rsid w:val="008C49E8"/>
    <w:rsid w:val="008C5811"/>
    <w:rsid w:val="008C5D21"/>
    <w:rsid w:val="008C6034"/>
    <w:rsid w:val="008C71E2"/>
    <w:rsid w:val="008C74FE"/>
    <w:rsid w:val="008C7F6A"/>
    <w:rsid w:val="008D019D"/>
    <w:rsid w:val="008D1E84"/>
    <w:rsid w:val="008D2D5C"/>
    <w:rsid w:val="008D4965"/>
    <w:rsid w:val="008D7293"/>
    <w:rsid w:val="008D7D63"/>
    <w:rsid w:val="008E1549"/>
    <w:rsid w:val="008E2656"/>
    <w:rsid w:val="008E457C"/>
    <w:rsid w:val="008E565C"/>
    <w:rsid w:val="008E634D"/>
    <w:rsid w:val="008E6586"/>
    <w:rsid w:val="008E766F"/>
    <w:rsid w:val="008F0B38"/>
    <w:rsid w:val="008F0E19"/>
    <w:rsid w:val="008F1E8D"/>
    <w:rsid w:val="008F24D8"/>
    <w:rsid w:val="008F2C8B"/>
    <w:rsid w:val="008F32EC"/>
    <w:rsid w:val="008F48B1"/>
    <w:rsid w:val="00900D8E"/>
    <w:rsid w:val="00901825"/>
    <w:rsid w:val="009019B7"/>
    <w:rsid w:val="009040DB"/>
    <w:rsid w:val="0090494E"/>
    <w:rsid w:val="009058B5"/>
    <w:rsid w:val="00906265"/>
    <w:rsid w:val="009068C6"/>
    <w:rsid w:val="00907D46"/>
    <w:rsid w:val="00907F89"/>
    <w:rsid w:val="0091109A"/>
    <w:rsid w:val="0091192F"/>
    <w:rsid w:val="00911F57"/>
    <w:rsid w:val="00913C8B"/>
    <w:rsid w:val="00913D60"/>
    <w:rsid w:val="00914388"/>
    <w:rsid w:val="009149FE"/>
    <w:rsid w:val="00914DEF"/>
    <w:rsid w:val="009153FC"/>
    <w:rsid w:val="00915CEA"/>
    <w:rsid w:val="00916D5D"/>
    <w:rsid w:val="009170C4"/>
    <w:rsid w:val="009171E6"/>
    <w:rsid w:val="00917C96"/>
    <w:rsid w:val="00917FD2"/>
    <w:rsid w:val="00920222"/>
    <w:rsid w:val="0092160C"/>
    <w:rsid w:val="00921D8B"/>
    <w:rsid w:val="0092380E"/>
    <w:rsid w:val="009300CA"/>
    <w:rsid w:val="00930105"/>
    <w:rsid w:val="009330C2"/>
    <w:rsid w:val="009332BB"/>
    <w:rsid w:val="00933596"/>
    <w:rsid w:val="009343E8"/>
    <w:rsid w:val="009346CB"/>
    <w:rsid w:val="00936280"/>
    <w:rsid w:val="00936E5C"/>
    <w:rsid w:val="00937303"/>
    <w:rsid w:val="00941E4A"/>
    <w:rsid w:val="00942D4C"/>
    <w:rsid w:val="00944795"/>
    <w:rsid w:val="00944DFB"/>
    <w:rsid w:val="0094663D"/>
    <w:rsid w:val="00947433"/>
    <w:rsid w:val="00950067"/>
    <w:rsid w:val="00950898"/>
    <w:rsid w:val="00951BB5"/>
    <w:rsid w:val="009527D2"/>
    <w:rsid w:val="0095405C"/>
    <w:rsid w:val="009540C7"/>
    <w:rsid w:val="009546B1"/>
    <w:rsid w:val="00954E8D"/>
    <w:rsid w:val="0095522D"/>
    <w:rsid w:val="00955A80"/>
    <w:rsid w:val="00955B3B"/>
    <w:rsid w:val="0095735D"/>
    <w:rsid w:val="0095775F"/>
    <w:rsid w:val="009612AC"/>
    <w:rsid w:val="00961B9B"/>
    <w:rsid w:val="00962890"/>
    <w:rsid w:val="0096333A"/>
    <w:rsid w:val="009637FD"/>
    <w:rsid w:val="009644DC"/>
    <w:rsid w:val="00964B7A"/>
    <w:rsid w:val="00965F3A"/>
    <w:rsid w:val="00966DAE"/>
    <w:rsid w:val="00972278"/>
    <w:rsid w:val="009727D9"/>
    <w:rsid w:val="00972861"/>
    <w:rsid w:val="0097308F"/>
    <w:rsid w:val="00974D7A"/>
    <w:rsid w:val="009803F3"/>
    <w:rsid w:val="009804C8"/>
    <w:rsid w:val="009815A3"/>
    <w:rsid w:val="009834CF"/>
    <w:rsid w:val="0098599A"/>
    <w:rsid w:val="00985B08"/>
    <w:rsid w:val="00986FF5"/>
    <w:rsid w:val="009875D4"/>
    <w:rsid w:val="00990F9F"/>
    <w:rsid w:val="009920F4"/>
    <w:rsid w:val="009936B7"/>
    <w:rsid w:val="009971C1"/>
    <w:rsid w:val="00997375"/>
    <w:rsid w:val="00997BBC"/>
    <w:rsid w:val="00997DD6"/>
    <w:rsid w:val="009A0991"/>
    <w:rsid w:val="009A0E35"/>
    <w:rsid w:val="009A1144"/>
    <w:rsid w:val="009A2947"/>
    <w:rsid w:val="009A2AF7"/>
    <w:rsid w:val="009A3C2A"/>
    <w:rsid w:val="009A46FA"/>
    <w:rsid w:val="009A4D60"/>
    <w:rsid w:val="009A5C1D"/>
    <w:rsid w:val="009A60E2"/>
    <w:rsid w:val="009A6C54"/>
    <w:rsid w:val="009A6EA3"/>
    <w:rsid w:val="009A7407"/>
    <w:rsid w:val="009A7E96"/>
    <w:rsid w:val="009B06D7"/>
    <w:rsid w:val="009B0BFF"/>
    <w:rsid w:val="009B1F0B"/>
    <w:rsid w:val="009B2805"/>
    <w:rsid w:val="009B2CC2"/>
    <w:rsid w:val="009B3295"/>
    <w:rsid w:val="009B4987"/>
    <w:rsid w:val="009B5BF8"/>
    <w:rsid w:val="009B6F7F"/>
    <w:rsid w:val="009C053A"/>
    <w:rsid w:val="009C0CF5"/>
    <w:rsid w:val="009C262F"/>
    <w:rsid w:val="009C3039"/>
    <w:rsid w:val="009C3C3C"/>
    <w:rsid w:val="009C4E78"/>
    <w:rsid w:val="009C5899"/>
    <w:rsid w:val="009C6A13"/>
    <w:rsid w:val="009D002E"/>
    <w:rsid w:val="009D0A91"/>
    <w:rsid w:val="009D143F"/>
    <w:rsid w:val="009D2D3F"/>
    <w:rsid w:val="009D33F8"/>
    <w:rsid w:val="009D34A4"/>
    <w:rsid w:val="009D3B54"/>
    <w:rsid w:val="009D3E93"/>
    <w:rsid w:val="009D421A"/>
    <w:rsid w:val="009D4226"/>
    <w:rsid w:val="009D5ADD"/>
    <w:rsid w:val="009D648A"/>
    <w:rsid w:val="009E1252"/>
    <w:rsid w:val="009E12C5"/>
    <w:rsid w:val="009E1EE8"/>
    <w:rsid w:val="009E1F88"/>
    <w:rsid w:val="009E261C"/>
    <w:rsid w:val="009E30B7"/>
    <w:rsid w:val="009E322A"/>
    <w:rsid w:val="009E4FC8"/>
    <w:rsid w:val="009E555F"/>
    <w:rsid w:val="009E6960"/>
    <w:rsid w:val="009E6A48"/>
    <w:rsid w:val="009E6DED"/>
    <w:rsid w:val="009E7A1E"/>
    <w:rsid w:val="009F0E69"/>
    <w:rsid w:val="009F145B"/>
    <w:rsid w:val="009F1F13"/>
    <w:rsid w:val="009F2D1F"/>
    <w:rsid w:val="009F532E"/>
    <w:rsid w:val="009F5A3F"/>
    <w:rsid w:val="009F5DB6"/>
    <w:rsid w:val="009F5DC7"/>
    <w:rsid w:val="009F65B4"/>
    <w:rsid w:val="009F6D84"/>
    <w:rsid w:val="009F74E9"/>
    <w:rsid w:val="00A0091B"/>
    <w:rsid w:val="00A00CA2"/>
    <w:rsid w:val="00A02488"/>
    <w:rsid w:val="00A032AC"/>
    <w:rsid w:val="00A04188"/>
    <w:rsid w:val="00A049A1"/>
    <w:rsid w:val="00A068B5"/>
    <w:rsid w:val="00A0747C"/>
    <w:rsid w:val="00A10CB7"/>
    <w:rsid w:val="00A112D5"/>
    <w:rsid w:val="00A11D9E"/>
    <w:rsid w:val="00A13AFD"/>
    <w:rsid w:val="00A156A4"/>
    <w:rsid w:val="00A21955"/>
    <w:rsid w:val="00A21F29"/>
    <w:rsid w:val="00A2234D"/>
    <w:rsid w:val="00A247F7"/>
    <w:rsid w:val="00A24AAD"/>
    <w:rsid w:val="00A24BCC"/>
    <w:rsid w:val="00A25932"/>
    <w:rsid w:val="00A276F7"/>
    <w:rsid w:val="00A32169"/>
    <w:rsid w:val="00A32CD9"/>
    <w:rsid w:val="00A33006"/>
    <w:rsid w:val="00A33681"/>
    <w:rsid w:val="00A34959"/>
    <w:rsid w:val="00A3656C"/>
    <w:rsid w:val="00A3664D"/>
    <w:rsid w:val="00A371D7"/>
    <w:rsid w:val="00A37EB3"/>
    <w:rsid w:val="00A40F58"/>
    <w:rsid w:val="00A41143"/>
    <w:rsid w:val="00A41405"/>
    <w:rsid w:val="00A41460"/>
    <w:rsid w:val="00A41D88"/>
    <w:rsid w:val="00A424DD"/>
    <w:rsid w:val="00A430DF"/>
    <w:rsid w:val="00A43634"/>
    <w:rsid w:val="00A436E4"/>
    <w:rsid w:val="00A44061"/>
    <w:rsid w:val="00A441E6"/>
    <w:rsid w:val="00A448B1"/>
    <w:rsid w:val="00A448E8"/>
    <w:rsid w:val="00A44D0E"/>
    <w:rsid w:val="00A44F0E"/>
    <w:rsid w:val="00A4561F"/>
    <w:rsid w:val="00A463BA"/>
    <w:rsid w:val="00A46AFE"/>
    <w:rsid w:val="00A46E8F"/>
    <w:rsid w:val="00A47BD8"/>
    <w:rsid w:val="00A505A7"/>
    <w:rsid w:val="00A505BF"/>
    <w:rsid w:val="00A50783"/>
    <w:rsid w:val="00A51123"/>
    <w:rsid w:val="00A51FEB"/>
    <w:rsid w:val="00A53F89"/>
    <w:rsid w:val="00A54031"/>
    <w:rsid w:val="00A550B0"/>
    <w:rsid w:val="00A56127"/>
    <w:rsid w:val="00A567D4"/>
    <w:rsid w:val="00A57AB1"/>
    <w:rsid w:val="00A57B88"/>
    <w:rsid w:val="00A6016E"/>
    <w:rsid w:val="00A60186"/>
    <w:rsid w:val="00A6026B"/>
    <w:rsid w:val="00A60446"/>
    <w:rsid w:val="00A605B4"/>
    <w:rsid w:val="00A60DBC"/>
    <w:rsid w:val="00A60F5B"/>
    <w:rsid w:val="00A61708"/>
    <w:rsid w:val="00A62232"/>
    <w:rsid w:val="00A62A34"/>
    <w:rsid w:val="00A6352F"/>
    <w:rsid w:val="00A64697"/>
    <w:rsid w:val="00A66267"/>
    <w:rsid w:val="00A719D4"/>
    <w:rsid w:val="00A723B1"/>
    <w:rsid w:val="00A723DC"/>
    <w:rsid w:val="00A72635"/>
    <w:rsid w:val="00A72F4A"/>
    <w:rsid w:val="00A73937"/>
    <w:rsid w:val="00A74099"/>
    <w:rsid w:val="00A75438"/>
    <w:rsid w:val="00A7560B"/>
    <w:rsid w:val="00A75623"/>
    <w:rsid w:val="00A75794"/>
    <w:rsid w:val="00A75BC5"/>
    <w:rsid w:val="00A77EC6"/>
    <w:rsid w:val="00A81E91"/>
    <w:rsid w:val="00A8376C"/>
    <w:rsid w:val="00A85512"/>
    <w:rsid w:val="00A8741B"/>
    <w:rsid w:val="00A875FA"/>
    <w:rsid w:val="00A9006C"/>
    <w:rsid w:val="00A927CF"/>
    <w:rsid w:val="00A9294E"/>
    <w:rsid w:val="00A93270"/>
    <w:rsid w:val="00A93758"/>
    <w:rsid w:val="00A96055"/>
    <w:rsid w:val="00A97602"/>
    <w:rsid w:val="00A97A75"/>
    <w:rsid w:val="00AA0FA1"/>
    <w:rsid w:val="00AA2072"/>
    <w:rsid w:val="00AA22EA"/>
    <w:rsid w:val="00AA24D6"/>
    <w:rsid w:val="00AA2BB1"/>
    <w:rsid w:val="00AA4E85"/>
    <w:rsid w:val="00AA677D"/>
    <w:rsid w:val="00AA6D32"/>
    <w:rsid w:val="00AA78F1"/>
    <w:rsid w:val="00AB048E"/>
    <w:rsid w:val="00AB1CDB"/>
    <w:rsid w:val="00AB361C"/>
    <w:rsid w:val="00AB542A"/>
    <w:rsid w:val="00AB561F"/>
    <w:rsid w:val="00AB5E3A"/>
    <w:rsid w:val="00AB7A1F"/>
    <w:rsid w:val="00AC207C"/>
    <w:rsid w:val="00AC2088"/>
    <w:rsid w:val="00AC26A8"/>
    <w:rsid w:val="00AC272C"/>
    <w:rsid w:val="00AC395A"/>
    <w:rsid w:val="00AC3FA3"/>
    <w:rsid w:val="00AC4367"/>
    <w:rsid w:val="00AC5D23"/>
    <w:rsid w:val="00AC63F6"/>
    <w:rsid w:val="00AD0C7A"/>
    <w:rsid w:val="00AD453A"/>
    <w:rsid w:val="00AD4E21"/>
    <w:rsid w:val="00AD6AB3"/>
    <w:rsid w:val="00AE2827"/>
    <w:rsid w:val="00AE29DF"/>
    <w:rsid w:val="00AE2E0F"/>
    <w:rsid w:val="00AE3975"/>
    <w:rsid w:val="00AE5C0B"/>
    <w:rsid w:val="00AE6436"/>
    <w:rsid w:val="00AE64E1"/>
    <w:rsid w:val="00AE68EF"/>
    <w:rsid w:val="00AE74AF"/>
    <w:rsid w:val="00AE7ACA"/>
    <w:rsid w:val="00AF0448"/>
    <w:rsid w:val="00AF233A"/>
    <w:rsid w:val="00AF2587"/>
    <w:rsid w:val="00AF38E4"/>
    <w:rsid w:val="00AF4CC9"/>
    <w:rsid w:val="00AF6C4C"/>
    <w:rsid w:val="00B01D8E"/>
    <w:rsid w:val="00B01E44"/>
    <w:rsid w:val="00B01EDF"/>
    <w:rsid w:val="00B027D9"/>
    <w:rsid w:val="00B02EA9"/>
    <w:rsid w:val="00B0307C"/>
    <w:rsid w:val="00B03847"/>
    <w:rsid w:val="00B03DE4"/>
    <w:rsid w:val="00B042D0"/>
    <w:rsid w:val="00B05054"/>
    <w:rsid w:val="00B05D62"/>
    <w:rsid w:val="00B06428"/>
    <w:rsid w:val="00B06997"/>
    <w:rsid w:val="00B10070"/>
    <w:rsid w:val="00B1014D"/>
    <w:rsid w:val="00B11E8B"/>
    <w:rsid w:val="00B12D6F"/>
    <w:rsid w:val="00B1370F"/>
    <w:rsid w:val="00B13C62"/>
    <w:rsid w:val="00B15137"/>
    <w:rsid w:val="00B1531D"/>
    <w:rsid w:val="00B16C8E"/>
    <w:rsid w:val="00B21ED8"/>
    <w:rsid w:val="00B226ED"/>
    <w:rsid w:val="00B24CCF"/>
    <w:rsid w:val="00B24F58"/>
    <w:rsid w:val="00B25515"/>
    <w:rsid w:val="00B256B6"/>
    <w:rsid w:val="00B25773"/>
    <w:rsid w:val="00B25925"/>
    <w:rsid w:val="00B25C16"/>
    <w:rsid w:val="00B268CF"/>
    <w:rsid w:val="00B279B8"/>
    <w:rsid w:val="00B27DCC"/>
    <w:rsid w:val="00B31A97"/>
    <w:rsid w:val="00B327C6"/>
    <w:rsid w:val="00B3316C"/>
    <w:rsid w:val="00B3346E"/>
    <w:rsid w:val="00B3485A"/>
    <w:rsid w:val="00B34A56"/>
    <w:rsid w:val="00B36E36"/>
    <w:rsid w:val="00B37FF4"/>
    <w:rsid w:val="00B41153"/>
    <w:rsid w:val="00B419F2"/>
    <w:rsid w:val="00B4234B"/>
    <w:rsid w:val="00B441B1"/>
    <w:rsid w:val="00B445EC"/>
    <w:rsid w:val="00B47717"/>
    <w:rsid w:val="00B51EE5"/>
    <w:rsid w:val="00B52EBE"/>
    <w:rsid w:val="00B52F3C"/>
    <w:rsid w:val="00B53A4A"/>
    <w:rsid w:val="00B53B06"/>
    <w:rsid w:val="00B56207"/>
    <w:rsid w:val="00B57FDA"/>
    <w:rsid w:val="00B603FC"/>
    <w:rsid w:val="00B60716"/>
    <w:rsid w:val="00B625B2"/>
    <w:rsid w:val="00B62CD9"/>
    <w:rsid w:val="00B6371F"/>
    <w:rsid w:val="00B63E8C"/>
    <w:rsid w:val="00B646F1"/>
    <w:rsid w:val="00B64D22"/>
    <w:rsid w:val="00B64D79"/>
    <w:rsid w:val="00B65999"/>
    <w:rsid w:val="00B66231"/>
    <w:rsid w:val="00B705DE"/>
    <w:rsid w:val="00B708C3"/>
    <w:rsid w:val="00B70B47"/>
    <w:rsid w:val="00B714B0"/>
    <w:rsid w:val="00B71E84"/>
    <w:rsid w:val="00B7221E"/>
    <w:rsid w:val="00B72248"/>
    <w:rsid w:val="00B72482"/>
    <w:rsid w:val="00B7253A"/>
    <w:rsid w:val="00B72D87"/>
    <w:rsid w:val="00B74844"/>
    <w:rsid w:val="00B74F03"/>
    <w:rsid w:val="00B751C8"/>
    <w:rsid w:val="00B76A0A"/>
    <w:rsid w:val="00B777A3"/>
    <w:rsid w:val="00B809C3"/>
    <w:rsid w:val="00B817CD"/>
    <w:rsid w:val="00B81D7A"/>
    <w:rsid w:val="00B83B4B"/>
    <w:rsid w:val="00B83F29"/>
    <w:rsid w:val="00B84819"/>
    <w:rsid w:val="00B85ADC"/>
    <w:rsid w:val="00B904D9"/>
    <w:rsid w:val="00B911FD"/>
    <w:rsid w:val="00B921FC"/>
    <w:rsid w:val="00B92544"/>
    <w:rsid w:val="00B94EF8"/>
    <w:rsid w:val="00B9514E"/>
    <w:rsid w:val="00B9698E"/>
    <w:rsid w:val="00B96D01"/>
    <w:rsid w:val="00BA15B4"/>
    <w:rsid w:val="00BA223F"/>
    <w:rsid w:val="00BA26B9"/>
    <w:rsid w:val="00BA2BB8"/>
    <w:rsid w:val="00BA33AB"/>
    <w:rsid w:val="00BA3E5E"/>
    <w:rsid w:val="00BA5D33"/>
    <w:rsid w:val="00BA6E6F"/>
    <w:rsid w:val="00BA7AB7"/>
    <w:rsid w:val="00BB0031"/>
    <w:rsid w:val="00BB026A"/>
    <w:rsid w:val="00BB02F5"/>
    <w:rsid w:val="00BB0945"/>
    <w:rsid w:val="00BB0C9F"/>
    <w:rsid w:val="00BB20FB"/>
    <w:rsid w:val="00BB255B"/>
    <w:rsid w:val="00BB362C"/>
    <w:rsid w:val="00BB383C"/>
    <w:rsid w:val="00BB4578"/>
    <w:rsid w:val="00BB5CB4"/>
    <w:rsid w:val="00BB7ABE"/>
    <w:rsid w:val="00BC1306"/>
    <w:rsid w:val="00BC2CD2"/>
    <w:rsid w:val="00BC369A"/>
    <w:rsid w:val="00BC55B0"/>
    <w:rsid w:val="00BC6690"/>
    <w:rsid w:val="00BC6C4E"/>
    <w:rsid w:val="00BD0548"/>
    <w:rsid w:val="00BD11E6"/>
    <w:rsid w:val="00BD1AEF"/>
    <w:rsid w:val="00BD272C"/>
    <w:rsid w:val="00BD35BD"/>
    <w:rsid w:val="00BD42A1"/>
    <w:rsid w:val="00BD5D1A"/>
    <w:rsid w:val="00BD5EB1"/>
    <w:rsid w:val="00BD5EC0"/>
    <w:rsid w:val="00BD74EB"/>
    <w:rsid w:val="00BD7634"/>
    <w:rsid w:val="00BE2FA4"/>
    <w:rsid w:val="00BE4544"/>
    <w:rsid w:val="00BE5F74"/>
    <w:rsid w:val="00BE6603"/>
    <w:rsid w:val="00BF0CE8"/>
    <w:rsid w:val="00BF13EE"/>
    <w:rsid w:val="00BF17EB"/>
    <w:rsid w:val="00BF1AE3"/>
    <w:rsid w:val="00BF1E69"/>
    <w:rsid w:val="00BF2836"/>
    <w:rsid w:val="00BF3649"/>
    <w:rsid w:val="00BF4F73"/>
    <w:rsid w:val="00BF5C34"/>
    <w:rsid w:val="00BF6B82"/>
    <w:rsid w:val="00C00883"/>
    <w:rsid w:val="00C00FB1"/>
    <w:rsid w:val="00C01099"/>
    <w:rsid w:val="00C014BC"/>
    <w:rsid w:val="00C0271A"/>
    <w:rsid w:val="00C03497"/>
    <w:rsid w:val="00C04142"/>
    <w:rsid w:val="00C06B1D"/>
    <w:rsid w:val="00C07BCB"/>
    <w:rsid w:val="00C105A0"/>
    <w:rsid w:val="00C11671"/>
    <w:rsid w:val="00C11990"/>
    <w:rsid w:val="00C11A9C"/>
    <w:rsid w:val="00C1282C"/>
    <w:rsid w:val="00C1449B"/>
    <w:rsid w:val="00C1466F"/>
    <w:rsid w:val="00C1569F"/>
    <w:rsid w:val="00C15B5D"/>
    <w:rsid w:val="00C15FF2"/>
    <w:rsid w:val="00C162AA"/>
    <w:rsid w:val="00C16C19"/>
    <w:rsid w:val="00C17A0F"/>
    <w:rsid w:val="00C17E10"/>
    <w:rsid w:val="00C23E40"/>
    <w:rsid w:val="00C24152"/>
    <w:rsid w:val="00C244B3"/>
    <w:rsid w:val="00C252AE"/>
    <w:rsid w:val="00C258D9"/>
    <w:rsid w:val="00C26CF3"/>
    <w:rsid w:val="00C26D18"/>
    <w:rsid w:val="00C30556"/>
    <w:rsid w:val="00C309A1"/>
    <w:rsid w:val="00C33ABD"/>
    <w:rsid w:val="00C33DA8"/>
    <w:rsid w:val="00C34B0C"/>
    <w:rsid w:val="00C350FD"/>
    <w:rsid w:val="00C36CFD"/>
    <w:rsid w:val="00C37862"/>
    <w:rsid w:val="00C41921"/>
    <w:rsid w:val="00C4539E"/>
    <w:rsid w:val="00C46FD4"/>
    <w:rsid w:val="00C4709C"/>
    <w:rsid w:val="00C4756F"/>
    <w:rsid w:val="00C5037C"/>
    <w:rsid w:val="00C50465"/>
    <w:rsid w:val="00C50DFC"/>
    <w:rsid w:val="00C51EBB"/>
    <w:rsid w:val="00C52D37"/>
    <w:rsid w:val="00C53521"/>
    <w:rsid w:val="00C536B3"/>
    <w:rsid w:val="00C538B0"/>
    <w:rsid w:val="00C54774"/>
    <w:rsid w:val="00C549D6"/>
    <w:rsid w:val="00C56496"/>
    <w:rsid w:val="00C56CA5"/>
    <w:rsid w:val="00C66120"/>
    <w:rsid w:val="00C6693A"/>
    <w:rsid w:val="00C67057"/>
    <w:rsid w:val="00C704C9"/>
    <w:rsid w:val="00C70CEF"/>
    <w:rsid w:val="00C72BEA"/>
    <w:rsid w:val="00C744F4"/>
    <w:rsid w:val="00C76E53"/>
    <w:rsid w:val="00C800A4"/>
    <w:rsid w:val="00C80923"/>
    <w:rsid w:val="00C80C77"/>
    <w:rsid w:val="00C8222E"/>
    <w:rsid w:val="00C82B86"/>
    <w:rsid w:val="00C84F06"/>
    <w:rsid w:val="00C852CC"/>
    <w:rsid w:val="00C85B28"/>
    <w:rsid w:val="00C86C48"/>
    <w:rsid w:val="00C87096"/>
    <w:rsid w:val="00C87A61"/>
    <w:rsid w:val="00C90742"/>
    <w:rsid w:val="00C9203E"/>
    <w:rsid w:val="00C92150"/>
    <w:rsid w:val="00C94456"/>
    <w:rsid w:val="00C946BE"/>
    <w:rsid w:val="00C94AEF"/>
    <w:rsid w:val="00C95E85"/>
    <w:rsid w:val="00C96CBA"/>
    <w:rsid w:val="00C96F19"/>
    <w:rsid w:val="00CA00AA"/>
    <w:rsid w:val="00CA023C"/>
    <w:rsid w:val="00CA2063"/>
    <w:rsid w:val="00CA23F3"/>
    <w:rsid w:val="00CA4084"/>
    <w:rsid w:val="00CA68A2"/>
    <w:rsid w:val="00CB3FF3"/>
    <w:rsid w:val="00CB4C5E"/>
    <w:rsid w:val="00CB6793"/>
    <w:rsid w:val="00CB7775"/>
    <w:rsid w:val="00CC0044"/>
    <w:rsid w:val="00CC0C72"/>
    <w:rsid w:val="00CC1B3D"/>
    <w:rsid w:val="00CC2CDE"/>
    <w:rsid w:val="00CC478B"/>
    <w:rsid w:val="00CC4814"/>
    <w:rsid w:val="00CC4B17"/>
    <w:rsid w:val="00CC533C"/>
    <w:rsid w:val="00CC6005"/>
    <w:rsid w:val="00CD0A06"/>
    <w:rsid w:val="00CD1576"/>
    <w:rsid w:val="00CD4087"/>
    <w:rsid w:val="00CD4845"/>
    <w:rsid w:val="00CD48CA"/>
    <w:rsid w:val="00CD4A19"/>
    <w:rsid w:val="00CD506A"/>
    <w:rsid w:val="00CD5BBB"/>
    <w:rsid w:val="00CD5FC9"/>
    <w:rsid w:val="00CD7478"/>
    <w:rsid w:val="00CD7755"/>
    <w:rsid w:val="00CD7BAE"/>
    <w:rsid w:val="00CD7D31"/>
    <w:rsid w:val="00CE008F"/>
    <w:rsid w:val="00CE0E17"/>
    <w:rsid w:val="00CE269A"/>
    <w:rsid w:val="00CE26E2"/>
    <w:rsid w:val="00CE3434"/>
    <w:rsid w:val="00CE50B0"/>
    <w:rsid w:val="00CE528B"/>
    <w:rsid w:val="00CE63D3"/>
    <w:rsid w:val="00CF07C2"/>
    <w:rsid w:val="00CF14CB"/>
    <w:rsid w:val="00CF17F9"/>
    <w:rsid w:val="00CF22E9"/>
    <w:rsid w:val="00CF285E"/>
    <w:rsid w:val="00CF2AD0"/>
    <w:rsid w:val="00CF428A"/>
    <w:rsid w:val="00CF601D"/>
    <w:rsid w:val="00D00235"/>
    <w:rsid w:val="00D00C75"/>
    <w:rsid w:val="00D016B1"/>
    <w:rsid w:val="00D0447F"/>
    <w:rsid w:val="00D05115"/>
    <w:rsid w:val="00D055D7"/>
    <w:rsid w:val="00D06800"/>
    <w:rsid w:val="00D06B06"/>
    <w:rsid w:val="00D075B4"/>
    <w:rsid w:val="00D1077A"/>
    <w:rsid w:val="00D137BD"/>
    <w:rsid w:val="00D138EC"/>
    <w:rsid w:val="00D13E86"/>
    <w:rsid w:val="00D15B16"/>
    <w:rsid w:val="00D17B04"/>
    <w:rsid w:val="00D17E28"/>
    <w:rsid w:val="00D20BAC"/>
    <w:rsid w:val="00D213BD"/>
    <w:rsid w:val="00D2406A"/>
    <w:rsid w:val="00D247E0"/>
    <w:rsid w:val="00D26400"/>
    <w:rsid w:val="00D27F86"/>
    <w:rsid w:val="00D311B6"/>
    <w:rsid w:val="00D312BE"/>
    <w:rsid w:val="00D31B11"/>
    <w:rsid w:val="00D334F6"/>
    <w:rsid w:val="00D335CE"/>
    <w:rsid w:val="00D34A35"/>
    <w:rsid w:val="00D36E8B"/>
    <w:rsid w:val="00D37FE3"/>
    <w:rsid w:val="00D4082D"/>
    <w:rsid w:val="00D40893"/>
    <w:rsid w:val="00D43567"/>
    <w:rsid w:val="00D44D28"/>
    <w:rsid w:val="00D46A54"/>
    <w:rsid w:val="00D46DC0"/>
    <w:rsid w:val="00D471C1"/>
    <w:rsid w:val="00D50352"/>
    <w:rsid w:val="00D5060B"/>
    <w:rsid w:val="00D50A25"/>
    <w:rsid w:val="00D52624"/>
    <w:rsid w:val="00D534F8"/>
    <w:rsid w:val="00D54DED"/>
    <w:rsid w:val="00D551F9"/>
    <w:rsid w:val="00D55400"/>
    <w:rsid w:val="00D55B61"/>
    <w:rsid w:val="00D55E35"/>
    <w:rsid w:val="00D55FC4"/>
    <w:rsid w:val="00D57D0A"/>
    <w:rsid w:val="00D6080E"/>
    <w:rsid w:val="00D60F28"/>
    <w:rsid w:val="00D61E8E"/>
    <w:rsid w:val="00D62BA5"/>
    <w:rsid w:val="00D62DB3"/>
    <w:rsid w:val="00D62EF3"/>
    <w:rsid w:val="00D62FE6"/>
    <w:rsid w:val="00D63871"/>
    <w:rsid w:val="00D63D83"/>
    <w:rsid w:val="00D665FB"/>
    <w:rsid w:val="00D70D06"/>
    <w:rsid w:val="00D727D6"/>
    <w:rsid w:val="00D72C88"/>
    <w:rsid w:val="00D73A40"/>
    <w:rsid w:val="00D74F1E"/>
    <w:rsid w:val="00D80027"/>
    <w:rsid w:val="00D80234"/>
    <w:rsid w:val="00D8052B"/>
    <w:rsid w:val="00D807A1"/>
    <w:rsid w:val="00D81A65"/>
    <w:rsid w:val="00D81B30"/>
    <w:rsid w:val="00D81DBF"/>
    <w:rsid w:val="00D82682"/>
    <w:rsid w:val="00D82EC9"/>
    <w:rsid w:val="00D840AE"/>
    <w:rsid w:val="00D867B0"/>
    <w:rsid w:val="00D86C33"/>
    <w:rsid w:val="00D86FE5"/>
    <w:rsid w:val="00D9007D"/>
    <w:rsid w:val="00D9010B"/>
    <w:rsid w:val="00D918AB"/>
    <w:rsid w:val="00D924E9"/>
    <w:rsid w:val="00D943E4"/>
    <w:rsid w:val="00D95B00"/>
    <w:rsid w:val="00D961B9"/>
    <w:rsid w:val="00D969A4"/>
    <w:rsid w:val="00D96FCE"/>
    <w:rsid w:val="00D97DB9"/>
    <w:rsid w:val="00DA0E41"/>
    <w:rsid w:val="00DA0E9F"/>
    <w:rsid w:val="00DA1B41"/>
    <w:rsid w:val="00DA27B8"/>
    <w:rsid w:val="00DA2E2E"/>
    <w:rsid w:val="00DA3872"/>
    <w:rsid w:val="00DA3B02"/>
    <w:rsid w:val="00DA4814"/>
    <w:rsid w:val="00DA5CC1"/>
    <w:rsid w:val="00DA7718"/>
    <w:rsid w:val="00DA7D23"/>
    <w:rsid w:val="00DB0F07"/>
    <w:rsid w:val="00DB21C0"/>
    <w:rsid w:val="00DB2B5E"/>
    <w:rsid w:val="00DB2E85"/>
    <w:rsid w:val="00DB3482"/>
    <w:rsid w:val="00DB39E6"/>
    <w:rsid w:val="00DB3EFA"/>
    <w:rsid w:val="00DB4272"/>
    <w:rsid w:val="00DB4DA6"/>
    <w:rsid w:val="00DB7072"/>
    <w:rsid w:val="00DB7576"/>
    <w:rsid w:val="00DB77A4"/>
    <w:rsid w:val="00DC1793"/>
    <w:rsid w:val="00DC1845"/>
    <w:rsid w:val="00DC26BC"/>
    <w:rsid w:val="00DC2AFA"/>
    <w:rsid w:val="00DC2C20"/>
    <w:rsid w:val="00DC3A73"/>
    <w:rsid w:val="00DC456E"/>
    <w:rsid w:val="00DC4CBC"/>
    <w:rsid w:val="00DD07B6"/>
    <w:rsid w:val="00DD25DE"/>
    <w:rsid w:val="00DD34D6"/>
    <w:rsid w:val="00DD34D8"/>
    <w:rsid w:val="00DD3651"/>
    <w:rsid w:val="00DD36E1"/>
    <w:rsid w:val="00DD3A2A"/>
    <w:rsid w:val="00DE05B2"/>
    <w:rsid w:val="00DE1AD9"/>
    <w:rsid w:val="00DE3091"/>
    <w:rsid w:val="00DE3D13"/>
    <w:rsid w:val="00DE69BC"/>
    <w:rsid w:val="00DE7182"/>
    <w:rsid w:val="00DE7A0B"/>
    <w:rsid w:val="00DE7B44"/>
    <w:rsid w:val="00DF1424"/>
    <w:rsid w:val="00DF31DF"/>
    <w:rsid w:val="00DF3974"/>
    <w:rsid w:val="00DF3F0F"/>
    <w:rsid w:val="00DF7A5C"/>
    <w:rsid w:val="00E01C31"/>
    <w:rsid w:val="00E02C64"/>
    <w:rsid w:val="00E02CE2"/>
    <w:rsid w:val="00E03790"/>
    <w:rsid w:val="00E03856"/>
    <w:rsid w:val="00E03BDD"/>
    <w:rsid w:val="00E040BB"/>
    <w:rsid w:val="00E048E4"/>
    <w:rsid w:val="00E04EBA"/>
    <w:rsid w:val="00E053B8"/>
    <w:rsid w:val="00E053DD"/>
    <w:rsid w:val="00E05CED"/>
    <w:rsid w:val="00E14019"/>
    <w:rsid w:val="00E14185"/>
    <w:rsid w:val="00E171CF"/>
    <w:rsid w:val="00E208BA"/>
    <w:rsid w:val="00E21026"/>
    <w:rsid w:val="00E226A9"/>
    <w:rsid w:val="00E22D7D"/>
    <w:rsid w:val="00E22E3A"/>
    <w:rsid w:val="00E23A31"/>
    <w:rsid w:val="00E24881"/>
    <w:rsid w:val="00E26149"/>
    <w:rsid w:val="00E26F0D"/>
    <w:rsid w:val="00E30E4C"/>
    <w:rsid w:val="00E31210"/>
    <w:rsid w:val="00E315DC"/>
    <w:rsid w:val="00E32517"/>
    <w:rsid w:val="00E32F1B"/>
    <w:rsid w:val="00E33ABE"/>
    <w:rsid w:val="00E344EB"/>
    <w:rsid w:val="00E35E32"/>
    <w:rsid w:val="00E35F8F"/>
    <w:rsid w:val="00E3693A"/>
    <w:rsid w:val="00E37A68"/>
    <w:rsid w:val="00E37DAD"/>
    <w:rsid w:val="00E37E66"/>
    <w:rsid w:val="00E42682"/>
    <w:rsid w:val="00E47A6D"/>
    <w:rsid w:val="00E5045A"/>
    <w:rsid w:val="00E51512"/>
    <w:rsid w:val="00E52E4F"/>
    <w:rsid w:val="00E538D9"/>
    <w:rsid w:val="00E53DE3"/>
    <w:rsid w:val="00E549DC"/>
    <w:rsid w:val="00E56A98"/>
    <w:rsid w:val="00E57D1B"/>
    <w:rsid w:val="00E57E86"/>
    <w:rsid w:val="00E621CD"/>
    <w:rsid w:val="00E62385"/>
    <w:rsid w:val="00E62AE3"/>
    <w:rsid w:val="00E62B85"/>
    <w:rsid w:val="00E63408"/>
    <w:rsid w:val="00E63D92"/>
    <w:rsid w:val="00E65F94"/>
    <w:rsid w:val="00E66C82"/>
    <w:rsid w:val="00E72186"/>
    <w:rsid w:val="00E7422E"/>
    <w:rsid w:val="00E74444"/>
    <w:rsid w:val="00E76C60"/>
    <w:rsid w:val="00E771E6"/>
    <w:rsid w:val="00E819B3"/>
    <w:rsid w:val="00E819EC"/>
    <w:rsid w:val="00E83683"/>
    <w:rsid w:val="00E83C3E"/>
    <w:rsid w:val="00E84A9F"/>
    <w:rsid w:val="00E84AE6"/>
    <w:rsid w:val="00E86A86"/>
    <w:rsid w:val="00E875B6"/>
    <w:rsid w:val="00E87A9C"/>
    <w:rsid w:val="00E90A7D"/>
    <w:rsid w:val="00E90C1B"/>
    <w:rsid w:val="00E919B6"/>
    <w:rsid w:val="00E91C6F"/>
    <w:rsid w:val="00E92F11"/>
    <w:rsid w:val="00E93294"/>
    <w:rsid w:val="00E936A4"/>
    <w:rsid w:val="00E94351"/>
    <w:rsid w:val="00E95322"/>
    <w:rsid w:val="00E95978"/>
    <w:rsid w:val="00E97923"/>
    <w:rsid w:val="00EA02F3"/>
    <w:rsid w:val="00EA0D23"/>
    <w:rsid w:val="00EA11F3"/>
    <w:rsid w:val="00EA13E0"/>
    <w:rsid w:val="00EA1A2B"/>
    <w:rsid w:val="00EA1F6F"/>
    <w:rsid w:val="00EA3455"/>
    <w:rsid w:val="00EA479F"/>
    <w:rsid w:val="00EA47C3"/>
    <w:rsid w:val="00EA50BA"/>
    <w:rsid w:val="00EA54D5"/>
    <w:rsid w:val="00EA62E8"/>
    <w:rsid w:val="00EA6F0D"/>
    <w:rsid w:val="00EB28B0"/>
    <w:rsid w:val="00EB2B0C"/>
    <w:rsid w:val="00EB2D9C"/>
    <w:rsid w:val="00EB3140"/>
    <w:rsid w:val="00EB58B9"/>
    <w:rsid w:val="00EB68B8"/>
    <w:rsid w:val="00EB6C43"/>
    <w:rsid w:val="00EC03C9"/>
    <w:rsid w:val="00EC12CF"/>
    <w:rsid w:val="00EC3093"/>
    <w:rsid w:val="00EC3821"/>
    <w:rsid w:val="00EC3CBE"/>
    <w:rsid w:val="00EC4F06"/>
    <w:rsid w:val="00EC56AD"/>
    <w:rsid w:val="00EC687B"/>
    <w:rsid w:val="00EC6DC2"/>
    <w:rsid w:val="00EC6DFA"/>
    <w:rsid w:val="00ED370A"/>
    <w:rsid w:val="00ED41BB"/>
    <w:rsid w:val="00ED5276"/>
    <w:rsid w:val="00ED61E6"/>
    <w:rsid w:val="00ED7501"/>
    <w:rsid w:val="00ED77B0"/>
    <w:rsid w:val="00ED7AF7"/>
    <w:rsid w:val="00ED7F99"/>
    <w:rsid w:val="00EE3F78"/>
    <w:rsid w:val="00EE6CD4"/>
    <w:rsid w:val="00EE6FA1"/>
    <w:rsid w:val="00EF09C4"/>
    <w:rsid w:val="00EF38C3"/>
    <w:rsid w:val="00EF39D7"/>
    <w:rsid w:val="00EF4BDE"/>
    <w:rsid w:val="00EF52A5"/>
    <w:rsid w:val="00EF5DD9"/>
    <w:rsid w:val="00F0046C"/>
    <w:rsid w:val="00F0080E"/>
    <w:rsid w:val="00F010A1"/>
    <w:rsid w:val="00F01E6C"/>
    <w:rsid w:val="00F02864"/>
    <w:rsid w:val="00F0317B"/>
    <w:rsid w:val="00F03456"/>
    <w:rsid w:val="00F03A25"/>
    <w:rsid w:val="00F03F1B"/>
    <w:rsid w:val="00F043A2"/>
    <w:rsid w:val="00F048AB"/>
    <w:rsid w:val="00F055DA"/>
    <w:rsid w:val="00F0598B"/>
    <w:rsid w:val="00F06A2A"/>
    <w:rsid w:val="00F076F1"/>
    <w:rsid w:val="00F102E7"/>
    <w:rsid w:val="00F11C7C"/>
    <w:rsid w:val="00F12FE3"/>
    <w:rsid w:val="00F13E83"/>
    <w:rsid w:val="00F14598"/>
    <w:rsid w:val="00F1496C"/>
    <w:rsid w:val="00F1540E"/>
    <w:rsid w:val="00F16555"/>
    <w:rsid w:val="00F17CE9"/>
    <w:rsid w:val="00F2149E"/>
    <w:rsid w:val="00F21592"/>
    <w:rsid w:val="00F21FF8"/>
    <w:rsid w:val="00F22442"/>
    <w:rsid w:val="00F237EE"/>
    <w:rsid w:val="00F23ED7"/>
    <w:rsid w:val="00F24AF6"/>
    <w:rsid w:val="00F2677B"/>
    <w:rsid w:val="00F26AA5"/>
    <w:rsid w:val="00F27D54"/>
    <w:rsid w:val="00F27F03"/>
    <w:rsid w:val="00F30EAF"/>
    <w:rsid w:val="00F31359"/>
    <w:rsid w:val="00F318B5"/>
    <w:rsid w:val="00F32186"/>
    <w:rsid w:val="00F32C5C"/>
    <w:rsid w:val="00F32F47"/>
    <w:rsid w:val="00F33962"/>
    <w:rsid w:val="00F3467E"/>
    <w:rsid w:val="00F349FE"/>
    <w:rsid w:val="00F34FB0"/>
    <w:rsid w:val="00F35742"/>
    <w:rsid w:val="00F35E01"/>
    <w:rsid w:val="00F36103"/>
    <w:rsid w:val="00F37751"/>
    <w:rsid w:val="00F40A41"/>
    <w:rsid w:val="00F436E6"/>
    <w:rsid w:val="00F43DE8"/>
    <w:rsid w:val="00F46CA3"/>
    <w:rsid w:val="00F47C18"/>
    <w:rsid w:val="00F47EB3"/>
    <w:rsid w:val="00F5106B"/>
    <w:rsid w:val="00F51399"/>
    <w:rsid w:val="00F51CB4"/>
    <w:rsid w:val="00F52510"/>
    <w:rsid w:val="00F52BB3"/>
    <w:rsid w:val="00F53132"/>
    <w:rsid w:val="00F539CA"/>
    <w:rsid w:val="00F55267"/>
    <w:rsid w:val="00F552BA"/>
    <w:rsid w:val="00F556C5"/>
    <w:rsid w:val="00F559F3"/>
    <w:rsid w:val="00F57243"/>
    <w:rsid w:val="00F57811"/>
    <w:rsid w:val="00F60D77"/>
    <w:rsid w:val="00F6119D"/>
    <w:rsid w:val="00F618DC"/>
    <w:rsid w:val="00F61F84"/>
    <w:rsid w:val="00F62982"/>
    <w:rsid w:val="00F63D06"/>
    <w:rsid w:val="00F64A0E"/>
    <w:rsid w:val="00F66BB8"/>
    <w:rsid w:val="00F674F9"/>
    <w:rsid w:val="00F67A98"/>
    <w:rsid w:val="00F67FCD"/>
    <w:rsid w:val="00F7243A"/>
    <w:rsid w:val="00F72BE7"/>
    <w:rsid w:val="00F732E1"/>
    <w:rsid w:val="00F73601"/>
    <w:rsid w:val="00F74CD4"/>
    <w:rsid w:val="00F74DBE"/>
    <w:rsid w:val="00F754D4"/>
    <w:rsid w:val="00F75CA3"/>
    <w:rsid w:val="00F76B86"/>
    <w:rsid w:val="00F77999"/>
    <w:rsid w:val="00F8036C"/>
    <w:rsid w:val="00F817EB"/>
    <w:rsid w:val="00F81B18"/>
    <w:rsid w:val="00F81B7E"/>
    <w:rsid w:val="00F822CD"/>
    <w:rsid w:val="00F833F8"/>
    <w:rsid w:val="00F83F72"/>
    <w:rsid w:val="00F84067"/>
    <w:rsid w:val="00F848C7"/>
    <w:rsid w:val="00F85891"/>
    <w:rsid w:val="00F86468"/>
    <w:rsid w:val="00F86ACC"/>
    <w:rsid w:val="00F86D45"/>
    <w:rsid w:val="00F87398"/>
    <w:rsid w:val="00F87840"/>
    <w:rsid w:val="00F90102"/>
    <w:rsid w:val="00F90C33"/>
    <w:rsid w:val="00F918B2"/>
    <w:rsid w:val="00F91BCC"/>
    <w:rsid w:val="00F91E30"/>
    <w:rsid w:val="00F92059"/>
    <w:rsid w:val="00F9449B"/>
    <w:rsid w:val="00F94686"/>
    <w:rsid w:val="00F95CE0"/>
    <w:rsid w:val="00F9684F"/>
    <w:rsid w:val="00F9776C"/>
    <w:rsid w:val="00FA0357"/>
    <w:rsid w:val="00FA2E90"/>
    <w:rsid w:val="00FA4C8B"/>
    <w:rsid w:val="00FA526C"/>
    <w:rsid w:val="00FA5C82"/>
    <w:rsid w:val="00FA7EF9"/>
    <w:rsid w:val="00FB23E9"/>
    <w:rsid w:val="00FB2E51"/>
    <w:rsid w:val="00FB438F"/>
    <w:rsid w:val="00FB46A4"/>
    <w:rsid w:val="00FB4E83"/>
    <w:rsid w:val="00FB7459"/>
    <w:rsid w:val="00FC0444"/>
    <w:rsid w:val="00FC1944"/>
    <w:rsid w:val="00FC1AF3"/>
    <w:rsid w:val="00FC2159"/>
    <w:rsid w:val="00FC216E"/>
    <w:rsid w:val="00FC2CA7"/>
    <w:rsid w:val="00FC3282"/>
    <w:rsid w:val="00FC3794"/>
    <w:rsid w:val="00FC470D"/>
    <w:rsid w:val="00FC4B9F"/>
    <w:rsid w:val="00FC4EF9"/>
    <w:rsid w:val="00FC5762"/>
    <w:rsid w:val="00FC6A27"/>
    <w:rsid w:val="00FC7AF2"/>
    <w:rsid w:val="00FD04AF"/>
    <w:rsid w:val="00FD4CBC"/>
    <w:rsid w:val="00FD4F73"/>
    <w:rsid w:val="00FD5396"/>
    <w:rsid w:val="00FD7AA6"/>
    <w:rsid w:val="00FD7FF6"/>
    <w:rsid w:val="00FE0881"/>
    <w:rsid w:val="00FE1795"/>
    <w:rsid w:val="00FE1A6A"/>
    <w:rsid w:val="00FE2ED3"/>
    <w:rsid w:val="00FE3FD2"/>
    <w:rsid w:val="00FE485E"/>
    <w:rsid w:val="00FE57A8"/>
    <w:rsid w:val="00FE5E3B"/>
    <w:rsid w:val="00FE61F6"/>
    <w:rsid w:val="00FE67CD"/>
    <w:rsid w:val="00FF1C7E"/>
    <w:rsid w:val="00FF25AF"/>
    <w:rsid w:val="00FF26AE"/>
    <w:rsid w:val="00FF2B74"/>
    <w:rsid w:val="00FF44EE"/>
    <w:rsid w:val="00FF47F8"/>
    <w:rsid w:val="00FF5080"/>
    <w:rsid w:val="00FF53D1"/>
    <w:rsid w:val="00FF599A"/>
    <w:rsid w:val="012B2399"/>
    <w:rsid w:val="015C3FA4"/>
    <w:rsid w:val="016BCA3E"/>
    <w:rsid w:val="01E2DA61"/>
    <w:rsid w:val="028046D1"/>
    <w:rsid w:val="02853236"/>
    <w:rsid w:val="02ABCCF0"/>
    <w:rsid w:val="03037997"/>
    <w:rsid w:val="042919CA"/>
    <w:rsid w:val="046924B5"/>
    <w:rsid w:val="0496CFE6"/>
    <w:rsid w:val="064386E7"/>
    <w:rsid w:val="09EC90CC"/>
    <w:rsid w:val="0C0FE501"/>
    <w:rsid w:val="0C8C9D04"/>
    <w:rsid w:val="0CCAAA45"/>
    <w:rsid w:val="0D1E623D"/>
    <w:rsid w:val="0D808844"/>
    <w:rsid w:val="0DC273DB"/>
    <w:rsid w:val="0EA4FA4D"/>
    <w:rsid w:val="0F2D44E4"/>
    <w:rsid w:val="0F66A047"/>
    <w:rsid w:val="0FD857D3"/>
    <w:rsid w:val="10246C6E"/>
    <w:rsid w:val="1037BD75"/>
    <w:rsid w:val="105E4723"/>
    <w:rsid w:val="1075BDD4"/>
    <w:rsid w:val="107E7B1A"/>
    <w:rsid w:val="11E3AD7A"/>
    <w:rsid w:val="11F3A9EB"/>
    <w:rsid w:val="1212EDF3"/>
    <w:rsid w:val="121F9A3E"/>
    <w:rsid w:val="124C3D74"/>
    <w:rsid w:val="12F56DCF"/>
    <w:rsid w:val="13DD2478"/>
    <w:rsid w:val="159D9EEA"/>
    <w:rsid w:val="15DECFDB"/>
    <w:rsid w:val="1614E37D"/>
    <w:rsid w:val="16C80CB9"/>
    <w:rsid w:val="18396A16"/>
    <w:rsid w:val="18B62E95"/>
    <w:rsid w:val="1A0B45FA"/>
    <w:rsid w:val="1A464782"/>
    <w:rsid w:val="1B97B6D8"/>
    <w:rsid w:val="1DDAB067"/>
    <w:rsid w:val="1DFD8516"/>
    <w:rsid w:val="1E11DD77"/>
    <w:rsid w:val="1F40F8D7"/>
    <w:rsid w:val="20D365F9"/>
    <w:rsid w:val="2514184E"/>
    <w:rsid w:val="25324D21"/>
    <w:rsid w:val="2631B115"/>
    <w:rsid w:val="2721589A"/>
    <w:rsid w:val="277A1B6A"/>
    <w:rsid w:val="2A14AE5E"/>
    <w:rsid w:val="2AF4100E"/>
    <w:rsid w:val="2B580421"/>
    <w:rsid w:val="2B738B2D"/>
    <w:rsid w:val="2CAAC4EC"/>
    <w:rsid w:val="2CF2CA63"/>
    <w:rsid w:val="2E1601CE"/>
    <w:rsid w:val="2F8FE199"/>
    <w:rsid w:val="30226F2B"/>
    <w:rsid w:val="34B6233D"/>
    <w:rsid w:val="34E0ECD0"/>
    <w:rsid w:val="3596D759"/>
    <w:rsid w:val="368B80F0"/>
    <w:rsid w:val="368C02A6"/>
    <w:rsid w:val="374E3D7C"/>
    <w:rsid w:val="390DE818"/>
    <w:rsid w:val="3A7FE748"/>
    <w:rsid w:val="3B916E6B"/>
    <w:rsid w:val="3C0EED07"/>
    <w:rsid w:val="3C1A023F"/>
    <w:rsid w:val="3C1E3FDA"/>
    <w:rsid w:val="3D372053"/>
    <w:rsid w:val="3D7E1660"/>
    <w:rsid w:val="3ED18D68"/>
    <w:rsid w:val="3F5340AC"/>
    <w:rsid w:val="3FBBF76B"/>
    <w:rsid w:val="3FF75491"/>
    <w:rsid w:val="40086296"/>
    <w:rsid w:val="40F02553"/>
    <w:rsid w:val="4158A281"/>
    <w:rsid w:val="41E78792"/>
    <w:rsid w:val="45CE4E1A"/>
    <w:rsid w:val="462006EE"/>
    <w:rsid w:val="46855505"/>
    <w:rsid w:val="468663C7"/>
    <w:rsid w:val="4A9F7C42"/>
    <w:rsid w:val="4ADFE0C5"/>
    <w:rsid w:val="4BE2D631"/>
    <w:rsid w:val="4D18D3C4"/>
    <w:rsid w:val="4E555957"/>
    <w:rsid w:val="4E68FA04"/>
    <w:rsid w:val="4F147366"/>
    <w:rsid w:val="504B2B22"/>
    <w:rsid w:val="509B0989"/>
    <w:rsid w:val="50A44CA0"/>
    <w:rsid w:val="5184D23B"/>
    <w:rsid w:val="51F17954"/>
    <w:rsid w:val="522BA86A"/>
    <w:rsid w:val="53681632"/>
    <w:rsid w:val="54D1D234"/>
    <w:rsid w:val="55ACA27C"/>
    <w:rsid w:val="5647A2CF"/>
    <w:rsid w:val="56D880ED"/>
    <w:rsid w:val="5791E60B"/>
    <w:rsid w:val="5874DA66"/>
    <w:rsid w:val="598590C0"/>
    <w:rsid w:val="5A10AAC7"/>
    <w:rsid w:val="5A16E2B5"/>
    <w:rsid w:val="5BFC921F"/>
    <w:rsid w:val="5E0941FD"/>
    <w:rsid w:val="5E4E3AAB"/>
    <w:rsid w:val="60D5ACE4"/>
    <w:rsid w:val="61BBEA74"/>
    <w:rsid w:val="6200B2EF"/>
    <w:rsid w:val="645D5657"/>
    <w:rsid w:val="64CEBFAC"/>
    <w:rsid w:val="66E1A518"/>
    <w:rsid w:val="6716EFE8"/>
    <w:rsid w:val="67248D9E"/>
    <w:rsid w:val="683A815C"/>
    <w:rsid w:val="68FA3B3F"/>
    <w:rsid w:val="69CF75CB"/>
    <w:rsid w:val="6AC93ACF"/>
    <w:rsid w:val="6CF9C30F"/>
    <w:rsid w:val="6D48986D"/>
    <w:rsid w:val="6D8BDFE8"/>
    <w:rsid w:val="6D93ED4D"/>
    <w:rsid w:val="6E37BF12"/>
    <w:rsid w:val="6E99EF62"/>
    <w:rsid w:val="71C18E51"/>
    <w:rsid w:val="73171BD9"/>
    <w:rsid w:val="755F9515"/>
    <w:rsid w:val="75DEF7DA"/>
    <w:rsid w:val="75E4A50A"/>
    <w:rsid w:val="76F1E2A8"/>
    <w:rsid w:val="78497C60"/>
    <w:rsid w:val="78FED685"/>
    <w:rsid w:val="7971EDC3"/>
    <w:rsid w:val="797BD2C5"/>
    <w:rsid w:val="79C4CCBB"/>
    <w:rsid w:val="7A606CEE"/>
    <w:rsid w:val="7A697BF6"/>
    <w:rsid w:val="7A958F0B"/>
    <w:rsid w:val="7B11ED1C"/>
    <w:rsid w:val="7B496388"/>
    <w:rsid w:val="7E1ED830"/>
    <w:rsid w:val="7E8DCF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7821E"/>
  <w15:chartTrackingRefBased/>
  <w15:docId w15:val="{36B164AC-E3FC-4B8E-A451-599A24E29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4E9"/>
    <w:rPr>
      <w:rFonts w:ascii="Arial" w:hAnsi="Arial"/>
    </w:rPr>
  </w:style>
  <w:style w:type="paragraph" w:styleId="Heading1">
    <w:name w:val="heading 1"/>
    <w:basedOn w:val="Normal"/>
    <w:next w:val="Normal"/>
    <w:link w:val="Heading1Char"/>
    <w:uiPriority w:val="9"/>
    <w:qFormat/>
    <w:rsid w:val="00CC0C72"/>
    <w:pPr>
      <w:keepNext/>
      <w:keepLines/>
      <w:spacing w:before="240" w:after="0"/>
      <w:outlineLvl w:val="0"/>
    </w:pPr>
    <w:rPr>
      <w:rFonts w:asciiTheme="majorHAnsi" w:eastAsiaTheme="majorEastAsia" w:hAnsiTheme="majorHAnsi" w:cstheme="majorBidi"/>
      <w:color w:val="620012" w:themeColor="accent1" w:themeShade="BF"/>
      <w:sz w:val="32"/>
      <w:szCs w:val="32"/>
    </w:rPr>
  </w:style>
  <w:style w:type="paragraph" w:styleId="Heading2">
    <w:name w:val="heading 2"/>
    <w:basedOn w:val="Normal"/>
    <w:next w:val="Normal"/>
    <w:link w:val="Heading2Char"/>
    <w:uiPriority w:val="9"/>
    <w:unhideWhenUsed/>
    <w:qFormat/>
    <w:rsid w:val="00097CB9"/>
    <w:pPr>
      <w:keepNext/>
      <w:keepLines/>
      <w:spacing w:before="40" w:after="0"/>
      <w:outlineLvl w:val="1"/>
    </w:pPr>
    <w:rPr>
      <w:rFonts w:asciiTheme="majorHAnsi" w:eastAsiaTheme="majorEastAsia" w:hAnsiTheme="majorHAnsi" w:cstheme="majorBidi"/>
      <w:color w:val="620012" w:themeColor="accent1" w:themeShade="BF"/>
      <w:sz w:val="26"/>
      <w:szCs w:val="26"/>
    </w:rPr>
  </w:style>
  <w:style w:type="paragraph" w:styleId="Heading3">
    <w:name w:val="heading 3"/>
    <w:basedOn w:val="Normal"/>
    <w:next w:val="Normal"/>
    <w:link w:val="Heading3Char"/>
    <w:uiPriority w:val="9"/>
    <w:unhideWhenUsed/>
    <w:qFormat/>
    <w:rsid w:val="0044309F"/>
    <w:pPr>
      <w:keepNext/>
      <w:keepLines/>
      <w:spacing w:before="40" w:after="0"/>
      <w:outlineLvl w:val="2"/>
    </w:pPr>
    <w:rPr>
      <w:rFonts w:asciiTheme="majorHAnsi" w:eastAsiaTheme="majorEastAsia" w:hAnsiTheme="majorHAnsi" w:cstheme="majorBidi"/>
      <w:color w:val="41000C" w:themeColor="accent1" w:themeShade="7F"/>
      <w:sz w:val="24"/>
      <w:szCs w:val="24"/>
    </w:rPr>
  </w:style>
  <w:style w:type="paragraph" w:styleId="Heading4">
    <w:name w:val="heading 4"/>
    <w:basedOn w:val="Normal"/>
    <w:next w:val="Normal"/>
    <w:link w:val="Heading4Char"/>
    <w:uiPriority w:val="9"/>
    <w:unhideWhenUsed/>
    <w:qFormat/>
    <w:rsid w:val="004F74D1"/>
    <w:pPr>
      <w:keepNext/>
      <w:keepLines/>
      <w:spacing w:before="40" w:after="0"/>
      <w:outlineLvl w:val="3"/>
    </w:pPr>
    <w:rPr>
      <w:rFonts w:asciiTheme="majorHAnsi" w:eastAsiaTheme="majorEastAsia" w:hAnsiTheme="majorHAnsi" w:cstheme="majorBidi"/>
      <w:i/>
      <w:iCs/>
      <w:color w:val="620012"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C0C7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0C7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C0C72"/>
    <w:rPr>
      <w:rFonts w:asciiTheme="majorHAnsi" w:eastAsiaTheme="majorEastAsia" w:hAnsiTheme="majorHAnsi" w:cstheme="majorBidi"/>
      <w:color w:val="620012" w:themeColor="accent1" w:themeShade="BF"/>
      <w:sz w:val="32"/>
      <w:szCs w:val="32"/>
    </w:rPr>
  </w:style>
  <w:style w:type="paragraph" w:styleId="Header">
    <w:name w:val="header"/>
    <w:basedOn w:val="Normal"/>
    <w:link w:val="HeaderChar"/>
    <w:uiPriority w:val="99"/>
    <w:unhideWhenUsed/>
    <w:rsid w:val="00EA02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02F3"/>
  </w:style>
  <w:style w:type="paragraph" w:styleId="Footer">
    <w:name w:val="footer"/>
    <w:basedOn w:val="Normal"/>
    <w:link w:val="FooterChar"/>
    <w:uiPriority w:val="99"/>
    <w:unhideWhenUsed/>
    <w:rsid w:val="00EA02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02F3"/>
  </w:style>
  <w:style w:type="paragraph" w:styleId="TOCHeading">
    <w:name w:val="TOC Heading"/>
    <w:basedOn w:val="Heading1"/>
    <w:next w:val="Normal"/>
    <w:uiPriority w:val="39"/>
    <w:unhideWhenUsed/>
    <w:qFormat/>
    <w:rsid w:val="00123FF6"/>
    <w:pPr>
      <w:outlineLvl w:val="9"/>
    </w:pPr>
  </w:style>
  <w:style w:type="paragraph" w:styleId="TOC1">
    <w:name w:val="toc 1"/>
    <w:basedOn w:val="Normal"/>
    <w:next w:val="Normal"/>
    <w:autoRedefine/>
    <w:uiPriority w:val="39"/>
    <w:unhideWhenUsed/>
    <w:rsid w:val="00826BC6"/>
    <w:pPr>
      <w:tabs>
        <w:tab w:val="right" w:leader="dot" w:pos="10070"/>
      </w:tabs>
      <w:spacing w:after="100"/>
    </w:pPr>
  </w:style>
  <w:style w:type="character" w:styleId="Hyperlink">
    <w:name w:val="Hyperlink"/>
    <w:basedOn w:val="DefaultParagraphFont"/>
    <w:uiPriority w:val="99"/>
    <w:unhideWhenUsed/>
    <w:rsid w:val="00123FF6"/>
    <w:rPr>
      <w:color w:val="00A8B8" w:themeColor="hyperlink"/>
      <w:u w:val="single"/>
    </w:rPr>
  </w:style>
  <w:style w:type="character" w:styleId="UnresolvedMention">
    <w:name w:val="Unresolved Mention"/>
    <w:basedOn w:val="DefaultParagraphFont"/>
    <w:uiPriority w:val="99"/>
    <w:semiHidden/>
    <w:unhideWhenUsed/>
    <w:rsid w:val="00B25925"/>
    <w:rPr>
      <w:color w:val="605E5C"/>
      <w:shd w:val="clear" w:color="auto" w:fill="E1DFDD"/>
    </w:rPr>
  </w:style>
  <w:style w:type="paragraph" w:styleId="ListParagraph">
    <w:name w:val="List Paragraph"/>
    <w:basedOn w:val="Normal"/>
    <w:uiPriority w:val="34"/>
    <w:qFormat/>
    <w:rsid w:val="00C06B1D"/>
    <w:pPr>
      <w:spacing w:after="0" w:line="240" w:lineRule="auto"/>
      <w:ind w:left="720"/>
      <w:contextualSpacing/>
    </w:pPr>
    <w:rPr>
      <w:sz w:val="24"/>
      <w:szCs w:val="24"/>
    </w:rPr>
  </w:style>
  <w:style w:type="character" w:styleId="CommentReference">
    <w:name w:val="annotation reference"/>
    <w:basedOn w:val="DefaultParagraphFont"/>
    <w:uiPriority w:val="99"/>
    <w:semiHidden/>
    <w:unhideWhenUsed/>
    <w:rsid w:val="004F1801"/>
    <w:rPr>
      <w:sz w:val="16"/>
      <w:szCs w:val="16"/>
    </w:rPr>
  </w:style>
  <w:style w:type="paragraph" w:styleId="CommentText">
    <w:name w:val="annotation text"/>
    <w:basedOn w:val="Normal"/>
    <w:link w:val="CommentTextChar"/>
    <w:uiPriority w:val="99"/>
    <w:unhideWhenUsed/>
    <w:rsid w:val="004F1801"/>
    <w:pPr>
      <w:spacing w:line="240" w:lineRule="auto"/>
    </w:pPr>
    <w:rPr>
      <w:sz w:val="20"/>
      <w:szCs w:val="20"/>
    </w:rPr>
  </w:style>
  <w:style w:type="character" w:customStyle="1" w:styleId="CommentTextChar">
    <w:name w:val="Comment Text Char"/>
    <w:basedOn w:val="DefaultParagraphFont"/>
    <w:link w:val="CommentText"/>
    <w:uiPriority w:val="99"/>
    <w:rsid w:val="004F1801"/>
    <w:rPr>
      <w:sz w:val="20"/>
      <w:szCs w:val="20"/>
    </w:rPr>
  </w:style>
  <w:style w:type="paragraph" w:styleId="CommentSubject">
    <w:name w:val="annotation subject"/>
    <w:basedOn w:val="CommentText"/>
    <w:next w:val="CommentText"/>
    <w:link w:val="CommentSubjectChar"/>
    <w:uiPriority w:val="99"/>
    <w:semiHidden/>
    <w:unhideWhenUsed/>
    <w:rsid w:val="004F1801"/>
    <w:rPr>
      <w:b/>
      <w:bCs/>
    </w:rPr>
  </w:style>
  <w:style w:type="character" w:customStyle="1" w:styleId="CommentSubjectChar">
    <w:name w:val="Comment Subject Char"/>
    <w:basedOn w:val="CommentTextChar"/>
    <w:link w:val="CommentSubject"/>
    <w:uiPriority w:val="99"/>
    <w:semiHidden/>
    <w:rsid w:val="004F1801"/>
    <w:rPr>
      <w:b/>
      <w:bCs/>
      <w:sz w:val="20"/>
      <w:szCs w:val="20"/>
    </w:rPr>
  </w:style>
  <w:style w:type="character" w:customStyle="1" w:styleId="Heading2Char">
    <w:name w:val="Heading 2 Char"/>
    <w:basedOn w:val="DefaultParagraphFont"/>
    <w:link w:val="Heading2"/>
    <w:uiPriority w:val="9"/>
    <w:rsid w:val="00097CB9"/>
    <w:rPr>
      <w:rFonts w:asciiTheme="majorHAnsi" w:eastAsiaTheme="majorEastAsia" w:hAnsiTheme="majorHAnsi" w:cstheme="majorBidi"/>
      <w:color w:val="620012" w:themeColor="accent1" w:themeShade="BF"/>
      <w:sz w:val="26"/>
      <w:szCs w:val="26"/>
    </w:rPr>
  </w:style>
  <w:style w:type="paragraph" w:styleId="TOC2">
    <w:name w:val="toc 2"/>
    <w:basedOn w:val="Normal"/>
    <w:next w:val="Normal"/>
    <w:autoRedefine/>
    <w:uiPriority w:val="39"/>
    <w:unhideWhenUsed/>
    <w:rsid w:val="00B85ADC"/>
    <w:pPr>
      <w:tabs>
        <w:tab w:val="right" w:leader="dot" w:pos="10070"/>
      </w:tabs>
      <w:spacing w:after="100"/>
      <w:ind w:left="220"/>
    </w:pPr>
  </w:style>
  <w:style w:type="character" w:customStyle="1" w:styleId="Heading3Char">
    <w:name w:val="Heading 3 Char"/>
    <w:basedOn w:val="DefaultParagraphFont"/>
    <w:link w:val="Heading3"/>
    <w:uiPriority w:val="9"/>
    <w:rsid w:val="0044309F"/>
    <w:rPr>
      <w:rFonts w:asciiTheme="majorHAnsi" w:eastAsiaTheme="majorEastAsia" w:hAnsiTheme="majorHAnsi" w:cstheme="majorBidi"/>
      <w:color w:val="41000C" w:themeColor="accent1" w:themeShade="7F"/>
      <w:sz w:val="24"/>
      <w:szCs w:val="24"/>
    </w:rPr>
  </w:style>
  <w:style w:type="character" w:customStyle="1" w:styleId="Heading4Char">
    <w:name w:val="Heading 4 Char"/>
    <w:basedOn w:val="DefaultParagraphFont"/>
    <w:link w:val="Heading4"/>
    <w:uiPriority w:val="9"/>
    <w:rsid w:val="004F74D1"/>
    <w:rPr>
      <w:rFonts w:asciiTheme="majorHAnsi" w:eastAsiaTheme="majorEastAsia" w:hAnsiTheme="majorHAnsi" w:cstheme="majorBidi"/>
      <w:i/>
      <w:iCs/>
      <w:color w:val="620012" w:themeColor="accent1" w:themeShade="BF"/>
    </w:rPr>
  </w:style>
  <w:style w:type="table" w:styleId="TableGrid">
    <w:name w:val="Table Grid"/>
    <w:basedOn w:val="TableNormal"/>
    <w:uiPriority w:val="39"/>
    <w:rsid w:val="00B51E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64246"/>
    <w:pPr>
      <w:spacing w:after="100"/>
      <w:ind w:left="440"/>
    </w:pPr>
  </w:style>
  <w:style w:type="character" w:styleId="Strong">
    <w:name w:val="Strong"/>
    <w:basedOn w:val="DefaultParagraphFont"/>
    <w:uiPriority w:val="22"/>
    <w:qFormat/>
    <w:rsid w:val="006A19DA"/>
    <w:rPr>
      <w:b/>
      <w:bCs/>
    </w:rPr>
  </w:style>
  <w:style w:type="paragraph" w:styleId="TOC4">
    <w:name w:val="toc 4"/>
    <w:basedOn w:val="Normal"/>
    <w:next w:val="Normal"/>
    <w:autoRedefine/>
    <w:uiPriority w:val="39"/>
    <w:unhideWhenUsed/>
    <w:rsid w:val="00DA0E41"/>
    <w:pPr>
      <w:spacing w:after="100"/>
      <w:ind w:left="660"/>
    </w:pPr>
    <w:rPr>
      <w:rFonts w:asciiTheme="minorHAnsi" w:eastAsiaTheme="minorEastAsia" w:hAnsiTheme="minorHAnsi"/>
    </w:rPr>
  </w:style>
  <w:style w:type="paragraph" w:styleId="TOC5">
    <w:name w:val="toc 5"/>
    <w:basedOn w:val="Normal"/>
    <w:next w:val="Normal"/>
    <w:autoRedefine/>
    <w:uiPriority w:val="39"/>
    <w:unhideWhenUsed/>
    <w:rsid w:val="00DA0E41"/>
    <w:pPr>
      <w:spacing w:after="100"/>
      <w:ind w:left="880"/>
    </w:pPr>
    <w:rPr>
      <w:rFonts w:asciiTheme="minorHAnsi" w:eastAsiaTheme="minorEastAsia" w:hAnsiTheme="minorHAnsi"/>
    </w:rPr>
  </w:style>
  <w:style w:type="paragraph" w:styleId="TOC6">
    <w:name w:val="toc 6"/>
    <w:basedOn w:val="Normal"/>
    <w:next w:val="Normal"/>
    <w:autoRedefine/>
    <w:uiPriority w:val="39"/>
    <w:unhideWhenUsed/>
    <w:rsid w:val="00DA0E41"/>
    <w:pPr>
      <w:spacing w:after="100"/>
      <w:ind w:left="1100"/>
    </w:pPr>
    <w:rPr>
      <w:rFonts w:asciiTheme="minorHAnsi" w:eastAsiaTheme="minorEastAsia" w:hAnsiTheme="minorHAnsi"/>
    </w:rPr>
  </w:style>
  <w:style w:type="paragraph" w:styleId="TOC7">
    <w:name w:val="toc 7"/>
    <w:basedOn w:val="Normal"/>
    <w:next w:val="Normal"/>
    <w:autoRedefine/>
    <w:uiPriority w:val="39"/>
    <w:unhideWhenUsed/>
    <w:rsid w:val="00DA0E41"/>
    <w:pPr>
      <w:spacing w:after="100"/>
      <w:ind w:left="1320"/>
    </w:pPr>
    <w:rPr>
      <w:rFonts w:asciiTheme="minorHAnsi" w:eastAsiaTheme="minorEastAsia" w:hAnsiTheme="minorHAnsi"/>
    </w:rPr>
  </w:style>
  <w:style w:type="paragraph" w:styleId="TOC8">
    <w:name w:val="toc 8"/>
    <w:basedOn w:val="Normal"/>
    <w:next w:val="Normal"/>
    <w:autoRedefine/>
    <w:uiPriority w:val="39"/>
    <w:unhideWhenUsed/>
    <w:rsid w:val="00DA0E41"/>
    <w:pPr>
      <w:spacing w:after="100"/>
      <w:ind w:left="1540"/>
    </w:pPr>
    <w:rPr>
      <w:rFonts w:asciiTheme="minorHAnsi" w:eastAsiaTheme="minorEastAsia" w:hAnsiTheme="minorHAnsi"/>
    </w:rPr>
  </w:style>
  <w:style w:type="paragraph" w:styleId="TOC9">
    <w:name w:val="toc 9"/>
    <w:basedOn w:val="Normal"/>
    <w:next w:val="Normal"/>
    <w:autoRedefine/>
    <w:uiPriority w:val="39"/>
    <w:unhideWhenUsed/>
    <w:rsid w:val="00DA0E41"/>
    <w:pPr>
      <w:spacing w:after="100"/>
      <w:ind w:left="1760"/>
    </w:pPr>
    <w:rPr>
      <w:rFonts w:asciiTheme="minorHAnsi" w:eastAsiaTheme="minorEastAsia" w:hAnsiTheme="minorHAnsi"/>
    </w:rPr>
  </w:style>
  <w:style w:type="paragraph" w:styleId="NormalWeb">
    <w:name w:val="Normal (Web)"/>
    <w:basedOn w:val="Normal"/>
    <w:uiPriority w:val="99"/>
    <w:semiHidden/>
    <w:unhideWhenUsed/>
    <w:rsid w:val="00632F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C4814"/>
  </w:style>
  <w:style w:type="character" w:customStyle="1" w:styleId="eop">
    <w:name w:val="eop"/>
    <w:basedOn w:val="DefaultParagraphFont"/>
    <w:rsid w:val="00770080"/>
  </w:style>
  <w:style w:type="character" w:styleId="FollowedHyperlink">
    <w:name w:val="FollowedHyperlink"/>
    <w:basedOn w:val="DefaultParagraphFont"/>
    <w:uiPriority w:val="99"/>
    <w:semiHidden/>
    <w:unhideWhenUsed/>
    <w:rsid w:val="003A3A55"/>
    <w:rPr>
      <w:color w:val="733975" w:themeColor="followedHyperlink"/>
      <w:u w:val="single"/>
    </w:rPr>
  </w:style>
  <w:style w:type="paragraph" w:styleId="FootnoteText">
    <w:name w:val="footnote text"/>
    <w:basedOn w:val="Normal"/>
    <w:link w:val="FootnoteTextChar"/>
    <w:uiPriority w:val="99"/>
    <w:semiHidden/>
    <w:unhideWhenUsed/>
    <w:rsid w:val="00F52B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2BB3"/>
    <w:rPr>
      <w:rFonts w:ascii="Arial" w:hAnsi="Arial"/>
      <w:sz w:val="20"/>
      <w:szCs w:val="20"/>
    </w:rPr>
  </w:style>
  <w:style w:type="character" w:styleId="FootnoteReference">
    <w:name w:val="footnote reference"/>
    <w:basedOn w:val="DefaultParagraphFont"/>
    <w:uiPriority w:val="99"/>
    <w:semiHidden/>
    <w:unhideWhenUsed/>
    <w:rsid w:val="00F52BB3"/>
    <w:rPr>
      <w:vertAlign w:val="superscript"/>
    </w:rPr>
  </w:style>
  <w:style w:type="paragraph" w:styleId="Revision">
    <w:name w:val="Revision"/>
    <w:hidden/>
    <w:uiPriority w:val="99"/>
    <w:semiHidden/>
    <w:rsid w:val="00E344EB"/>
    <w:pPr>
      <w:spacing w:after="0" w:line="240" w:lineRule="auto"/>
    </w:pPr>
    <w:rPr>
      <w:rFonts w:ascii="Arial" w:hAnsi="Arial"/>
    </w:rPr>
  </w:style>
  <w:style w:type="character" w:customStyle="1" w:styleId="grame">
    <w:name w:val="grame"/>
    <w:basedOn w:val="DefaultParagraphFont"/>
    <w:rsid w:val="006E02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708185">
      <w:bodyDiv w:val="1"/>
      <w:marLeft w:val="0"/>
      <w:marRight w:val="0"/>
      <w:marTop w:val="0"/>
      <w:marBottom w:val="0"/>
      <w:divBdr>
        <w:top w:val="none" w:sz="0" w:space="0" w:color="auto"/>
        <w:left w:val="none" w:sz="0" w:space="0" w:color="auto"/>
        <w:bottom w:val="none" w:sz="0" w:space="0" w:color="auto"/>
        <w:right w:val="none" w:sz="0" w:space="0" w:color="auto"/>
      </w:divBdr>
    </w:div>
    <w:div w:id="320814944">
      <w:bodyDiv w:val="1"/>
      <w:marLeft w:val="0"/>
      <w:marRight w:val="0"/>
      <w:marTop w:val="0"/>
      <w:marBottom w:val="0"/>
      <w:divBdr>
        <w:top w:val="none" w:sz="0" w:space="0" w:color="auto"/>
        <w:left w:val="none" w:sz="0" w:space="0" w:color="auto"/>
        <w:bottom w:val="none" w:sz="0" w:space="0" w:color="auto"/>
        <w:right w:val="none" w:sz="0" w:space="0" w:color="auto"/>
      </w:divBdr>
    </w:div>
    <w:div w:id="614673852">
      <w:bodyDiv w:val="1"/>
      <w:marLeft w:val="0"/>
      <w:marRight w:val="0"/>
      <w:marTop w:val="0"/>
      <w:marBottom w:val="0"/>
      <w:divBdr>
        <w:top w:val="none" w:sz="0" w:space="0" w:color="auto"/>
        <w:left w:val="none" w:sz="0" w:space="0" w:color="auto"/>
        <w:bottom w:val="none" w:sz="0" w:space="0" w:color="auto"/>
        <w:right w:val="none" w:sz="0" w:space="0" w:color="auto"/>
      </w:divBdr>
      <w:divsChild>
        <w:div w:id="759253838">
          <w:marLeft w:val="0"/>
          <w:marRight w:val="0"/>
          <w:marTop w:val="0"/>
          <w:marBottom w:val="0"/>
          <w:divBdr>
            <w:top w:val="none" w:sz="0" w:space="0" w:color="auto"/>
            <w:left w:val="none" w:sz="0" w:space="0" w:color="auto"/>
            <w:bottom w:val="none" w:sz="0" w:space="0" w:color="auto"/>
            <w:right w:val="none" w:sz="0" w:space="0" w:color="auto"/>
          </w:divBdr>
        </w:div>
        <w:div w:id="2081903032">
          <w:marLeft w:val="0"/>
          <w:marRight w:val="0"/>
          <w:marTop w:val="0"/>
          <w:marBottom w:val="0"/>
          <w:divBdr>
            <w:top w:val="none" w:sz="0" w:space="0" w:color="auto"/>
            <w:left w:val="none" w:sz="0" w:space="0" w:color="auto"/>
            <w:bottom w:val="none" w:sz="0" w:space="0" w:color="auto"/>
            <w:right w:val="none" w:sz="0" w:space="0" w:color="auto"/>
          </w:divBdr>
        </w:div>
        <w:div w:id="271593062">
          <w:marLeft w:val="0"/>
          <w:marRight w:val="0"/>
          <w:marTop w:val="0"/>
          <w:marBottom w:val="0"/>
          <w:divBdr>
            <w:top w:val="none" w:sz="0" w:space="0" w:color="auto"/>
            <w:left w:val="none" w:sz="0" w:space="0" w:color="auto"/>
            <w:bottom w:val="none" w:sz="0" w:space="0" w:color="auto"/>
            <w:right w:val="none" w:sz="0" w:space="0" w:color="auto"/>
          </w:divBdr>
        </w:div>
        <w:div w:id="1499076052">
          <w:marLeft w:val="0"/>
          <w:marRight w:val="0"/>
          <w:marTop w:val="0"/>
          <w:marBottom w:val="0"/>
          <w:divBdr>
            <w:top w:val="none" w:sz="0" w:space="0" w:color="auto"/>
            <w:left w:val="none" w:sz="0" w:space="0" w:color="auto"/>
            <w:bottom w:val="none" w:sz="0" w:space="0" w:color="auto"/>
            <w:right w:val="none" w:sz="0" w:space="0" w:color="auto"/>
          </w:divBdr>
        </w:div>
        <w:div w:id="1553737994">
          <w:marLeft w:val="0"/>
          <w:marRight w:val="0"/>
          <w:marTop w:val="0"/>
          <w:marBottom w:val="0"/>
          <w:divBdr>
            <w:top w:val="none" w:sz="0" w:space="0" w:color="auto"/>
            <w:left w:val="none" w:sz="0" w:space="0" w:color="auto"/>
            <w:bottom w:val="none" w:sz="0" w:space="0" w:color="auto"/>
            <w:right w:val="none" w:sz="0" w:space="0" w:color="auto"/>
          </w:divBdr>
        </w:div>
        <w:div w:id="1558201118">
          <w:marLeft w:val="0"/>
          <w:marRight w:val="0"/>
          <w:marTop w:val="0"/>
          <w:marBottom w:val="0"/>
          <w:divBdr>
            <w:top w:val="none" w:sz="0" w:space="0" w:color="auto"/>
            <w:left w:val="none" w:sz="0" w:space="0" w:color="auto"/>
            <w:bottom w:val="none" w:sz="0" w:space="0" w:color="auto"/>
            <w:right w:val="none" w:sz="0" w:space="0" w:color="auto"/>
          </w:divBdr>
        </w:div>
        <w:div w:id="1337883076">
          <w:marLeft w:val="0"/>
          <w:marRight w:val="0"/>
          <w:marTop w:val="0"/>
          <w:marBottom w:val="0"/>
          <w:divBdr>
            <w:top w:val="none" w:sz="0" w:space="0" w:color="auto"/>
            <w:left w:val="none" w:sz="0" w:space="0" w:color="auto"/>
            <w:bottom w:val="none" w:sz="0" w:space="0" w:color="auto"/>
            <w:right w:val="none" w:sz="0" w:space="0" w:color="auto"/>
          </w:divBdr>
        </w:div>
        <w:div w:id="1385252056">
          <w:marLeft w:val="0"/>
          <w:marRight w:val="0"/>
          <w:marTop w:val="0"/>
          <w:marBottom w:val="0"/>
          <w:divBdr>
            <w:top w:val="none" w:sz="0" w:space="0" w:color="auto"/>
            <w:left w:val="none" w:sz="0" w:space="0" w:color="auto"/>
            <w:bottom w:val="none" w:sz="0" w:space="0" w:color="auto"/>
            <w:right w:val="none" w:sz="0" w:space="0" w:color="auto"/>
          </w:divBdr>
        </w:div>
        <w:div w:id="1344866248">
          <w:marLeft w:val="0"/>
          <w:marRight w:val="0"/>
          <w:marTop w:val="0"/>
          <w:marBottom w:val="0"/>
          <w:divBdr>
            <w:top w:val="none" w:sz="0" w:space="0" w:color="auto"/>
            <w:left w:val="none" w:sz="0" w:space="0" w:color="auto"/>
            <w:bottom w:val="none" w:sz="0" w:space="0" w:color="auto"/>
            <w:right w:val="none" w:sz="0" w:space="0" w:color="auto"/>
          </w:divBdr>
        </w:div>
        <w:div w:id="157734">
          <w:marLeft w:val="0"/>
          <w:marRight w:val="0"/>
          <w:marTop w:val="0"/>
          <w:marBottom w:val="0"/>
          <w:divBdr>
            <w:top w:val="none" w:sz="0" w:space="0" w:color="auto"/>
            <w:left w:val="none" w:sz="0" w:space="0" w:color="auto"/>
            <w:bottom w:val="none" w:sz="0" w:space="0" w:color="auto"/>
            <w:right w:val="none" w:sz="0" w:space="0" w:color="auto"/>
          </w:divBdr>
        </w:div>
        <w:div w:id="196937725">
          <w:marLeft w:val="0"/>
          <w:marRight w:val="0"/>
          <w:marTop w:val="0"/>
          <w:marBottom w:val="0"/>
          <w:divBdr>
            <w:top w:val="none" w:sz="0" w:space="0" w:color="auto"/>
            <w:left w:val="none" w:sz="0" w:space="0" w:color="auto"/>
            <w:bottom w:val="none" w:sz="0" w:space="0" w:color="auto"/>
            <w:right w:val="none" w:sz="0" w:space="0" w:color="auto"/>
          </w:divBdr>
        </w:div>
        <w:div w:id="2057316426">
          <w:marLeft w:val="0"/>
          <w:marRight w:val="0"/>
          <w:marTop w:val="0"/>
          <w:marBottom w:val="0"/>
          <w:divBdr>
            <w:top w:val="none" w:sz="0" w:space="0" w:color="auto"/>
            <w:left w:val="none" w:sz="0" w:space="0" w:color="auto"/>
            <w:bottom w:val="none" w:sz="0" w:space="0" w:color="auto"/>
            <w:right w:val="none" w:sz="0" w:space="0" w:color="auto"/>
          </w:divBdr>
        </w:div>
      </w:divsChild>
    </w:div>
    <w:div w:id="835919060">
      <w:bodyDiv w:val="1"/>
      <w:marLeft w:val="0"/>
      <w:marRight w:val="0"/>
      <w:marTop w:val="0"/>
      <w:marBottom w:val="0"/>
      <w:divBdr>
        <w:top w:val="none" w:sz="0" w:space="0" w:color="auto"/>
        <w:left w:val="none" w:sz="0" w:space="0" w:color="auto"/>
        <w:bottom w:val="none" w:sz="0" w:space="0" w:color="auto"/>
        <w:right w:val="none" w:sz="0" w:space="0" w:color="auto"/>
      </w:divBdr>
      <w:divsChild>
        <w:div w:id="455878690">
          <w:marLeft w:val="0"/>
          <w:marRight w:val="0"/>
          <w:marTop w:val="0"/>
          <w:marBottom w:val="0"/>
          <w:divBdr>
            <w:top w:val="none" w:sz="0" w:space="0" w:color="auto"/>
            <w:left w:val="none" w:sz="0" w:space="0" w:color="auto"/>
            <w:bottom w:val="none" w:sz="0" w:space="0" w:color="auto"/>
            <w:right w:val="none" w:sz="0" w:space="0" w:color="auto"/>
          </w:divBdr>
        </w:div>
        <w:div w:id="1901597735">
          <w:marLeft w:val="0"/>
          <w:marRight w:val="0"/>
          <w:marTop w:val="0"/>
          <w:marBottom w:val="0"/>
          <w:divBdr>
            <w:top w:val="none" w:sz="0" w:space="0" w:color="auto"/>
            <w:left w:val="none" w:sz="0" w:space="0" w:color="auto"/>
            <w:bottom w:val="none" w:sz="0" w:space="0" w:color="auto"/>
            <w:right w:val="none" w:sz="0" w:space="0" w:color="auto"/>
          </w:divBdr>
        </w:div>
        <w:div w:id="1870530098">
          <w:marLeft w:val="0"/>
          <w:marRight w:val="0"/>
          <w:marTop w:val="0"/>
          <w:marBottom w:val="0"/>
          <w:divBdr>
            <w:top w:val="none" w:sz="0" w:space="0" w:color="auto"/>
            <w:left w:val="none" w:sz="0" w:space="0" w:color="auto"/>
            <w:bottom w:val="none" w:sz="0" w:space="0" w:color="auto"/>
            <w:right w:val="none" w:sz="0" w:space="0" w:color="auto"/>
          </w:divBdr>
        </w:div>
        <w:div w:id="594244307">
          <w:marLeft w:val="0"/>
          <w:marRight w:val="0"/>
          <w:marTop w:val="0"/>
          <w:marBottom w:val="0"/>
          <w:divBdr>
            <w:top w:val="none" w:sz="0" w:space="0" w:color="auto"/>
            <w:left w:val="none" w:sz="0" w:space="0" w:color="auto"/>
            <w:bottom w:val="none" w:sz="0" w:space="0" w:color="auto"/>
            <w:right w:val="none" w:sz="0" w:space="0" w:color="auto"/>
          </w:divBdr>
        </w:div>
        <w:div w:id="1743985092">
          <w:marLeft w:val="0"/>
          <w:marRight w:val="0"/>
          <w:marTop w:val="0"/>
          <w:marBottom w:val="0"/>
          <w:divBdr>
            <w:top w:val="none" w:sz="0" w:space="0" w:color="auto"/>
            <w:left w:val="none" w:sz="0" w:space="0" w:color="auto"/>
            <w:bottom w:val="none" w:sz="0" w:space="0" w:color="auto"/>
            <w:right w:val="none" w:sz="0" w:space="0" w:color="auto"/>
          </w:divBdr>
        </w:div>
        <w:div w:id="1577662769">
          <w:marLeft w:val="0"/>
          <w:marRight w:val="0"/>
          <w:marTop w:val="0"/>
          <w:marBottom w:val="0"/>
          <w:divBdr>
            <w:top w:val="none" w:sz="0" w:space="0" w:color="auto"/>
            <w:left w:val="none" w:sz="0" w:space="0" w:color="auto"/>
            <w:bottom w:val="none" w:sz="0" w:space="0" w:color="auto"/>
            <w:right w:val="none" w:sz="0" w:space="0" w:color="auto"/>
          </w:divBdr>
        </w:div>
        <w:div w:id="1924759318">
          <w:marLeft w:val="0"/>
          <w:marRight w:val="0"/>
          <w:marTop w:val="0"/>
          <w:marBottom w:val="0"/>
          <w:divBdr>
            <w:top w:val="none" w:sz="0" w:space="0" w:color="auto"/>
            <w:left w:val="none" w:sz="0" w:space="0" w:color="auto"/>
            <w:bottom w:val="none" w:sz="0" w:space="0" w:color="auto"/>
            <w:right w:val="none" w:sz="0" w:space="0" w:color="auto"/>
          </w:divBdr>
        </w:div>
        <w:div w:id="1621452743">
          <w:marLeft w:val="0"/>
          <w:marRight w:val="0"/>
          <w:marTop w:val="0"/>
          <w:marBottom w:val="0"/>
          <w:divBdr>
            <w:top w:val="none" w:sz="0" w:space="0" w:color="auto"/>
            <w:left w:val="none" w:sz="0" w:space="0" w:color="auto"/>
            <w:bottom w:val="none" w:sz="0" w:space="0" w:color="auto"/>
            <w:right w:val="none" w:sz="0" w:space="0" w:color="auto"/>
          </w:divBdr>
        </w:div>
        <w:div w:id="775489591">
          <w:marLeft w:val="0"/>
          <w:marRight w:val="0"/>
          <w:marTop w:val="0"/>
          <w:marBottom w:val="0"/>
          <w:divBdr>
            <w:top w:val="none" w:sz="0" w:space="0" w:color="auto"/>
            <w:left w:val="none" w:sz="0" w:space="0" w:color="auto"/>
            <w:bottom w:val="none" w:sz="0" w:space="0" w:color="auto"/>
            <w:right w:val="none" w:sz="0" w:space="0" w:color="auto"/>
          </w:divBdr>
        </w:div>
        <w:div w:id="1180389858">
          <w:marLeft w:val="0"/>
          <w:marRight w:val="0"/>
          <w:marTop w:val="0"/>
          <w:marBottom w:val="0"/>
          <w:divBdr>
            <w:top w:val="none" w:sz="0" w:space="0" w:color="auto"/>
            <w:left w:val="none" w:sz="0" w:space="0" w:color="auto"/>
            <w:bottom w:val="none" w:sz="0" w:space="0" w:color="auto"/>
            <w:right w:val="none" w:sz="0" w:space="0" w:color="auto"/>
          </w:divBdr>
        </w:div>
        <w:div w:id="1326007392">
          <w:marLeft w:val="0"/>
          <w:marRight w:val="0"/>
          <w:marTop w:val="0"/>
          <w:marBottom w:val="0"/>
          <w:divBdr>
            <w:top w:val="none" w:sz="0" w:space="0" w:color="auto"/>
            <w:left w:val="none" w:sz="0" w:space="0" w:color="auto"/>
            <w:bottom w:val="none" w:sz="0" w:space="0" w:color="auto"/>
            <w:right w:val="none" w:sz="0" w:space="0" w:color="auto"/>
          </w:divBdr>
        </w:div>
        <w:div w:id="1078014263">
          <w:marLeft w:val="0"/>
          <w:marRight w:val="0"/>
          <w:marTop w:val="0"/>
          <w:marBottom w:val="0"/>
          <w:divBdr>
            <w:top w:val="none" w:sz="0" w:space="0" w:color="auto"/>
            <w:left w:val="none" w:sz="0" w:space="0" w:color="auto"/>
            <w:bottom w:val="none" w:sz="0" w:space="0" w:color="auto"/>
            <w:right w:val="none" w:sz="0" w:space="0" w:color="auto"/>
          </w:divBdr>
        </w:div>
      </w:divsChild>
    </w:div>
    <w:div w:id="926109565">
      <w:bodyDiv w:val="1"/>
      <w:marLeft w:val="0"/>
      <w:marRight w:val="0"/>
      <w:marTop w:val="0"/>
      <w:marBottom w:val="0"/>
      <w:divBdr>
        <w:top w:val="none" w:sz="0" w:space="0" w:color="auto"/>
        <w:left w:val="none" w:sz="0" w:space="0" w:color="auto"/>
        <w:bottom w:val="none" w:sz="0" w:space="0" w:color="auto"/>
        <w:right w:val="none" w:sz="0" w:space="0" w:color="auto"/>
      </w:divBdr>
    </w:div>
    <w:div w:id="131387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uwlax.edu/grants/responsible-conduct-of-research-for-federal-agencies/" TargetMode="External"/><Relationship Id="rId21" Type="http://schemas.openxmlformats.org/officeDocument/2006/relationships/hyperlink" Target="https://www.cdc.gov/labs/bmbl/" TargetMode="External"/><Relationship Id="rId42" Type="http://schemas.openxmlformats.org/officeDocument/2006/relationships/hyperlink" Target="https://www.uwlax.edu/grants/ibc-noncompliance-policy/" TargetMode="External"/><Relationship Id="rId63" Type="http://schemas.openxmlformats.org/officeDocument/2006/relationships/hyperlink" Target="https://www.aphis.usda.gov/aphis/ourfocus/importexport/organism-vectors" TargetMode="External"/><Relationship Id="rId84" Type="http://schemas.openxmlformats.org/officeDocument/2006/relationships/hyperlink" Target="https://www.uwlax.edu/globalassets/offices-services/ehs/appendix-g.pdf" TargetMode="External"/><Relationship Id="rId138" Type="http://schemas.openxmlformats.org/officeDocument/2006/relationships/hyperlink" Target="https://www.utikad.org.tr/images/Mevzuat/icaotechnicalinstructionsforthesafetransportofdangerousgoodsbyair-9608.pdf" TargetMode="External"/><Relationship Id="rId159" Type="http://schemas.openxmlformats.org/officeDocument/2006/relationships/hyperlink" Target="https://osp.od.nih.gov/policies/biosafety-and-biosecurity-policy/faqs-on-institutional-biosafety-committee-ibc-administration-may-2019/" TargetMode="External"/><Relationship Id="rId170" Type="http://schemas.openxmlformats.org/officeDocument/2006/relationships/hyperlink" Target="https://osp.od.nih.gov/wp-content/uploads/2019_NIH_Guidelines.htm" TargetMode="External"/><Relationship Id="rId107" Type="http://schemas.openxmlformats.org/officeDocument/2006/relationships/hyperlink" Target="https://www.uwlax.edu/globalassets/offices-services/ehs/part-e.pdf" TargetMode="External"/><Relationship Id="rId11" Type="http://schemas.openxmlformats.org/officeDocument/2006/relationships/image" Target="media/image1.png"/><Relationship Id="rId32" Type="http://schemas.openxmlformats.org/officeDocument/2006/relationships/hyperlink" Target="https://osp.od.nih.gov/wp-content/uploads/NIH_Guidelines.htm" TargetMode="External"/><Relationship Id="rId53" Type="http://schemas.openxmlformats.org/officeDocument/2006/relationships/hyperlink" Target="https://www.uwlax.edu/ehs/" TargetMode="External"/><Relationship Id="rId74" Type="http://schemas.openxmlformats.org/officeDocument/2006/relationships/hyperlink" Target="https://www.cdc.gov/labs/BMBL.html" TargetMode="External"/><Relationship Id="rId128" Type="http://schemas.openxmlformats.org/officeDocument/2006/relationships/hyperlink" Target="https://www.whitehouse.gov/wp-content/uploads/2024/05/USG-DURC-PEPP-Implementation-Guidance.pdf" TargetMode="External"/><Relationship Id="rId149" Type="http://schemas.openxmlformats.org/officeDocument/2006/relationships/hyperlink" Target="https://www.uwlax.edu/globalassets/offices-services/ehs/personal-protective-equipment-policy-june-2021.pdf" TargetMode="External"/><Relationship Id="rId5" Type="http://schemas.openxmlformats.org/officeDocument/2006/relationships/numbering" Target="numbering.xml"/><Relationship Id="rId95" Type="http://schemas.openxmlformats.org/officeDocument/2006/relationships/footer" Target="footer1.xml"/><Relationship Id="rId160" Type="http://schemas.openxmlformats.org/officeDocument/2006/relationships/hyperlink" Target="https://osp.od.nih.gov/wp-content/uploads/2019_NIH_Guidelines.htm" TargetMode="External"/><Relationship Id="rId181" Type="http://schemas.openxmlformats.org/officeDocument/2006/relationships/hyperlink" Target="https://www.whitehouse.gov/wp-content/uploads/2024/05/USG-Policy-for-Oversight-of-DURC-and-PEPP.pdf" TargetMode="External"/><Relationship Id="rId22" Type="http://schemas.openxmlformats.org/officeDocument/2006/relationships/hyperlink" Target="https://osp.od.nih.gov/wp-content/uploads/NIH_Guidelines.htm" TargetMode="External"/><Relationship Id="rId43" Type="http://schemas.openxmlformats.org/officeDocument/2006/relationships/hyperlink" Target="https://uwlax.ca1.qualtrics.com/jfe/form/SV_9GYOagLmLkaY9Se" TargetMode="External"/><Relationship Id="rId64" Type="http://schemas.openxmlformats.org/officeDocument/2006/relationships/hyperlink" Target="https://www.osha.gov/laws-regs/regulations/standardnumber/1910/1910.1030" TargetMode="External"/><Relationship Id="rId118" Type="http://schemas.openxmlformats.org/officeDocument/2006/relationships/hyperlink" Target="https://www.uwlax.edu/globalassets/offices-services/ehs/appendix-e.pdf" TargetMode="External"/><Relationship Id="rId139" Type="http://schemas.openxmlformats.org/officeDocument/2006/relationships/hyperlink" Target="https://www.iata.org/en/programs/cargo/dgr/" TargetMode="External"/><Relationship Id="rId85" Type="http://schemas.openxmlformats.org/officeDocument/2006/relationships/hyperlink" Target="https://www.uwlax.edu/globalassets/offices-services/ehs/bbp-written-program-jan-2023.pdf" TargetMode="External"/><Relationship Id="rId150" Type="http://schemas.openxmlformats.org/officeDocument/2006/relationships/hyperlink" Target="https://www.uwlax.edu/globalassets/offices-services/ehs/respiratory-protection-program-policy-june-2021.pdf" TargetMode="External"/><Relationship Id="rId171" Type="http://schemas.openxmlformats.org/officeDocument/2006/relationships/hyperlink" Target="https://www.cdc.gov/labs/BMBL.html" TargetMode="External"/><Relationship Id="rId12" Type="http://schemas.openxmlformats.org/officeDocument/2006/relationships/image" Target="media/image2.png"/><Relationship Id="rId33" Type="http://schemas.openxmlformats.org/officeDocument/2006/relationships/hyperlink" Target="https://osp.od.nih.gov/wp-content/uploads/NIH_Guidelines.htm" TargetMode="External"/><Relationship Id="rId108" Type="http://schemas.openxmlformats.org/officeDocument/2006/relationships/hyperlink" Target="https://www.uwlax.edu/police/emergency-management/emergency-response-plan/" TargetMode="External"/><Relationship Id="rId129" Type="http://schemas.openxmlformats.org/officeDocument/2006/relationships/hyperlink" Target="https://www.whitehouse.gov/wp-content/uploads/2024/05/USG-DURC-PEPP-Implementation-Guidance.pdf" TargetMode="External"/><Relationship Id="rId54" Type="http://schemas.openxmlformats.org/officeDocument/2006/relationships/hyperlink" Target="https://www.uwlax.edu/iacuc/training/" TargetMode="External"/><Relationship Id="rId75" Type="http://schemas.openxmlformats.org/officeDocument/2006/relationships/hyperlink" Target="https://grants.nih.gov/grants/olaw/Guide-for-the-Care-and-use-of-laboratory-animals.pdf" TargetMode="External"/><Relationship Id="rId96" Type="http://schemas.openxmlformats.org/officeDocument/2006/relationships/footer" Target="footer2.xml"/><Relationship Id="rId140" Type="http://schemas.openxmlformats.org/officeDocument/2006/relationships/hyperlink" Target="https://www.aphis.usda.gov/aphis/ourfocus/importexport/organism-vectors" TargetMode="External"/><Relationship Id="rId161" Type="http://schemas.openxmlformats.org/officeDocument/2006/relationships/hyperlink" Target="https://ntp.niehs.nih.gov/whatwestudy/assessments/cancer/roc/index.html" TargetMode="External"/><Relationship Id="rId182" Type="http://schemas.openxmlformats.org/officeDocument/2006/relationships/hyperlink" Target="https://www.whitehouse.gov/wp-content/uploads/2024/05/USG-DURC-PEPP-Implementation-Guidance.pdf" TargetMode="External"/><Relationship Id="rId6" Type="http://schemas.openxmlformats.org/officeDocument/2006/relationships/styles" Target="styles.xml"/><Relationship Id="rId23" Type="http://schemas.openxmlformats.org/officeDocument/2006/relationships/hyperlink" Target="https://uwlax.sharepoint.com/:w:/s/ResearchandSponsoredPrograms/IBC/EazvB2CAd61BoK_3s5KhQnMBS_qidzBZE_XHceK2yt5Rhg?e=ytpBNB" TargetMode="External"/><Relationship Id="rId119" Type="http://schemas.openxmlformats.org/officeDocument/2006/relationships/hyperlink" Target="https://www.uwlax.edu/globalassets/offices-services/ehs/appendix-g.pdf" TargetMode="External"/><Relationship Id="rId44" Type="http://schemas.openxmlformats.org/officeDocument/2006/relationships/hyperlink" Target="https://uwlax.sharepoint.com/:w:/s/ResearchandSponsoredPrograms/IBC/EazvB2CAd61BoK_3s5KhQnMBS_qidzBZE_XHceK2yt5Rhg?e=ytpBNB" TargetMode="External"/><Relationship Id="rId65" Type="http://schemas.openxmlformats.org/officeDocument/2006/relationships/hyperlink" Target="https://osp.od.nih.gov/wp-content/uploads/2019_NIH_Guidelines.htm" TargetMode="External"/><Relationship Id="rId86" Type="http://schemas.openxmlformats.org/officeDocument/2006/relationships/hyperlink" Target="https://www.uwlax.edu/globalassets/offices-services/ehs/bbp-written-program-jan-2023.pdf" TargetMode="External"/><Relationship Id="rId130" Type="http://schemas.openxmlformats.org/officeDocument/2006/relationships/hyperlink" Target="http://www.selectagents.gov" TargetMode="External"/><Relationship Id="rId151" Type="http://schemas.openxmlformats.org/officeDocument/2006/relationships/hyperlink" Target="https://www.ncbi.nlm.nih.gov/pmc/articles/PMC6396570/" TargetMode="External"/><Relationship Id="rId172" Type="http://schemas.openxmlformats.org/officeDocument/2006/relationships/hyperlink" Target="https://www.cdc.gov/labs/BMBL.html" TargetMode="External"/><Relationship Id="rId13" Type="http://schemas.openxmlformats.org/officeDocument/2006/relationships/hyperlink" Target="https://osp.od.nih.gov/wp-content/uploads/NIH_Guidelines.htm" TargetMode="External"/><Relationship Id="rId18" Type="http://schemas.openxmlformats.org/officeDocument/2006/relationships/hyperlink" Target="https://www.uwlax.edu/grants/human-subjects-review-institutional-review-board-irb/" TargetMode="External"/><Relationship Id="rId39" Type="http://schemas.openxmlformats.org/officeDocument/2006/relationships/hyperlink" Target="https://osp.od.nih.gov/wp-content/uploads/NIH_Guidelines.htm" TargetMode="External"/><Relationship Id="rId109" Type="http://schemas.openxmlformats.org/officeDocument/2006/relationships/hyperlink" Target="https://www.uwlax.edu/police/emergency-management/emergency-response-plan/" TargetMode="External"/><Relationship Id="rId34" Type="http://schemas.openxmlformats.org/officeDocument/2006/relationships/hyperlink" Target="https://osp.od.nih.gov/wp-content/uploads/NIH_Guidelines.htm" TargetMode="External"/><Relationship Id="rId50" Type="http://schemas.openxmlformats.org/officeDocument/2006/relationships/hyperlink" Target="https://www.citiprogram.org/" TargetMode="External"/><Relationship Id="rId55" Type="http://schemas.openxmlformats.org/officeDocument/2006/relationships/hyperlink" Target="https://uwlax.sharepoint.com/:w:/s/ResearchandSponsoredPrograms/IBC/EazvB2CAd61BoK_3s5KhQnMBS_qidzBZE_XHceK2yt5Rhg?e=ytpBNB" TargetMode="External"/><Relationship Id="rId76" Type="http://schemas.openxmlformats.org/officeDocument/2006/relationships/hyperlink" Target="https://naldc.nal.usda.gov/download/5969370/PDF" TargetMode="External"/><Relationship Id="rId97" Type="http://schemas.openxmlformats.org/officeDocument/2006/relationships/header" Target="header3.xml"/><Relationship Id="rId104" Type="http://schemas.openxmlformats.org/officeDocument/2006/relationships/hyperlink" Target="https://osp.od.nih.gov/wp-content/uploads/2019_NIH_Guidelines.htm" TargetMode="External"/><Relationship Id="rId120" Type="http://schemas.openxmlformats.org/officeDocument/2006/relationships/hyperlink" Target="https://www.cdc.gov/safelabs/resources-tools/bio-risk-assessment.html" TargetMode="External"/><Relationship Id="rId125" Type="http://schemas.openxmlformats.org/officeDocument/2006/relationships/hyperlink" Target="https://www.whitehouse.gov/wp-content/uploads/2024/05/USG-DURC-PEPP-Implementation-Guidance.pdf" TargetMode="External"/><Relationship Id="rId141" Type="http://schemas.openxmlformats.org/officeDocument/2006/relationships/hyperlink" Target="https://www.uwlax.edu/grants/institutional-bio-safety-committee/" TargetMode="External"/><Relationship Id="rId146" Type="http://schemas.openxmlformats.org/officeDocument/2006/relationships/hyperlink" Target="https://www.uwlax.edu/police/emergency-management/emergency-response-plan/" TargetMode="External"/><Relationship Id="rId167" Type="http://schemas.openxmlformats.org/officeDocument/2006/relationships/hyperlink" Target="https://www.cdc.gov/labs/pdf/SF__19_308133-A_BMBL6_00-BOOK-WEB-final-3.pdf" TargetMode="External"/><Relationship Id="rId188" Type="http://schemas.openxmlformats.org/officeDocument/2006/relationships/hyperlink" Target="https://www.selectagents.gov/sat/list.htm" TargetMode="External"/><Relationship Id="rId7" Type="http://schemas.openxmlformats.org/officeDocument/2006/relationships/settings" Target="settings.xml"/><Relationship Id="rId71" Type="http://schemas.openxmlformats.org/officeDocument/2006/relationships/hyperlink" Target="https://www.cdc.gov/labs/BMBL.html" TargetMode="External"/><Relationship Id="rId92" Type="http://schemas.openxmlformats.org/officeDocument/2006/relationships/hyperlink" Target="https://osp.od.nih.gov/wp-content/uploads/NIH_Guidelines.htm" TargetMode="External"/><Relationship Id="rId162" Type="http://schemas.openxmlformats.org/officeDocument/2006/relationships/hyperlink" Target="https://vtechworks.lib.vt.edu/handle/10919/78423" TargetMode="External"/><Relationship Id="rId183" Type="http://schemas.openxmlformats.org/officeDocument/2006/relationships/hyperlink" Target="https://osp.od.nih.gov/wp-content/uploads/NIH_Guidelines.htm" TargetMode="External"/><Relationship Id="rId2" Type="http://schemas.openxmlformats.org/officeDocument/2006/relationships/customXml" Target="../customXml/item2.xml"/><Relationship Id="rId29" Type="http://schemas.openxmlformats.org/officeDocument/2006/relationships/hyperlink" Target="https://uwlax.sharepoint.com/:w:/s/ResearchandSponsoredPrograms/IBC/EazvB2CAd61BoK_3s5KhQnMBS_qidzBZE_XHceK2yt5Rhg?e=ytpBNB" TargetMode="External"/><Relationship Id="rId24" Type="http://schemas.openxmlformats.org/officeDocument/2006/relationships/hyperlink" Target="https://osp.od.nih.gov/wp-content/uploads/NIH_Guidelines.htm" TargetMode="External"/><Relationship Id="rId40" Type="http://schemas.openxmlformats.org/officeDocument/2006/relationships/hyperlink" Target="https://www.cdc.gov/labs/BMBL.html" TargetMode="External"/><Relationship Id="rId45" Type="http://schemas.openxmlformats.org/officeDocument/2006/relationships/hyperlink" Target="https://www.uwlax.edu/workarea/CMS/Content/globalassets/offices-services/grants/ibc/ibc-biosafety-protocol-application-form.docx" TargetMode="External"/><Relationship Id="rId66" Type="http://schemas.openxmlformats.org/officeDocument/2006/relationships/hyperlink" Target="https://www.cdc.gov/safelabs/resources-tools/bio-risk-assessment.html" TargetMode="External"/><Relationship Id="rId87" Type="http://schemas.openxmlformats.org/officeDocument/2006/relationships/hyperlink" Target="https://www.selectagents.gov/sat/list.htm" TargetMode="External"/><Relationship Id="rId110" Type="http://schemas.openxmlformats.org/officeDocument/2006/relationships/hyperlink" Target="https://www.uwlax.edu/police/emergency-management/emergency-response-plan/" TargetMode="External"/><Relationship Id="rId115" Type="http://schemas.openxmlformats.org/officeDocument/2006/relationships/hyperlink" Target="https://www.uwlax.edu/police/emergency-management/emergency-response-plan/" TargetMode="External"/><Relationship Id="rId131" Type="http://schemas.openxmlformats.org/officeDocument/2006/relationships/hyperlink" Target="https://osp.od.nih.gov/wp-content/uploads/NIH_Guidelines.htm" TargetMode="External"/><Relationship Id="rId136" Type="http://schemas.openxmlformats.org/officeDocument/2006/relationships/hyperlink" Target="https://kb.uwlax.edu/123473" TargetMode="External"/><Relationship Id="rId157" Type="http://schemas.openxmlformats.org/officeDocument/2006/relationships/hyperlink" Target="https://www.osha.gov/laws-regs/regulations/standardnumber/1910/1910.1450AppA" TargetMode="External"/><Relationship Id="rId178" Type="http://schemas.openxmlformats.org/officeDocument/2006/relationships/hyperlink" Target="https://www.osha.gov/biological-agents" TargetMode="External"/><Relationship Id="rId61" Type="http://schemas.openxmlformats.org/officeDocument/2006/relationships/hyperlink" Target="https://www.utikad.org.tr/images/Mevzuat/icaotechnicalinstructionsforthesafetransportofdangerousgoodsbyair-9608.pdf" TargetMode="External"/><Relationship Id="rId82" Type="http://schemas.openxmlformats.org/officeDocument/2006/relationships/hyperlink" Target="https://osp.od.nih.gov/wp-content/uploads/2019_NIH_Guidelines.htm" TargetMode="External"/><Relationship Id="rId152" Type="http://schemas.openxmlformats.org/officeDocument/2006/relationships/hyperlink" Target="https://www.osha.gov/biological-agents" TargetMode="External"/><Relationship Id="rId173" Type="http://schemas.openxmlformats.org/officeDocument/2006/relationships/hyperlink" Target="https://www.selectagents.gov/sat/list.htm" TargetMode="External"/><Relationship Id="rId19" Type="http://schemas.openxmlformats.org/officeDocument/2006/relationships/hyperlink" Target="https://www.uwlax.edu/grants/institutional-bio-safety-committee/" TargetMode="External"/><Relationship Id="rId14" Type="http://schemas.openxmlformats.org/officeDocument/2006/relationships/hyperlink" Target="https://www.cdc.gov/labs/bmbl/" TargetMode="External"/><Relationship Id="rId30" Type="http://schemas.openxmlformats.org/officeDocument/2006/relationships/hyperlink" Target="https://osp.od.nih.gov/wp-content/uploads/NIH_Guidelines.htm" TargetMode="External"/><Relationship Id="rId35" Type="http://schemas.openxmlformats.org/officeDocument/2006/relationships/hyperlink" Target="https://www.uwlax.edu/ehs/policies-and-procedures/" TargetMode="External"/><Relationship Id="rId56" Type="http://schemas.openxmlformats.org/officeDocument/2006/relationships/hyperlink" Target="https://osp.od.nih.gov/wp-content/uploads/2019_NIH_Guidelines.htm" TargetMode="External"/><Relationship Id="rId77" Type="http://schemas.openxmlformats.org/officeDocument/2006/relationships/hyperlink" Target="https://nap.nationalacademies.org/catalog/4988/occupational-health-and-safety-in-the-care-and-use-of-research-animals" TargetMode="External"/><Relationship Id="rId100" Type="http://schemas.openxmlformats.org/officeDocument/2006/relationships/hyperlink" Target="https://www.uwlax.edu/ehs/policies-and-procedures/" TargetMode="External"/><Relationship Id="rId105" Type="http://schemas.openxmlformats.org/officeDocument/2006/relationships/hyperlink" Target="https://www.uwlax.edu/globalassets/offices-services/ehs/part-h.pdf" TargetMode="External"/><Relationship Id="rId126" Type="http://schemas.openxmlformats.org/officeDocument/2006/relationships/hyperlink" Target="https://www.whitehouse.gov/wp-content/uploads/2024/05/USG-DURC-PEPP-Implementation-Guidance.pdf" TargetMode="External"/><Relationship Id="rId147" Type="http://schemas.openxmlformats.org/officeDocument/2006/relationships/hyperlink" Target="https://www.uwlax.edu/globalassets/offices-services/ehs/electrical-safety-policy-june-2021.pdf" TargetMode="External"/><Relationship Id="rId168" Type="http://schemas.openxmlformats.org/officeDocument/2006/relationships/hyperlink" Target="http://www.selectagents.gov" TargetMode="External"/><Relationship Id="rId8" Type="http://schemas.openxmlformats.org/officeDocument/2006/relationships/webSettings" Target="webSettings.xml"/><Relationship Id="rId51" Type="http://schemas.openxmlformats.org/officeDocument/2006/relationships/hyperlink" Target="https://www.uwlax.edu/globalassets/offices-services/ehs/appendix-g.pdf" TargetMode="External"/><Relationship Id="rId72" Type="http://schemas.openxmlformats.org/officeDocument/2006/relationships/hyperlink" Target="https://my.absa.org/Riskgroups" TargetMode="External"/><Relationship Id="rId93" Type="http://schemas.openxmlformats.org/officeDocument/2006/relationships/header" Target="header1.xml"/><Relationship Id="rId98" Type="http://schemas.openxmlformats.org/officeDocument/2006/relationships/footer" Target="footer3.xml"/><Relationship Id="rId121" Type="http://schemas.openxmlformats.org/officeDocument/2006/relationships/hyperlink" Target="https://www.cdc.gov/salmonella/pdf/cdc_lai_prevention_poster_012313_508.pdf" TargetMode="External"/><Relationship Id="rId142" Type="http://schemas.openxmlformats.org/officeDocument/2006/relationships/hyperlink" Target="https://www.uwlax.edu/ehs/policies-and-procedures/" TargetMode="External"/><Relationship Id="rId163" Type="http://schemas.openxmlformats.org/officeDocument/2006/relationships/hyperlink" Target="https://my.absa.org/Riskgroups" TargetMode="External"/><Relationship Id="rId184" Type="http://schemas.openxmlformats.org/officeDocument/2006/relationships/hyperlink" Target="https://www.whitehouse.gov/wp-content/uploads/2024/05/USG-Policy-for-Oversight-of-DURC-and-PEPP.pdf" TargetMode="External"/><Relationship Id="rId189" Type="http://schemas.openxmlformats.org/officeDocument/2006/relationships/fontTable" Target="fontTable.xml"/><Relationship Id="rId3" Type="http://schemas.openxmlformats.org/officeDocument/2006/relationships/customXml" Target="../customXml/item3.xml"/><Relationship Id="rId25" Type="http://schemas.openxmlformats.org/officeDocument/2006/relationships/hyperlink" Target="https://uwlax.sharepoint.com/:w:/s/ResearchandSponsoredPrograms/IBC/EazvB2CAd61BoK_3s5KhQnMBS_qidzBZE_XHceK2yt5Rhg?e=ytpBNB" TargetMode="External"/><Relationship Id="rId46" Type="http://schemas.openxmlformats.org/officeDocument/2006/relationships/hyperlink" Target="mailto:grants@uwlax.edu" TargetMode="External"/><Relationship Id="rId67" Type="http://schemas.openxmlformats.org/officeDocument/2006/relationships/hyperlink" Target="https://osp.od.nih.gov/wp-content/uploads/2019_NIH_Guidelines.htm" TargetMode="External"/><Relationship Id="rId116" Type="http://schemas.openxmlformats.org/officeDocument/2006/relationships/hyperlink" Target="https://www.uwlax.edu/globalassets/offices-services/ehs/hazard-communication-policy---may-2021.pdf" TargetMode="External"/><Relationship Id="rId137" Type="http://schemas.openxmlformats.org/officeDocument/2006/relationships/hyperlink" Target="https://www.ecfr.gov/current/title-49/subtitle-B/chapter-I/subchapter-C" TargetMode="External"/><Relationship Id="rId158" Type="http://schemas.openxmlformats.org/officeDocument/2006/relationships/hyperlink" Target="https://osp.od.nih.gov/wp-content/uploads/IBC-Self-Assessment-Tool-2021.docx" TargetMode="External"/><Relationship Id="rId20" Type="http://schemas.openxmlformats.org/officeDocument/2006/relationships/hyperlink" Target="https://osp.od.nih.gov/wp-content/uploads/NIH_Guidelines.htm" TargetMode="External"/><Relationship Id="rId41" Type="http://schemas.openxmlformats.org/officeDocument/2006/relationships/hyperlink" Target="https://www.uwlax.edu/ehs/" TargetMode="External"/><Relationship Id="rId62" Type="http://schemas.openxmlformats.org/officeDocument/2006/relationships/hyperlink" Target="https://www.iata.org/en/programs/cargo/dgr/" TargetMode="External"/><Relationship Id="rId83" Type="http://schemas.openxmlformats.org/officeDocument/2006/relationships/hyperlink" Target="https://www.uwlax.edu/ehs" TargetMode="External"/><Relationship Id="rId88" Type="http://schemas.openxmlformats.org/officeDocument/2006/relationships/hyperlink" Target="https://www.selectagents.gov/sat/permissible.htm" TargetMode="External"/><Relationship Id="rId111" Type="http://schemas.openxmlformats.org/officeDocument/2006/relationships/hyperlink" Target="https://www.uwlax.edu/police/emergency-management/emergency-response-plan/" TargetMode="External"/><Relationship Id="rId132" Type="http://schemas.openxmlformats.org/officeDocument/2006/relationships/hyperlink" Target="https://www.cdc.gov/labs/bmbl/" TargetMode="External"/><Relationship Id="rId153" Type="http://schemas.openxmlformats.org/officeDocument/2006/relationships/hyperlink" Target="https://www.cdc.gov/labs/BMBL.html" TargetMode="External"/><Relationship Id="rId174" Type="http://schemas.openxmlformats.org/officeDocument/2006/relationships/hyperlink" Target="https://osp.od.nih.gov/wp-content/uploads/NIH_Guidelines.htm" TargetMode="External"/><Relationship Id="rId179" Type="http://schemas.openxmlformats.org/officeDocument/2006/relationships/hyperlink" Target="https://www.selectagents.gov/sat/list.htm" TargetMode="External"/><Relationship Id="rId190" Type="http://schemas.openxmlformats.org/officeDocument/2006/relationships/theme" Target="theme/theme1.xml"/><Relationship Id="rId15" Type="http://schemas.openxmlformats.org/officeDocument/2006/relationships/hyperlink" Target="https://uwlax.sharepoint.com/:w:/s/ResearchandSponsoredPrograms/IBC/EazvB2CAd61BoK_3s5KhQnMBS_qidzBZE_XHceK2yt5Rhg?e=ytpBNB" TargetMode="External"/><Relationship Id="rId36" Type="http://schemas.openxmlformats.org/officeDocument/2006/relationships/hyperlink" Target="https://uwlax.sharepoint.com/:w:/s/ResearchandSponsoredPrograms/IBC/EXF35CWEjItCigWtdB08X20BLwlz7ZnXb6q90dk-sYWLIw?e=ErJqj4" TargetMode="External"/><Relationship Id="rId57" Type="http://schemas.openxmlformats.org/officeDocument/2006/relationships/hyperlink" Target="https://www.cdc.gov/labs/BMBL.html" TargetMode="External"/><Relationship Id="rId106" Type="http://schemas.openxmlformats.org/officeDocument/2006/relationships/hyperlink" Target="https://www.uwlax.edu/globalassets/offices-services/ehs/appendix-j.pdf" TargetMode="External"/><Relationship Id="rId127" Type="http://schemas.openxmlformats.org/officeDocument/2006/relationships/hyperlink" Target="https://www.whitehouse.gov/wp-content/uploads/2024/05/USG-DURC-PEPP-Implementation-Guidance.pdf" TargetMode="External"/><Relationship Id="rId10" Type="http://schemas.openxmlformats.org/officeDocument/2006/relationships/endnotes" Target="endnotes.xml"/><Relationship Id="rId31" Type="http://schemas.openxmlformats.org/officeDocument/2006/relationships/hyperlink" Target="https://osp.od.nih.gov/wp-content/uploads/NIH_Guidelines.htm" TargetMode="External"/><Relationship Id="rId52" Type="http://schemas.openxmlformats.org/officeDocument/2006/relationships/hyperlink" Target="https://www.uwlax.edu/globalassets/offices-services/ehs/bbp-written-program-jan-2023.pdf" TargetMode="External"/><Relationship Id="rId73" Type="http://schemas.openxmlformats.org/officeDocument/2006/relationships/hyperlink" Target="https://www.cdc.gov/labs/BMBL.html" TargetMode="External"/><Relationship Id="rId78" Type="http://schemas.openxmlformats.org/officeDocument/2006/relationships/hyperlink" Target="https://www.cdc.gov/labs/BMBL.html" TargetMode="External"/><Relationship Id="rId94" Type="http://schemas.openxmlformats.org/officeDocument/2006/relationships/header" Target="header2.xml"/><Relationship Id="rId99" Type="http://schemas.openxmlformats.org/officeDocument/2006/relationships/hyperlink" Target="https://www.uwlax.edu/globalassets/offices-services/ehs/personal-protective-equipment-policy-june-2021.pdf" TargetMode="External"/><Relationship Id="rId101" Type="http://schemas.openxmlformats.org/officeDocument/2006/relationships/hyperlink" Target="https://www.uwlax.edu/globalassets/offices-services/ehs/part-i.pdf" TargetMode="External"/><Relationship Id="rId122" Type="http://schemas.openxmlformats.org/officeDocument/2006/relationships/hyperlink" Target="https://www.whitehouse.gov/wp-content/uploads/2024/05/USG-Policy-for-Oversight-of-DURC-and-PEPP.pdf" TargetMode="External"/><Relationship Id="rId143" Type="http://schemas.openxmlformats.org/officeDocument/2006/relationships/hyperlink" Target="https://www.uwlax.edu/globalassets/offices-services/ehs/bbp-written-program-jan-2023.pdf" TargetMode="External"/><Relationship Id="rId148" Type="http://schemas.openxmlformats.org/officeDocument/2006/relationships/hyperlink" Target="https://www.uwlax.edu/globalassets/offices-services/ehs/hazard-communication-policy---may-2021.pdf" TargetMode="External"/><Relationship Id="rId164" Type="http://schemas.openxmlformats.org/officeDocument/2006/relationships/hyperlink" Target="https://www.selectagents.gov/sat/list.htm" TargetMode="External"/><Relationship Id="rId169" Type="http://schemas.openxmlformats.org/officeDocument/2006/relationships/hyperlink" Target="https://osp.od.nih.gov/policies/biosafety-and-biosecurity-policy/biosafety-considerations-for-research-involving-sars-cov-2/" TargetMode="External"/><Relationship Id="rId185" Type="http://schemas.openxmlformats.org/officeDocument/2006/relationships/hyperlink" Target="https://www.whitehouse.gov/wp-content/uploads/2024/05/USG-Policy-for-Oversight-of-DURC-and-PEPP.pdf"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osp.od.nih.gov/wp-content/uploads/NIH_Guidelines.htm" TargetMode="External"/><Relationship Id="rId26" Type="http://schemas.openxmlformats.org/officeDocument/2006/relationships/hyperlink" Target="mailto:grants@uwlax.edu" TargetMode="External"/><Relationship Id="rId47" Type="http://schemas.openxmlformats.org/officeDocument/2006/relationships/hyperlink" Target="https://uwlax.sharepoint.com/:w:/s/ResearchandSponsoredPrograms/IBC/EazvB2CAd61BoK_3s5KhQnMBS_qidzBZE_XHceK2yt5Rhg?e=ytpBNB" TargetMode="External"/><Relationship Id="rId68" Type="http://schemas.openxmlformats.org/officeDocument/2006/relationships/hyperlink" Target="https://www.cdc.gov/labs/BMBL.html" TargetMode="External"/><Relationship Id="rId89" Type="http://schemas.openxmlformats.org/officeDocument/2006/relationships/hyperlink" Target="https://osp.od.nih.gov/wp-content/uploads/NIH_Guidelines.htm" TargetMode="External"/><Relationship Id="rId112" Type="http://schemas.openxmlformats.org/officeDocument/2006/relationships/hyperlink" Target="https://www.uwlax.edu/police/emergency-management/emergency-response-plan/" TargetMode="External"/><Relationship Id="rId133" Type="http://schemas.openxmlformats.org/officeDocument/2006/relationships/hyperlink" Target="https://www.whitehouse.gov/wp-content/uploads/2024/05/USG-Policy-for-Oversight-of-DURC-and-PEPP.pdf" TargetMode="External"/><Relationship Id="rId154" Type="http://schemas.openxmlformats.org/officeDocument/2006/relationships/hyperlink" Target="https://www.cdc.gov/safelabs/resources-tools/bio-risk-assessment.html" TargetMode="External"/><Relationship Id="rId175" Type="http://schemas.openxmlformats.org/officeDocument/2006/relationships/hyperlink" Target="https://osp.od.nih.gov/wp-content/uploads/NIH_Guidelines.htm" TargetMode="External"/><Relationship Id="rId16" Type="http://schemas.openxmlformats.org/officeDocument/2006/relationships/hyperlink" Target="https://www.uwlax.edu/ehs/" TargetMode="External"/><Relationship Id="rId37" Type="http://schemas.openxmlformats.org/officeDocument/2006/relationships/hyperlink" Target="mailto:grants@uwlax.edu" TargetMode="External"/><Relationship Id="rId58" Type="http://schemas.openxmlformats.org/officeDocument/2006/relationships/hyperlink" Target="https://aspr.hhs.gov/S3/Documents/USG-Policy-for-Oversight-of-DURC-and-PEPP-May2024-508.pdf" TargetMode="External"/><Relationship Id="rId79" Type="http://schemas.openxmlformats.org/officeDocument/2006/relationships/hyperlink" Target="https://www.liebertpub.com/doi/10.1089/vbz.2018.2431" TargetMode="External"/><Relationship Id="rId102" Type="http://schemas.openxmlformats.org/officeDocument/2006/relationships/hyperlink" Target="https://www.uwlax.edu/globalassets/offices-services/ehs/appendix-j.pdf" TargetMode="External"/><Relationship Id="rId123" Type="http://schemas.openxmlformats.org/officeDocument/2006/relationships/hyperlink" Target="https://www.whitehouse.gov/wp-content/uploads/2024/05/USG-DURC-PEPP-Implementation-Guidance.pdf" TargetMode="External"/><Relationship Id="rId144" Type="http://schemas.openxmlformats.org/officeDocument/2006/relationships/hyperlink" Target="https://www.uwlax.edu/globalassets/offices-services/ehs/chp-written-plan-updated-oct-2020.pdf" TargetMode="External"/><Relationship Id="rId90" Type="http://schemas.openxmlformats.org/officeDocument/2006/relationships/hyperlink" Target="https://osp.od.nih.gov/wp-content/uploads/NIH_Guidelines.htm" TargetMode="External"/><Relationship Id="rId165" Type="http://schemas.openxmlformats.org/officeDocument/2006/relationships/hyperlink" Target="https://www.nlm.nih.gov/toxnet/index.html" TargetMode="External"/><Relationship Id="rId186" Type="http://schemas.openxmlformats.org/officeDocument/2006/relationships/hyperlink" Target="https://www.whitehouse.gov/wp-content/uploads/2024/05/USG-Policy-for-Oversight-of-DURC-and-PEPP.pdf" TargetMode="External"/><Relationship Id="rId27" Type="http://schemas.openxmlformats.org/officeDocument/2006/relationships/hyperlink" Target="https://www.uwlax.edu/grants/institutional-bio-safety-committee/" TargetMode="External"/><Relationship Id="rId48" Type="http://schemas.openxmlformats.org/officeDocument/2006/relationships/hyperlink" Target="mailto:grants@uwlax.edu" TargetMode="External"/><Relationship Id="rId69" Type="http://schemas.openxmlformats.org/officeDocument/2006/relationships/hyperlink" Target="https://my.absa.org/Riskgroups" TargetMode="External"/><Relationship Id="rId113" Type="http://schemas.openxmlformats.org/officeDocument/2006/relationships/hyperlink" Target="https://www.uwlax.edu/police/emergency-management/emergency-response-plan/" TargetMode="External"/><Relationship Id="rId134" Type="http://schemas.openxmlformats.org/officeDocument/2006/relationships/hyperlink" Target="https://www.whitehouse.gov/wp-content/uploads/2024/05/USG-DURC-PEPP-Implementation-Guidance.pdf" TargetMode="External"/><Relationship Id="rId80" Type="http://schemas.openxmlformats.org/officeDocument/2006/relationships/hyperlink" Target="https://osp.od.nih.gov/wp-content/uploads/2019_NIH_Guidelines.htm" TargetMode="External"/><Relationship Id="rId155" Type="http://schemas.openxmlformats.org/officeDocument/2006/relationships/hyperlink" Target="https://www.nsf.org/testing/health/biosafety-cabinetry" TargetMode="External"/><Relationship Id="rId176" Type="http://schemas.openxmlformats.org/officeDocument/2006/relationships/hyperlink" Target="https://www.cdc.gov/labs/bmbl/index.html" TargetMode="External"/><Relationship Id="rId17" Type="http://schemas.openxmlformats.org/officeDocument/2006/relationships/hyperlink" Target="https://www.uwlax.edu/iacuc/" TargetMode="External"/><Relationship Id="rId38" Type="http://schemas.openxmlformats.org/officeDocument/2006/relationships/hyperlink" Target="https://osp.od.nih.gov/policies/incident-reporting-may-2019/" TargetMode="External"/><Relationship Id="rId59" Type="http://schemas.openxmlformats.org/officeDocument/2006/relationships/hyperlink" Target="https://kb.uwlax.edu/123473" TargetMode="External"/><Relationship Id="rId103" Type="http://schemas.openxmlformats.org/officeDocument/2006/relationships/hyperlink" Target="https://www.uwlax.edu/globalassets/offices-services/ehs/part-h.pdf" TargetMode="External"/><Relationship Id="rId124" Type="http://schemas.openxmlformats.org/officeDocument/2006/relationships/hyperlink" Target="https://www.whitehouse.gov/wp-content/uploads/2024/05/USG-Policy-for-Oversight-of-DURC-and-PEPP.pdf" TargetMode="External"/><Relationship Id="rId70" Type="http://schemas.openxmlformats.org/officeDocument/2006/relationships/hyperlink" Target="https://www.cdc.gov/labs/BMBL.html" TargetMode="External"/><Relationship Id="rId91" Type="http://schemas.openxmlformats.org/officeDocument/2006/relationships/hyperlink" Target="https://osp.od.nih.gov/wp-content/uploads/NIH_Guidelines.htm" TargetMode="External"/><Relationship Id="rId145" Type="http://schemas.openxmlformats.org/officeDocument/2006/relationships/hyperlink" Target="https://www.uwlax.edu/globalassets/offices-services/ehs/phs-prior-approval-form-uwl-january-2020.pdf" TargetMode="External"/><Relationship Id="rId166" Type="http://schemas.openxmlformats.org/officeDocument/2006/relationships/hyperlink" Target="https://www.who.int/publications/i/item/9789240011311" TargetMode="External"/><Relationship Id="rId187" Type="http://schemas.openxmlformats.org/officeDocument/2006/relationships/hyperlink" Target="https://www.whitehouse.gov/wp-content/uploads/2024/05/USG-DURC-PEPP-Implementation-Guidance.pdf" TargetMode="External"/><Relationship Id="rId1" Type="http://schemas.openxmlformats.org/officeDocument/2006/relationships/customXml" Target="../customXml/item1.xml"/><Relationship Id="rId28" Type="http://schemas.openxmlformats.org/officeDocument/2006/relationships/hyperlink" Target="https://osp.od.nih.gov/wp-content/uploads/NIH_Guidelines.htm" TargetMode="External"/><Relationship Id="rId49" Type="http://schemas.openxmlformats.org/officeDocument/2006/relationships/hyperlink" Target="https://uwlax.sharepoint.com/:w:/s/ResearchandSponsoredPrograms/IBC/EazvB2CAd61BoK_3s5KhQnMBS_qidzBZE_XHceK2yt5Rhg?e=ytpBNB" TargetMode="External"/><Relationship Id="rId114" Type="http://schemas.openxmlformats.org/officeDocument/2006/relationships/hyperlink" Target="https://www.uwlax.edu/police/emergency-management/emergency-response-plan/" TargetMode="External"/><Relationship Id="rId60" Type="http://schemas.openxmlformats.org/officeDocument/2006/relationships/hyperlink" Target="https://www.ecfr.gov/current/title-49/subtitle-B/chapter-I/subchapter-C" TargetMode="External"/><Relationship Id="rId81" Type="http://schemas.openxmlformats.org/officeDocument/2006/relationships/hyperlink" Target="https://osp.od.nih.gov/wp-content/uploads/2019_NIH_Guidelines.htm" TargetMode="External"/><Relationship Id="rId135" Type="http://schemas.openxmlformats.org/officeDocument/2006/relationships/hyperlink" Target="https://www.osha.gov/laws-regs/regulations/standardnumber/1910/1910.1030" TargetMode="External"/><Relationship Id="rId156" Type="http://schemas.openxmlformats.org/officeDocument/2006/relationships/hyperlink" Target="https://www.osha.gov/bloodborne-pathogens" TargetMode="External"/><Relationship Id="rId177" Type="http://schemas.openxmlformats.org/officeDocument/2006/relationships/hyperlink" Target="https://www.whitehouse.gov/wp-content/uploads/2024/05/USG-DURC-PEPP-Implementation-Guidance.pdf" TargetMode="External"/></Relationships>
</file>

<file path=word/theme/theme1.xml><?xml version="1.0" encoding="utf-8"?>
<a:theme xmlns:a="http://schemas.openxmlformats.org/drawingml/2006/main" name="Office Theme">
  <a:themeElements>
    <a:clrScheme name="UWL Colors">
      <a:dk1>
        <a:sysClr val="windowText" lastClr="000000"/>
      </a:dk1>
      <a:lt1>
        <a:sysClr val="window" lastClr="FFFFFF"/>
      </a:lt1>
      <a:dk2>
        <a:srgbClr val="44546A"/>
      </a:dk2>
      <a:lt2>
        <a:srgbClr val="E7E6E6"/>
      </a:lt2>
      <a:accent1>
        <a:srgbClr val="830019"/>
      </a:accent1>
      <a:accent2>
        <a:srgbClr val="00334A"/>
      </a:accent2>
      <a:accent3>
        <a:srgbClr val="00A8B8"/>
      </a:accent3>
      <a:accent4>
        <a:srgbClr val="C1DBDB"/>
      </a:accent4>
      <a:accent5>
        <a:srgbClr val="3A243B"/>
      </a:accent5>
      <a:accent6>
        <a:srgbClr val="C1DBDB"/>
      </a:accent6>
      <a:hlink>
        <a:srgbClr val="00A8B8"/>
      </a:hlink>
      <a:folHlink>
        <a:srgbClr val="73397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32FCB325F616428F608C724D030727" ma:contentTypeVersion="12" ma:contentTypeDescription="Create a new document." ma:contentTypeScope="" ma:versionID="d0074446d73423589eb398bfc355dca6">
  <xsd:schema xmlns:xsd="http://www.w3.org/2001/XMLSchema" xmlns:xs="http://www.w3.org/2001/XMLSchema" xmlns:p="http://schemas.microsoft.com/office/2006/metadata/properties" xmlns:ns2="5d19ecd9-718f-48da-85fc-3cb0d9653349" xmlns:ns3="3db11956-298e-4c6c-bf81-518e7600d6e5" targetNamespace="http://schemas.microsoft.com/office/2006/metadata/properties" ma:root="true" ma:fieldsID="883b135fda9f553340dad834369f9d8c" ns2:_="" ns3:_="">
    <xsd:import namespace="5d19ecd9-718f-48da-85fc-3cb0d9653349"/>
    <xsd:import namespace="3db11956-298e-4c6c-bf81-518e7600d6e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9ecd9-718f-48da-85fc-3cb0d96533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74f3122-44b1-41ea-91ad-831baa7c83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b11956-298e-4c6c-bf81-518e7600d6e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28adc0c-7635-4301-9eb8-85d6b96e6930}" ma:internalName="TaxCatchAll" ma:showField="CatchAllData" ma:web="3db11956-298e-4c6c-bf81-518e7600d6e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d19ecd9-718f-48da-85fc-3cb0d9653349">
      <Terms xmlns="http://schemas.microsoft.com/office/infopath/2007/PartnerControls"/>
    </lcf76f155ced4ddcb4097134ff3c332f>
    <TaxCatchAll xmlns="3db11956-298e-4c6c-bf81-518e7600d6e5" xsi:nil="true"/>
    <SharedWithUsers xmlns="3db11956-298e-4c6c-bf81-518e7600d6e5">
      <UserInfo>
        <DisplayName>Sumei Liu</DisplayName>
        <AccountId>170</AccountId>
        <AccountType/>
      </UserInfo>
      <UserInfo>
        <DisplayName>Paul Schweiger</DisplayName>
        <AccountId>157</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0C181F-D0B8-4D52-AEC7-ACB0B41D3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9ecd9-718f-48da-85fc-3cb0d9653349"/>
    <ds:schemaRef ds:uri="3db11956-298e-4c6c-bf81-518e7600d6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62A4A3-33D5-427C-B1AB-187AAFD3BECA}">
  <ds:schemaRefs>
    <ds:schemaRef ds:uri="http://schemas.microsoft.com/office/2006/metadata/properties"/>
    <ds:schemaRef ds:uri="http://schemas.microsoft.com/office/infopath/2007/PartnerControls"/>
    <ds:schemaRef ds:uri="5d19ecd9-718f-48da-85fc-3cb0d9653349"/>
    <ds:schemaRef ds:uri="3db11956-298e-4c6c-bf81-518e7600d6e5"/>
  </ds:schemaRefs>
</ds:datastoreItem>
</file>

<file path=customXml/itemProps3.xml><?xml version="1.0" encoding="utf-8"?>
<ds:datastoreItem xmlns:ds="http://schemas.openxmlformats.org/officeDocument/2006/customXml" ds:itemID="{E23F3216-AD5C-4D89-9D72-24A44AF88E11}">
  <ds:schemaRefs>
    <ds:schemaRef ds:uri="http://schemas.openxmlformats.org/officeDocument/2006/bibliography"/>
  </ds:schemaRefs>
</ds:datastoreItem>
</file>

<file path=customXml/itemProps4.xml><?xml version="1.0" encoding="utf-8"?>
<ds:datastoreItem xmlns:ds="http://schemas.openxmlformats.org/officeDocument/2006/customXml" ds:itemID="{84293222-31D4-40C7-A129-4ADA18708A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66</Pages>
  <Words>31376</Words>
  <Characters>178848</Characters>
  <Application>Microsoft Office Word</Application>
  <DocSecurity>8</DocSecurity>
  <Lines>1490</Lines>
  <Paragraphs>419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Nielsen</dc:creator>
  <cp:keywords/>
  <dc:description/>
  <cp:lastModifiedBy>Melissa Nielsen</cp:lastModifiedBy>
  <cp:revision>3</cp:revision>
  <cp:lastPrinted>2025-05-08T15:47:00Z</cp:lastPrinted>
  <dcterms:created xsi:type="dcterms:W3CDTF">2025-10-27T19:49:00Z</dcterms:created>
  <dcterms:modified xsi:type="dcterms:W3CDTF">2025-10-27T19:50:00Z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0x0101006C32FCB325F616428F608C724D030727</vt:lpwstr>
  </property>
  <property fmtid="{D5CDD505-2E9C-101B-9397-08002B2CF9AE}" pid="3" name="MediaServiceImageTags">
    <vt:lpwstr/>
  </property>
</Properties>
</file>