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B22A" w14:textId="77777777" w:rsidR="00994D24" w:rsidRPr="0073302E" w:rsidRDefault="00994D24" w:rsidP="00994D24">
      <w:pPr>
        <w:pStyle w:val="Title"/>
        <w:jc w:val="center"/>
        <w:rPr>
          <w:rFonts w:asciiTheme="minorHAnsi" w:hAnsiTheme="minorHAnsi" w:cs="Arial"/>
          <w:bCs/>
          <w:sz w:val="22"/>
          <w:szCs w:val="22"/>
        </w:rPr>
      </w:pPr>
      <w:r w:rsidRPr="0073302E">
        <w:rPr>
          <w:rFonts w:asciiTheme="minorHAnsi" w:hAnsiTheme="minorHAnsi" w:cs="Arial"/>
          <w:bCs/>
          <w:sz w:val="22"/>
          <w:szCs w:val="22"/>
        </w:rPr>
        <w:t>Institutional Biosafety Committee</w:t>
      </w:r>
    </w:p>
    <w:p w14:paraId="1A734E71" w14:textId="7719C3CD" w:rsidR="00994D24" w:rsidRPr="0073302E" w:rsidRDefault="00994D24" w:rsidP="0073302E">
      <w:pPr>
        <w:pStyle w:val="Title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3302E">
        <w:rPr>
          <w:rFonts w:asciiTheme="minorHAnsi" w:hAnsiTheme="minorHAnsi" w:cs="Arial"/>
          <w:b/>
          <w:bCs/>
          <w:sz w:val="28"/>
          <w:szCs w:val="28"/>
        </w:rPr>
        <w:t xml:space="preserve">DURC &amp; PEPP </w:t>
      </w:r>
      <w:r w:rsidR="007B14D4">
        <w:rPr>
          <w:rFonts w:asciiTheme="minorHAnsi" w:hAnsiTheme="minorHAnsi" w:cs="Arial"/>
          <w:b/>
          <w:bCs/>
          <w:sz w:val="28"/>
          <w:szCs w:val="28"/>
        </w:rPr>
        <w:t>Inclusion Form</w:t>
      </w:r>
      <w:r w:rsidR="005E4DF6">
        <w:rPr>
          <w:rFonts w:asciiTheme="minorHAnsi" w:hAnsiTheme="minorHAnsi" w:cs="Arial"/>
          <w:b/>
          <w:bCs/>
          <w:sz w:val="28"/>
          <w:szCs w:val="28"/>
        </w:rPr>
        <w:t xml:space="preserve"> for New Protocols</w:t>
      </w:r>
    </w:p>
    <w:p w14:paraId="549510CD" w14:textId="0BAE4792" w:rsidR="00994D24" w:rsidRPr="0073302E" w:rsidRDefault="007B14D4" w:rsidP="00994D24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complete this </w:t>
      </w:r>
      <w:r w:rsidR="007F0DAE">
        <w:rPr>
          <w:rFonts w:asciiTheme="minorHAnsi" w:hAnsiTheme="minorHAnsi" w:cs="Arial"/>
          <w:sz w:val="22"/>
          <w:szCs w:val="22"/>
        </w:rPr>
        <w:t>add</w:t>
      </w:r>
      <w:r w:rsidR="00E1405E">
        <w:rPr>
          <w:rFonts w:asciiTheme="minorHAnsi" w:hAnsiTheme="minorHAnsi" w:cs="Arial"/>
          <w:sz w:val="22"/>
          <w:szCs w:val="22"/>
        </w:rPr>
        <w:t xml:space="preserve">itional </w:t>
      </w:r>
      <w:r>
        <w:rPr>
          <w:rFonts w:asciiTheme="minorHAnsi" w:hAnsiTheme="minorHAnsi" w:cs="Arial"/>
          <w:sz w:val="22"/>
          <w:szCs w:val="22"/>
        </w:rPr>
        <w:t>form if you are intending to</w:t>
      </w:r>
      <w:r w:rsidR="005E2C59">
        <w:rPr>
          <w:rFonts w:asciiTheme="minorHAnsi" w:hAnsiTheme="minorHAnsi" w:cs="Arial"/>
          <w:sz w:val="22"/>
          <w:szCs w:val="22"/>
        </w:rPr>
        <w:t xml:space="preserve"> include any</w:t>
      </w:r>
      <w:r>
        <w:rPr>
          <w:rFonts w:asciiTheme="minorHAnsi" w:hAnsiTheme="minorHAnsi" w:cs="Arial"/>
          <w:sz w:val="22"/>
          <w:szCs w:val="22"/>
        </w:rPr>
        <w:t xml:space="preserve"> Dual Use</w:t>
      </w:r>
      <w:r w:rsidR="0060698D">
        <w:rPr>
          <w:rFonts w:asciiTheme="minorHAnsi" w:hAnsiTheme="minorHAnsi" w:cs="Arial"/>
          <w:sz w:val="22"/>
          <w:szCs w:val="22"/>
        </w:rPr>
        <w:t xml:space="preserve"> of Research Concern (DURC)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E2C59">
        <w:rPr>
          <w:rFonts w:asciiTheme="minorHAnsi" w:hAnsiTheme="minorHAnsi" w:cs="Arial"/>
          <w:sz w:val="22"/>
          <w:szCs w:val="22"/>
        </w:rPr>
        <w:t>and/or P</w:t>
      </w:r>
      <w:r w:rsidR="0060698D">
        <w:rPr>
          <w:rFonts w:asciiTheme="minorHAnsi" w:hAnsiTheme="minorHAnsi" w:cs="Arial"/>
          <w:sz w:val="22"/>
          <w:szCs w:val="22"/>
        </w:rPr>
        <w:t xml:space="preserve">athogens with </w:t>
      </w:r>
      <w:r w:rsidR="005E2C59">
        <w:rPr>
          <w:rFonts w:asciiTheme="minorHAnsi" w:hAnsiTheme="minorHAnsi" w:cs="Arial"/>
          <w:sz w:val="22"/>
          <w:szCs w:val="22"/>
        </w:rPr>
        <w:t>E</w:t>
      </w:r>
      <w:r w:rsidR="0060698D">
        <w:rPr>
          <w:rFonts w:asciiTheme="minorHAnsi" w:hAnsiTheme="minorHAnsi" w:cs="Arial"/>
          <w:sz w:val="22"/>
          <w:szCs w:val="22"/>
        </w:rPr>
        <w:t xml:space="preserve">nhanced </w:t>
      </w:r>
      <w:r w:rsidR="005E2C59">
        <w:rPr>
          <w:rFonts w:asciiTheme="minorHAnsi" w:hAnsiTheme="minorHAnsi" w:cs="Arial"/>
          <w:sz w:val="22"/>
          <w:szCs w:val="22"/>
        </w:rPr>
        <w:t>P</w:t>
      </w:r>
      <w:r w:rsidR="0060698D">
        <w:rPr>
          <w:rFonts w:asciiTheme="minorHAnsi" w:hAnsiTheme="minorHAnsi" w:cs="Arial"/>
          <w:sz w:val="22"/>
          <w:szCs w:val="22"/>
        </w:rPr>
        <w:t xml:space="preserve">andemic </w:t>
      </w:r>
      <w:r w:rsidR="005E2C59">
        <w:rPr>
          <w:rFonts w:asciiTheme="minorHAnsi" w:hAnsiTheme="minorHAnsi" w:cs="Arial"/>
          <w:sz w:val="22"/>
          <w:szCs w:val="22"/>
        </w:rPr>
        <w:t>P</w:t>
      </w:r>
      <w:r w:rsidR="0060698D">
        <w:rPr>
          <w:rFonts w:asciiTheme="minorHAnsi" w:hAnsiTheme="minorHAnsi" w:cs="Arial"/>
          <w:sz w:val="22"/>
          <w:szCs w:val="22"/>
        </w:rPr>
        <w:t>otential (PEPP)</w:t>
      </w:r>
      <w:r w:rsidR="005E2C59">
        <w:rPr>
          <w:rFonts w:asciiTheme="minorHAnsi" w:hAnsiTheme="minorHAnsi" w:cs="Arial"/>
          <w:sz w:val="22"/>
          <w:szCs w:val="22"/>
        </w:rPr>
        <w:t xml:space="preserve"> substances in your new biosafety protocol.</w:t>
      </w:r>
      <w:r w:rsidR="008D584C">
        <w:rPr>
          <w:rFonts w:asciiTheme="minorHAnsi" w:hAnsiTheme="minorHAnsi" w:cs="Arial"/>
          <w:sz w:val="22"/>
          <w:szCs w:val="22"/>
        </w:rPr>
        <w:t xml:space="preserve"> </w:t>
      </w:r>
    </w:p>
    <w:p w14:paraId="75B27ACF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2FCF22D8" w14:textId="33E46587" w:rsidR="008A47C3" w:rsidRPr="0073302E" w:rsidRDefault="008A47C3" w:rsidP="008A47C3">
      <w:pPr>
        <w:pStyle w:val="ListParagraph"/>
        <w:numPr>
          <w:ilvl w:val="0"/>
          <w:numId w:val="2"/>
        </w:numPr>
        <w:rPr>
          <w:rFonts w:cs="Arial"/>
          <w:b/>
          <w:u w:val="single"/>
        </w:rPr>
      </w:pPr>
      <w:r w:rsidRPr="0073302E">
        <w:rPr>
          <w:rFonts w:cs="Arial"/>
          <w:b/>
          <w:u w:val="single"/>
        </w:rPr>
        <w:t>General Information</w:t>
      </w:r>
    </w:p>
    <w:p w14:paraId="514D63CD" w14:textId="427C261E" w:rsidR="00994D24" w:rsidRPr="0073302E" w:rsidRDefault="00994D24" w:rsidP="008A47C3">
      <w:pPr>
        <w:rPr>
          <w:rFonts w:asciiTheme="minorHAnsi" w:hAnsiTheme="minorHAnsi" w:cs="Arial"/>
          <w:b/>
          <w:sz w:val="22"/>
          <w:szCs w:val="22"/>
        </w:rPr>
      </w:pPr>
      <w:r w:rsidRPr="0073302E">
        <w:rPr>
          <w:rFonts w:asciiTheme="minorHAnsi" w:hAnsiTheme="minorHAnsi" w:cs="Arial"/>
          <w:b/>
          <w:sz w:val="22"/>
          <w:szCs w:val="22"/>
        </w:rPr>
        <w:t xml:space="preserve">Principal Investigator: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480AC15F" w14:textId="77777777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</w:p>
    <w:p w14:paraId="5B1E5E72" w14:textId="0AE80E20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  <w:r w:rsidRPr="0073302E">
        <w:rPr>
          <w:rFonts w:asciiTheme="minorHAnsi" w:hAnsiTheme="minorHAnsi" w:cs="Arial"/>
          <w:b/>
          <w:sz w:val="22"/>
          <w:szCs w:val="22"/>
        </w:rPr>
        <w:t xml:space="preserve">Date Completed: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</w:p>
    <w:p w14:paraId="2BD4CBCF" w14:textId="77777777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</w:p>
    <w:p w14:paraId="1D9B7CC6" w14:textId="54D266E8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Protocol Title: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472CC4F" w14:textId="77777777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A51BCDC" w14:textId="79ACBF9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Select what applies: Category 1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  Category 2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  DURC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710E70B9" w14:textId="7777777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03BBC2E" w14:textId="444AD733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t>If federally funded, please provide:</w:t>
      </w:r>
    </w:p>
    <w:p w14:paraId="673D308B" w14:textId="77777777" w:rsidR="00994D24" w:rsidRPr="0073302E" w:rsidRDefault="00994D24" w:rsidP="00994D2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22C5170" w14:textId="05537080" w:rsidR="00994D24" w:rsidRPr="0073302E" w:rsidRDefault="00994D24" w:rsidP="00DD71B0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Sponsor Name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0C1CAFB" w14:textId="77777777" w:rsidR="00994D24" w:rsidRPr="0073302E" w:rsidRDefault="00994D24" w:rsidP="00994D2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E8EB640" w14:textId="07F5C5CA" w:rsidR="00994D24" w:rsidRPr="0073302E" w:rsidRDefault="00994D24" w:rsidP="00DD71B0">
      <w:pPr>
        <w:ind w:firstLine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Federal Award Number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5EBC8CA1" w14:textId="77777777" w:rsidR="00994D24" w:rsidRPr="0073302E" w:rsidRDefault="00994D24" w:rsidP="00994D24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048E2539" w14:textId="76F3AAB3" w:rsidR="00994D24" w:rsidRPr="0073302E" w:rsidRDefault="008A47C3" w:rsidP="008A47C3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  <w:u w:val="single"/>
        </w:rPr>
      </w:pPr>
      <w:r w:rsidRPr="0073302E">
        <w:rPr>
          <w:rFonts w:cs="Arial"/>
          <w:b/>
          <w:bCs/>
          <w:sz w:val="24"/>
          <w:szCs w:val="24"/>
          <w:u w:val="single"/>
        </w:rPr>
        <w:t>Summary of Project</w:t>
      </w:r>
    </w:p>
    <w:p w14:paraId="5C36A4FE" w14:textId="2342492B" w:rsidR="00994D24" w:rsidRPr="0073302E" w:rsidRDefault="008A47C3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Summary of Project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37648156" w14:textId="3F8AAEC5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t>Please provide a brief summary</w:t>
      </w:r>
      <w:r w:rsidR="005E2C59">
        <w:rPr>
          <w:rFonts w:asciiTheme="minorHAnsi" w:hAnsiTheme="minorHAnsi" w:cs="Arial"/>
          <w:color w:val="000000"/>
          <w:sz w:val="22"/>
          <w:szCs w:val="22"/>
        </w:rPr>
        <w:t xml:space="preserve"> how the DURC and/or PEPP substances will be used on this project.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</w:p>
    <w:p w14:paraId="25C28AA6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334DC3F1" w14:textId="7CA98FDA" w:rsidR="00994D24" w:rsidRPr="005E2C59" w:rsidRDefault="00C52BA5" w:rsidP="005E2C59">
      <w:pPr>
        <w:pStyle w:val="ListParagraph"/>
        <w:numPr>
          <w:ilvl w:val="0"/>
          <w:numId w:val="2"/>
        </w:num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 xml:space="preserve">Certification: </w:t>
      </w:r>
      <w:r w:rsidR="008A47C3" w:rsidRPr="005E2C59">
        <w:rPr>
          <w:rFonts w:cs="Arial"/>
          <w:b/>
          <w:bCs/>
          <w:color w:val="000000"/>
          <w:sz w:val="24"/>
          <w:szCs w:val="24"/>
          <w:u w:val="single"/>
        </w:rPr>
        <w:t>Unexpected or Adverse Events</w:t>
      </w:r>
    </w:p>
    <w:p w14:paraId="10424FD8" w14:textId="1DBA273B" w:rsidR="005E2C59" w:rsidRDefault="005E2C59" w:rsidP="00994D24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Please certify that you will intend to report any</w:t>
      </w:r>
      <w:r w:rsidR="00994D24" w:rsidRPr="0073302E">
        <w:rPr>
          <w:rFonts w:asciiTheme="minorHAnsi" w:hAnsiTheme="minorHAnsi" w:cs="Arial"/>
          <w:color w:val="000000"/>
          <w:sz w:val="22"/>
          <w:szCs w:val="22"/>
        </w:rPr>
        <w:t xml:space="preserve"> unexpected or adverse events compromising biosafety that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may occur during your new project per </w:t>
      </w:r>
      <w:r w:rsidRPr="005E2C59">
        <w:rPr>
          <w:rFonts w:asciiTheme="minorHAnsi" w:hAnsiTheme="minorHAnsi" w:cs="Arial"/>
          <w:color w:val="000000"/>
          <w:sz w:val="22"/>
          <w:szCs w:val="22"/>
        </w:rPr>
        <w:t>the current editions of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Manual.</w:t>
      </w:r>
    </w:p>
    <w:p w14:paraId="57B52457" w14:textId="77777777" w:rsidR="005E2C59" w:rsidRDefault="005E2C59" w:rsidP="00994D2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962D2E3" w14:textId="2407BE5D" w:rsidR="00994D24" w:rsidRPr="0073302E" w:rsidRDefault="00000000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sdt>
        <w:sdtPr>
          <w:rPr>
            <w:rFonts w:asciiTheme="minorHAnsi" w:hAnsiTheme="minorHAnsi" w:cs="Arial"/>
            <w:b/>
            <w:color w:val="000000"/>
            <w:sz w:val="22"/>
            <w:szCs w:val="22"/>
          </w:rPr>
          <w:id w:val="-150713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59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5E2C59">
        <w:rPr>
          <w:rFonts w:asciiTheme="minorHAnsi" w:hAnsiTheme="minorHAnsi" w:cs="Arial"/>
          <w:b/>
          <w:color w:val="000000"/>
          <w:sz w:val="22"/>
          <w:szCs w:val="22"/>
        </w:rPr>
        <w:t xml:space="preserve"> Yes, I certify that as the Project Investigator, I will report any unexpected or adverse events that compromise the biosafety of my project per </w:t>
      </w:r>
      <w:r w:rsidR="005E2C59" w:rsidRPr="005E2C59">
        <w:rPr>
          <w:rFonts w:asciiTheme="minorHAnsi" w:hAnsiTheme="minorHAnsi" w:cs="Arial"/>
          <w:b/>
          <w:color w:val="000000"/>
          <w:sz w:val="22"/>
          <w:szCs w:val="22"/>
        </w:rPr>
        <w:t>the current editions of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</w:t>
      </w:r>
      <w:r w:rsidR="005E2C59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1744F01E" w14:textId="77777777" w:rsidR="005E2C59" w:rsidRDefault="005E2C59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C4CBE0D" w14:textId="77777777" w:rsidR="005E2C59" w:rsidRDefault="005E2C59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29FA383" w14:textId="77777777" w:rsidR="005E2C59" w:rsidRDefault="005E2C59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10D89CC" w14:textId="77777777" w:rsidR="005E2C59" w:rsidRDefault="005E2C59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1B62D72" w14:textId="77777777" w:rsidR="005E2C59" w:rsidRDefault="005E2C59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6427761" w14:textId="5B8845B3" w:rsidR="00994D24" w:rsidRPr="0073302E" w:rsidRDefault="00994D24" w:rsidP="008A47C3">
      <w:pPr>
        <w:pStyle w:val="Title"/>
        <w:rPr>
          <w:rFonts w:asciiTheme="minorHAnsi" w:hAnsiTheme="minorHAnsi" w:cs="Arial"/>
          <w:b/>
          <w:sz w:val="22"/>
          <w:szCs w:val="22"/>
        </w:rPr>
      </w:pPr>
    </w:p>
    <w:p w14:paraId="376F4D70" w14:textId="0E02D9BC" w:rsidR="00994D24" w:rsidRPr="0073302E" w:rsidRDefault="00994D24" w:rsidP="00994D24">
      <w:pPr>
        <w:pStyle w:val="Title"/>
        <w:jc w:val="center"/>
        <w:rPr>
          <w:rFonts w:asciiTheme="minorHAnsi" w:hAnsiTheme="minorHAnsi" w:cs="Arial"/>
          <w:bCs/>
          <w:sz w:val="22"/>
          <w:szCs w:val="22"/>
        </w:rPr>
      </w:pPr>
      <w:r w:rsidRPr="0073302E">
        <w:rPr>
          <w:rFonts w:asciiTheme="minorHAnsi" w:hAnsiTheme="minorHAnsi" w:cs="Arial"/>
          <w:bCs/>
          <w:sz w:val="22"/>
          <w:szCs w:val="22"/>
        </w:rPr>
        <w:t>Institutional Biosafety Committee</w:t>
      </w:r>
    </w:p>
    <w:p w14:paraId="7FAC0188" w14:textId="0E5BB57C" w:rsidR="00994D24" w:rsidRPr="0073302E" w:rsidRDefault="005E2C59" w:rsidP="00A80FE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Intention for </w:t>
      </w:r>
      <w:r w:rsidR="00994D24" w:rsidRPr="0073302E">
        <w:rPr>
          <w:rFonts w:asciiTheme="minorHAnsi" w:hAnsiTheme="minorHAnsi" w:cs="Arial"/>
          <w:b/>
          <w:bCs/>
          <w:color w:val="000000"/>
          <w:sz w:val="28"/>
          <w:szCs w:val="28"/>
        </w:rPr>
        <w:t>DURC &amp; PEPP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Substances on Project</w:t>
      </w:r>
    </w:p>
    <w:tbl>
      <w:tblPr>
        <w:tblpPr w:leftFromText="180" w:rightFromText="180" w:vertAnchor="text" w:horzAnchor="margin" w:tblpXSpec="center" w:tblpY="114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828"/>
        <w:gridCol w:w="828"/>
        <w:gridCol w:w="828"/>
        <w:gridCol w:w="8149"/>
      </w:tblGrid>
      <w:tr w:rsidR="00DD71B0" w:rsidRPr="0073302E" w14:paraId="1BE3B15A" w14:textId="77777777" w:rsidTr="004011EA">
        <w:tc>
          <w:tcPr>
            <w:tcW w:w="522" w:type="dxa"/>
            <w:shd w:val="clear" w:color="auto" w:fill="000000" w:themeFill="text1"/>
          </w:tcPr>
          <w:p w14:paraId="599171C3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3BC63DA7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000000" w:themeFill="text1"/>
          </w:tcPr>
          <w:p w14:paraId="3F37F427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000000" w:themeFill="text1"/>
          </w:tcPr>
          <w:p w14:paraId="609E56C1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35731B1B" w14:textId="6217AF4B" w:rsidR="00DD71B0" w:rsidRPr="0073302E" w:rsidRDefault="00380D0B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Complete all sections that apply or mark as not applicable (n/a):</w:t>
            </w:r>
          </w:p>
        </w:tc>
      </w:tr>
      <w:tr w:rsidR="00DD71B0" w:rsidRPr="0073302E" w14:paraId="628385A9" w14:textId="77777777" w:rsidTr="00DD71B0">
        <w:tc>
          <w:tcPr>
            <w:tcW w:w="522" w:type="dxa"/>
            <w:shd w:val="clear" w:color="auto" w:fill="000000" w:themeFill="text1"/>
          </w:tcPr>
          <w:p w14:paraId="09179BAC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9BBBE05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275A9EB" w14:textId="77777777" w:rsidR="00DD71B0" w:rsidRPr="0073302E" w:rsidRDefault="00DD71B0" w:rsidP="00DD71B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57048FFC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149" w:type="dxa"/>
          </w:tcPr>
          <w:p w14:paraId="65149ACD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Category 1</w:t>
            </w:r>
          </w:p>
        </w:tc>
      </w:tr>
      <w:tr w:rsidR="004011EA" w:rsidRPr="0073302E" w14:paraId="5BAB1B8D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FC36FD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37A6901B" w14:textId="23D28351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BF31F2C" w14:textId="5E0471B9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5108B11" w14:textId="6B8BA1F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26B3D2CF" w14:textId="182E7063" w:rsidR="004011EA" w:rsidRPr="00F8370E" w:rsidRDefault="003C535C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Select which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Category 1 types of pathogens in scope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are reasonably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anticipated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to be in your new protocol:</w:t>
            </w:r>
          </w:p>
        </w:tc>
      </w:tr>
      <w:tr w:rsidR="004011EA" w:rsidRPr="0073302E" w14:paraId="50158925" w14:textId="77777777" w:rsidTr="00DD71B0">
        <w:tc>
          <w:tcPr>
            <w:tcW w:w="522" w:type="dxa"/>
            <w:shd w:val="clear" w:color="auto" w:fill="auto"/>
          </w:tcPr>
          <w:p w14:paraId="0330F6FB" w14:textId="6B66EC09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8" w:type="dxa"/>
            <w:shd w:val="clear" w:color="auto" w:fill="auto"/>
          </w:tcPr>
          <w:p w14:paraId="087FAAD7" w14:textId="06C66DF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24C9C1AB" w14:textId="4DA5632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6B177322" w14:textId="0C78526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DA8CEE1" w14:textId="489A4DBF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All Biological Select Agents &amp; Toxins in 9 CFR 121.3-121.4, 42 CFR 73.3-73.4, and 7 CFR 331.3 and regulated by USDA and/or HHS</w:t>
            </w:r>
          </w:p>
        </w:tc>
      </w:tr>
      <w:tr w:rsidR="004011EA" w:rsidRPr="0073302E" w14:paraId="37A10BA3" w14:textId="77777777" w:rsidTr="00DD71B0">
        <w:tc>
          <w:tcPr>
            <w:tcW w:w="522" w:type="dxa"/>
            <w:shd w:val="clear" w:color="auto" w:fill="auto"/>
          </w:tcPr>
          <w:p w14:paraId="5963F7CF" w14:textId="725A8E5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8" w:type="dxa"/>
            <w:shd w:val="clear" w:color="auto" w:fill="auto"/>
          </w:tcPr>
          <w:p w14:paraId="6B26AC78" w14:textId="05750EDF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5B3637E" w14:textId="5CD9857D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0DFCA1D5" w14:textId="7EFF024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FD91FAD" w14:textId="62A572AC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All Risk Group 4 pathogens in Appendix B of the NIH Guidelines 1</w:t>
            </w:r>
          </w:p>
        </w:tc>
      </w:tr>
      <w:tr w:rsidR="004011EA" w:rsidRPr="0073302E" w14:paraId="3D3E66DC" w14:textId="77777777" w:rsidTr="00DD71B0">
        <w:tc>
          <w:tcPr>
            <w:tcW w:w="522" w:type="dxa"/>
            <w:shd w:val="clear" w:color="auto" w:fill="auto"/>
          </w:tcPr>
          <w:p w14:paraId="57647034" w14:textId="05BED6C4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8" w:type="dxa"/>
            <w:shd w:val="clear" w:color="auto" w:fill="auto"/>
          </w:tcPr>
          <w:p w14:paraId="43315029" w14:textId="76C843B2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55DD037E" w14:textId="1FE300B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1ADBE75F" w14:textId="1807401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147DEE3" w14:textId="002D2BF8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 subset of Risk Group 3 pathogens listed in Appendix B of the NIH Guidelines1</w:t>
            </w:r>
          </w:p>
        </w:tc>
      </w:tr>
      <w:tr w:rsidR="004011EA" w:rsidRPr="0073302E" w14:paraId="6A5EBAAF" w14:textId="77777777" w:rsidTr="00DD71B0">
        <w:tc>
          <w:tcPr>
            <w:tcW w:w="522" w:type="dxa"/>
            <w:shd w:val="clear" w:color="auto" w:fill="auto"/>
          </w:tcPr>
          <w:p w14:paraId="37FDE88C" w14:textId="4A73836C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8" w:type="dxa"/>
            <w:shd w:val="clear" w:color="auto" w:fill="auto"/>
          </w:tcPr>
          <w:p w14:paraId="22CF0A15" w14:textId="7BD9F6D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7BC280DF" w14:textId="629EA94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6FD6E285" w14:textId="6932E4E8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1BCFDBB" w14:textId="5FFC89C1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For biological agents affecting humans that have not been assigned a Risk Group in the NIH Guidelines, agents affecting humans that are recommended to be handled at BSL3 or BSL4 per the BMBL2 (Section VIII)</w:t>
            </w:r>
          </w:p>
        </w:tc>
      </w:tr>
      <w:tr w:rsidR="004011EA" w:rsidRPr="0073302E" w14:paraId="4948DED7" w14:textId="77777777" w:rsidTr="00DD71B0">
        <w:tc>
          <w:tcPr>
            <w:tcW w:w="522" w:type="dxa"/>
            <w:shd w:val="clear" w:color="auto" w:fill="auto"/>
          </w:tcPr>
          <w:p w14:paraId="4F2CBDEA" w14:textId="40268A5F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8" w:type="dxa"/>
            <w:shd w:val="clear" w:color="auto" w:fill="auto"/>
          </w:tcPr>
          <w:p w14:paraId="027E9AE5" w14:textId="73DF03E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E08F159" w14:textId="7BD0988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81FB8FA" w14:textId="608492B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40830E8" w14:textId="06B5C6F9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 xml:space="preserve">Are another listed pathogen or toxin per the NIH Implementation Guidance, Appendix C. If other, please list: </w:t>
            </w:r>
            <w:r w:rsidRPr="0073302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cs="Arial"/>
                <w:color w:val="000000"/>
              </w:rPr>
              <w:instrText xml:space="preserve"> FORMTEXT </w:instrText>
            </w:r>
            <w:r w:rsidRPr="0073302E">
              <w:rPr>
                <w:rFonts w:cs="Arial"/>
                <w:color w:val="000000"/>
              </w:rPr>
            </w:r>
            <w:r w:rsidRPr="0073302E">
              <w:rPr>
                <w:rFonts w:cs="Arial"/>
                <w:color w:val="000000"/>
              </w:rPr>
              <w:fldChar w:fldCharType="separate"/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color w:val="000000"/>
              </w:rPr>
              <w:fldChar w:fldCharType="end"/>
            </w:r>
          </w:p>
        </w:tc>
      </w:tr>
      <w:tr w:rsidR="004011EA" w:rsidRPr="0073302E" w14:paraId="4B3176D7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72E8C083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662E4CBC" w14:textId="764E68F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942BEE9" w14:textId="391E2E8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13EA8A8" w14:textId="55EC3761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7BD8E761" w14:textId="1A2534D5" w:rsidR="004011EA" w:rsidRPr="00F8370E" w:rsidRDefault="003C535C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Select which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Category 1 experimental outcomes or actions with a pathogen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reasonabl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y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anticipated to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be in your new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protocol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011EA" w:rsidRPr="0073302E" w14:paraId="67F67F21" w14:textId="77777777" w:rsidTr="00DD71B0">
        <w:tc>
          <w:tcPr>
            <w:tcW w:w="522" w:type="dxa"/>
          </w:tcPr>
          <w:p w14:paraId="43A8E0A9" w14:textId="59255F1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8" w:type="dxa"/>
          </w:tcPr>
          <w:p w14:paraId="40BF82F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E103A3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F9511F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4DEF1FE" w14:textId="34DF62E5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transmissibility of a pathogen within or between host species</w:t>
            </w:r>
          </w:p>
        </w:tc>
      </w:tr>
      <w:tr w:rsidR="004011EA" w:rsidRPr="0073302E" w14:paraId="71AFF47E" w14:textId="77777777" w:rsidTr="00DD71B0">
        <w:tc>
          <w:tcPr>
            <w:tcW w:w="522" w:type="dxa"/>
          </w:tcPr>
          <w:p w14:paraId="7677F75E" w14:textId="74F60D6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8" w:type="dxa"/>
          </w:tcPr>
          <w:p w14:paraId="7359BDF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4D8BCD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9D23CE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1785DB7" w14:textId="78E1ACE6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virulence of a pathogen or convey virulence to a non-pathogen</w:t>
            </w:r>
          </w:p>
        </w:tc>
      </w:tr>
      <w:tr w:rsidR="004011EA" w:rsidRPr="0073302E" w14:paraId="010F4FD5" w14:textId="77777777" w:rsidTr="00DD71B0">
        <w:tc>
          <w:tcPr>
            <w:tcW w:w="522" w:type="dxa"/>
          </w:tcPr>
          <w:p w14:paraId="06437CC3" w14:textId="5281834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28" w:type="dxa"/>
          </w:tcPr>
          <w:p w14:paraId="66160966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6736F9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58DA08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554CB7C" w14:textId="04B2FF3A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toxicity of a known toxin or produce a novel toxin</w:t>
            </w:r>
          </w:p>
        </w:tc>
      </w:tr>
      <w:tr w:rsidR="004011EA" w:rsidRPr="0073302E" w14:paraId="1AD9E869" w14:textId="77777777" w:rsidTr="00DD71B0">
        <w:tc>
          <w:tcPr>
            <w:tcW w:w="522" w:type="dxa"/>
          </w:tcPr>
          <w:p w14:paraId="4376548D" w14:textId="6886D5FC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28" w:type="dxa"/>
          </w:tcPr>
          <w:p w14:paraId="2D968B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375705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B64006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566FD20C" w14:textId="61F5F75C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stability of a pathogen in the environment or increase the ability to disseminate a pathogen or toxin</w:t>
            </w:r>
          </w:p>
        </w:tc>
      </w:tr>
      <w:tr w:rsidR="004011EA" w:rsidRPr="0073302E" w14:paraId="4C55DD50" w14:textId="77777777" w:rsidTr="00DD71B0">
        <w:tc>
          <w:tcPr>
            <w:tcW w:w="522" w:type="dxa"/>
          </w:tcPr>
          <w:p w14:paraId="34B5B3A6" w14:textId="2540631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28" w:type="dxa"/>
          </w:tcPr>
          <w:p w14:paraId="39B9C74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71F2F83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26E6EF5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1A399F4" w14:textId="341F7377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Alter the host range or tropism of a pathogen or toxin</w:t>
            </w:r>
          </w:p>
        </w:tc>
      </w:tr>
      <w:tr w:rsidR="004011EA" w:rsidRPr="0073302E" w14:paraId="01C084C6" w14:textId="77777777" w:rsidTr="00DD71B0">
        <w:tc>
          <w:tcPr>
            <w:tcW w:w="522" w:type="dxa"/>
          </w:tcPr>
          <w:p w14:paraId="15181E55" w14:textId="5B71ED3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28" w:type="dxa"/>
          </w:tcPr>
          <w:p w14:paraId="5950554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9E5748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2B4BED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B0AA09E" w14:textId="359D7D6A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Decrease the ability for a human or veterinary pathogen or toxin to be detected using standard diagnostic or analytical methods</w:t>
            </w:r>
          </w:p>
        </w:tc>
      </w:tr>
      <w:tr w:rsidR="004011EA" w:rsidRPr="0073302E" w14:paraId="2970D467" w14:textId="77777777" w:rsidTr="00DD71B0">
        <w:tc>
          <w:tcPr>
            <w:tcW w:w="522" w:type="dxa"/>
          </w:tcPr>
          <w:p w14:paraId="51B25C52" w14:textId="19A7ABC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28" w:type="dxa"/>
          </w:tcPr>
          <w:p w14:paraId="428C9F1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7BF218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A75DD0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46AE57F3" w14:textId="75E11589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resistance of a pathogen or toxin to clinical and/or veterinary prophylactic or therapeutic interventions</w:t>
            </w:r>
          </w:p>
        </w:tc>
      </w:tr>
      <w:tr w:rsidR="004011EA" w:rsidRPr="0073302E" w14:paraId="7F1FDC29" w14:textId="77777777" w:rsidTr="00DD71B0">
        <w:tc>
          <w:tcPr>
            <w:tcW w:w="522" w:type="dxa"/>
          </w:tcPr>
          <w:p w14:paraId="68914610" w14:textId="65E43FDB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28" w:type="dxa"/>
          </w:tcPr>
          <w:p w14:paraId="2839BB1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9CA3A3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E273A6C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1F92C28" w14:textId="5704144A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Alter a human or veterinary pathogen or toxin to disrupt the effectiveness of preexisting immunity, via immunization or natural infection, against the pathogen or toxin</w:t>
            </w:r>
          </w:p>
        </w:tc>
      </w:tr>
      <w:tr w:rsidR="004011EA" w:rsidRPr="0073302E" w14:paraId="4B4EFFCF" w14:textId="77777777" w:rsidTr="00DD71B0">
        <w:tc>
          <w:tcPr>
            <w:tcW w:w="522" w:type="dxa"/>
          </w:tcPr>
          <w:p w14:paraId="044E04D0" w14:textId="6D28F5BE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28" w:type="dxa"/>
          </w:tcPr>
          <w:p w14:paraId="401B530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34D784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E0D21B9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58D3AADF" w14:textId="528B4DE6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susceptibility of a host population to a pathogen or toxin</w:t>
            </w:r>
          </w:p>
        </w:tc>
      </w:tr>
      <w:tr w:rsidR="004011EA" w:rsidRPr="0073302E" w14:paraId="1560ACC8" w14:textId="77777777" w:rsidTr="00DD71B0">
        <w:tc>
          <w:tcPr>
            <w:tcW w:w="522" w:type="dxa"/>
            <w:shd w:val="clear" w:color="auto" w:fill="000000" w:themeFill="text1"/>
          </w:tcPr>
          <w:p w14:paraId="0A42A464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39A94B4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2EBA7A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42FD3CA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49" w:type="dxa"/>
          </w:tcPr>
          <w:p w14:paraId="080DD2E7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Category 2</w:t>
            </w:r>
          </w:p>
        </w:tc>
      </w:tr>
      <w:tr w:rsidR="004011EA" w:rsidRPr="0073302E" w14:paraId="02CB68F2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F7C7CD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15CF0267" w14:textId="4EC15D6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19BF446" w14:textId="6B298738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B9BFCC4" w14:textId="333555C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7A3C9FCD" w14:textId="5FACBBA7" w:rsidR="004011EA" w:rsidRPr="00F8370E" w:rsidRDefault="003C535C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Select which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Category 2 types of pathogens in scope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anticipated to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be in your new protocol: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1EA" w:rsidRPr="0073302E" w14:paraId="6DB676AE" w14:textId="77777777" w:rsidTr="00DD71B0">
        <w:tc>
          <w:tcPr>
            <w:tcW w:w="522" w:type="dxa"/>
          </w:tcPr>
          <w:p w14:paraId="5085CDED" w14:textId="29C61A6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28" w:type="dxa"/>
          </w:tcPr>
          <w:p w14:paraId="3839D7E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E1CFC2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903583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05AFD5B" w14:textId="3436C990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Any pathogen modified in such a way that is reasonably anticipated to result in the development, use, or transfer of a PEPP. Includes development of new PPPs from non-PPPs as well as the enhancement of existing PPPs</w:t>
            </w:r>
          </w:p>
        </w:tc>
      </w:tr>
      <w:tr w:rsidR="004011EA" w:rsidRPr="0073302E" w14:paraId="4F1B1894" w14:textId="77777777" w:rsidTr="00DD71B0">
        <w:tc>
          <w:tcPr>
            <w:tcW w:w="522" w:type="dxa"/>
          </w:tcPr>
          <w:p w14:paraId="0BF3DD56" w14:textId="7F69698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28" w:type="dxa"/>
          </w:tcPr>
          <w:p w14:paraId="257EE3E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FFA604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34C3639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DC8E58C" w14:textId="1FFC7C3C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Eradicated or extinct PPPs that may pose significant threat to public health, the capacity of health systems to function, or national security</w:t>
            </w:r>
          </w:p>
        </w:tc>
      </w:tr>
      <w:tr w:rsidR="004011EA" w:rsidRPr="0073302E" w14:paraId="64EA70A1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E366C5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38E76B93" w14:textId="37314A10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116A6C5" w14:textId="78F321E0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62F4C05" w14:textId="226774F4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0F846384" w14:textId="3E24AC8D" w:rsidR="004011EA" w:rsidRPr="00F8370E" w:rsidRDefault="00FC19ED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Select w</w:t>
            </w:r>
            <w:r w:rsidR="003C535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hich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Category 2 experimental outcomes or actions with a pathogen </w:t>
            </w:r>
            <w:r w:rsidR="003C535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reasonably </w:t>
            </w:r>
            <w:r w:rsidR="003C535C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expected to be anticipated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in your new protocol:</w:t>
            </w:r>
          </w:p>
        </w:tc>
      </w:tr>
      <w:tr w:rsidR="004011EA" w:rsidRPr="0073302E" w14:paraId="14E59149" w14:textId="77777777" w:rsidTr="00DD71B0">
        <w:tc>
          <w:tcPr>
            <w:tcW w:w="522" w:type="dxa"/>
          </w:tcPr>
          <w:p w14:paraId="10EFBABD" w14:textId="4CBA932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28" w:type="dxa"/>
          </w:tcPr>
          <w:p w14:paraId="57DBADD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1A9E2E2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D71CBA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19E6716" w14:textId="218C1535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transmissibility of the pathogen in humans</w:t>
            </w:r>
          </w:p>
        </w:tc>
      </w:tr>
      <w:tr w:rsidR="004011EA" w:rsidRPr="0073302E" w14:paraId="1910BDFA" w14:textId="77777777" w:rsidTr="00DD71B0">
        <w:tc>
          <w:tcPr>
            <w:tcW w:w="522" w:type="dxa"/>
          </w:tcPr>
          <w:p w14:paraId="46034C46" w14:textId="1F7839EB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28" w:type="dxa"/>
          </w:tcPr>
          <w:p w14:paraId="0792007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72858FB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1EA4BCF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46B07A3" w14:textId="1616492E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virulence of the pathogen in humans</w:t>
            </w:r>
          </w:p>
        </w:tc>
      </w:tr>
      <w:tr w:rsidR="004011EA" w:rsidRPr="0073302E" w14:paraId="38AFC238" w14:textId="77777777" w:rsidTr="00DD71B0">
        <w:tc>
          <w:tcPr>
            <w:tcW w:w="522" w:type="dxa"/>
          </w:tcPr>
          <w:p w14:paraId="3254D76B" w14:textId="766838B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828" w:type="dxa"/>
          </w:tcPr>
          <w:p w14:paraId="7BD8F52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D424F88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3F1F73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4A6A909" w14:textId="700222A7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immune evasion of the pathogen in humans such as by modifying the pathogen to disrupt the effectiveness of pre-existing immunity via immunization or natural infection</w:t>
            </w:r>
          </w:p>
        </w:tc>
      </w:tr>
      <w:tr w:rsidR="004011EA" w:rsidRPr="0073302E" w14:paraId="33157C6F" w14:textId="77777777" w:rsidTr="00DD71B0">
        <w:tc>
          <w:tcPr>
            <w:tcW w:w="522" w:type="dxa"/>
          </w:tcPr>
          <w:p w14:paraId="49BAB33D" w14:textId="2000635A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28" w:type="dxa"/>
          </w:tcPr>
          <w:p w14:paraId="1A7AFD49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B538FF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FC7DF23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41C80FDE" w14:textId="1CF862AC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Generate, use, reconstitute, or transfer an eradicated or extinct PPP, or a previously identified PEPP</w:t>
            </w:r>
          </w:p>
        </w:tc>
      </w:tr>
      <w:tr w:rsidR="004011EA" w:rsidRPr="0073302E" w14:paraId="79E9E7AA" w14:textId="77777777" w:rsidTr="00DD71B0">
        <w:tc>
          <w:tcPr>
            <w:tcW w:w="522" w:type="dxa"/>
            <w:shd w:val="clear" w:color="auto" w:fill="000000" w:themeFill="text1"/>
          </w:tcPr>
          <w:p w14:paraId="5C9F5F34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914339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470B2E2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12F7286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49" w:type="dxa"/>
          </w:tcPr>
          <w:p w14:paraId="2ED69A4A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DURC</w:t>
            </w:r>
          </w:p>
        </w:tc>
      </w:tr>
      <w:tr w:rsidR="004011EA" w:rsidRPr="0073302E" w14:paraId="69E3DA49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1D29D9D5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699670DB" w14:textId="37153E7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B746F67" w14:textId="4509813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3965D3E" w14:textId="18AFFB99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3A83B5D7" w14:textId="506BFED0" w:rsidR="004011EA" w:rsidRPr="00F8370E" w:rsidRDefault="003C535C" w:rsidP="004011EA">
            <w:pPr>
              <w:tabs>
                <w:tab w:val="left" w:pos="23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Select which p</w:t>
            </w:r>
            <w:r w:rsidR="004011EA"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roject outcomes are anticipated to provide knowledge, information, products, or technologies that could be misapplied to do harm with no, or only minor, modification to pose a significant threat with potential consequences to the following:</w:t>
            </w:r>
          </w:p>
        </w:tc>
      </w:tr>
      <w:tr w:rsidR="004011EA" w:rsidRPr="0073302E" w14:paraId="08AFA4CD" w14:textId="77777777" w:rsidTr="00DD71B0">
        <w:tc>
          <w:tcPr>
            <w:tcW w:w="522" w:type="dxa"/>
          </w:tcPr>
          <w:p w14:paraId="653A12E9" w14:textId="31A8848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28" w:type="dxa"/>
          </w:tcPr>
          <w:p w14:paraId="7FF4602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D1A1E32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E0556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DD7539E" w14:textId="5A1B52F8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Public health and safety</w:t>
            </w:r>
          </w:p>
        </w:tc>
      </w:tr>
      <w:tr w:rsidR="004011EA" w:rsidRPr="0073302E" w14:paraId="500708BE" w14:textId="77777777" w:rsidTr="00DD71B0">
        <w:tc>
          <w:tcPr>
            <w:tcW w:w="522" w:type="dxa"/>
          </w:tcPr>
          <w:p w14:paraId="5551FC20" w14:textId="41224D72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28" w:type="dxa"/>
          </w:tcPr>
          <w:p w14:paraId="4542458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A72D13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1D2190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4162144" w14:textId="329ED118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Agricultural crops and other plant</w:t>
            </w:r>
            <w:r w:rsidR="003C535C">
              <w:rPr>
                <w:rFonts w:cs="Arial"/>
                <w:color w:val="000000"/>
              </w:rPr>
              <w:t>s</w:t>
            </w:r>
          </w:p>
        </w:tc>
      </w:tr>
      <w:tr w:rsidR="004011EA" w:rsidRPr="0073302E" w14:paraId="1326B772" w14:textId="77777777" w:rsidTr="00DD71B0">
        <w:tc>
          <w:tcPr>
            <w:tcW w:w="522" w:type="dxa"/>
          </w:tcPr>
          <w:p w14:paraId="38E72F19" w14:textId="79D58A2E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28" w:type="dxa"/>
          </w:tcPr>
          <w:p w14:paraId="1806B64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48AFC8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307DA1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F463332" w14:textId="11C84710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Animals</w:t>
            </w:r>
          </w:p>
        </w:tc>
      </w:tr>
      <w:tr w:rsidR="004011EA" w:rsidRPr="0073302E" w14:paraId="6C884DCA" w14:textId="77777777" w:rsidTr="00DD71B0">
        <w:tc>
          <w:tcPr>
            <w:tcW w:w="522" w:type="dxa"/>
          </w:tcPr>
          <w:p w14:paraId="4F583F52" w14:textId="1FC629B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28" w:type="dxa"/>
          </w:tcPr>
          <w:p w14:paraId="0781FB65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095F39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3AD92B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4E12655" w14:textId="4B5AE3EA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3302E">
              <w:rPr>
                <w:rFonts w:cs="Arial"/>
                <w:bCs/>
                <w:color w:val="000000"/>
              </w:rPr>
              <w:t>The environment</w:t>
            </w:r>
          </w:p>
        </w:tc>
      </w:tr>
      <w:tr w:rsidR="004011EA" w:rsidRPr="0073302E" w14:paraId="6BC4AEF3" w14:textId="77777777" w:rsidTr="00DD71B0">
        <w:tc>
          <w:tcPr>
            <w:tcW w:w="522" w:type="dxa"/>
          </w:tcPr>
          <w:p w14:paraId="441D2017" w14:textId="08B987F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28" w:type="dxa"/>
          </w:tcPr>
          <w:p w14:paraId="2C64E6C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5F71526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2F3220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46C59FB" w14:textId="78E65D33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Material</w:t>
            </w:r>
          </w:p>
        </w:tc>
      </w:tr>
      <w:tr w:rsidR="004011EA" w:rsidRPr="0073302E" w14:paraId="524F01BC" w14:textId="77777777" w:rsidTr="00DD71B0">
        <w:tc>
          <w:tcPr>
            <w:tcW w:w="522" w:type="dxa"/>
          </w:tcPr>
          <w:p w14:paraId="73788607" w14:textId="7A0BD17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28" w:type="dxa"/>
          </w:tcPr>
          <w:p w14:paraId="71BAAE2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1B818D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E9E922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459C108" w14:textId="38925B86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National safety</w:t>
            </w:r>
          </w:p>
        </w:tc>
      </w:tr>
    </w:tbl>
    <w:p w14:paraId="04C3B7CB" w14:textId="624554D5" w:rsidR="00994D24" w:rsidRPr="0073302E" w:rsidRDefault="009A7CF0" w:rsidP="009A7CF0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73302E">
        <w:rPr>
          <w:rFonts w:asciiTheme="minorHAnsi" w:hAnsiTheme="minorHAnsi" w:cs="Arial"/>
          <w:color w:val="000000"/>
        </w:rPr>
        <w:t xml:space="preserve">*Checklist developed based on the </w:t>
      </w:r>
      <w:r w:rsidR="00CE234F" w:rsidRPr="0073302E">
        <w:rPr>
          <w:rFonts w:asciiTheme="minorHAnsi" w:hAnsiTheme="minorHAnsi" w:cs="Arial"/>
          <w:color w:val="000000"/>
        </w:rPr>
        <w:t>US Government Policy for Oversight of Dual Use Research of Concern and Pathogens with Enhanced Pandemic Potential and corresponding NIH Implementation Guidance, Appendix C.</w:t>
      </w:r>
      <w:r w:rsidR="00CE234F" w:rsidRPr="0073302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D77CBA4" w14:textId="77777777" w:rsidR="009A7CF0" w:rsidRPr="0073302E" w:rsidRDefault="009A7CF0" w:rsidP="009A7CF0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1B40717" w14:textId="77777777" w:rsidR="00994D24" w:rsidRPr="0073302E" w:rsidRDefault="00994D24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280C464" w14:textId="5D176BB5" w:rsidR="00994D24" w:rsidRPr="0073302E" w:rsidRDefault="00994D24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PI Assurance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I certify that the information contained </w:t>
      </w:r>
      <w:r w:rsidR="004D329D">
        <w:rPr>
          <w:rFonts w:asciiTheme="minorHAnsi" w:hAnsiTheme="minorHAnsi" w:cs="Arial"/>
          <w:color w:val="000000"/>
          <w:sz w:val="22"/>
          <w:szCs w:val="22"/>
        </w:rPr>
        <w:t xml:space="preserve">here is 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>accurate and complete</w:t>
      </w:r>
      <w:r w:rsidR="004D329D">
        <w:rPr>
          <w:rFonts w:asciiTheme="minorHAnsi" w:hAnsiTheme="minorHAnsi" w:cs="Arial"/>
          <w:color w:val="000000"/>
          <w:sz w:val="22"/>
          <w:szCs w:val="22"/>
        </w:rPr>
        <w:t xml:space="preserve"> regarding the intent of this project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. I am </w:t>
      </w:r>
      <w:r w:rsidR="004D329D">
        <w:rPr>
          <w:rFonts w:asciiTheme="minorHAnsi" w:hAnsiTheme="minorHAnsi" w:cs="Arial"/>
          <w:color w:val="000000"/>
          <w:sz w:val="22"/>
          <w:szCs w:val="22"/>
        </w:rPr>
        <w:t xml:space="preserve">also 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>familiar with and agree to abide by the</w:t>
      </w:r>
      <w:r w:rsidR="00581A62" w:rsidRPr="0073302E">
        <w:rPr>
          <w:rFonts w:asciiTheme="minorHAnsi" w:hAnsiTheme="minorHAnsi" w:cs="Arial"/>
          <w:color w:val="000000"/>
          <w:sz w:val="22"/>
          <w:szCs w:val="22"/>
        </w:rPr>
        <w:t xml:space="preserve"> current editions of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Manual.</w:t>
      </w:r>
    </w:p>
    <w:p w14:paraId="662FF32A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9223AA6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77C9BC79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70FAEB4B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</w:t>
      </w:r>
      <w:r w:rsidRPr="0073302E">
        <w:rPr>
          <w:rFonts w:asciiTheme="minorHAnsi" w:hAnsiTheme="minorHAnsi" w:cs="Arial"/>
          <w:sz w:val="22"/>
          <w:szCs w:val="22"/>
        </w:rPr>
        <w:tab/>
        <w:t>___________</w:t>
      </w:r>
    </w:p>
    <w:p w14:paraId="65219A93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Signature of Principal Investigator</w:t>
      </w:r>
      <w:r w:rsidRPr="0073302E">
        <w:rPr>
          <w:rFonts w:asciiTheme="minorHAnsi" w:hAnsiTheme="minorHAnsi" w:cs="Arial"/>
          <w:sz w:val="22"/>
          <w:szCs w:val="22"/>
        </w:rPr>
        <w:tab/>
      </w:r>
      <w:r w:rsidRPr="0073302E">
        <w:rPr>
          <w:rFonts w:asciiTheme="minorHAnsi" w:hAnsiTheme="minorHAnsi" w:cs="Arial"/>
          <w:sz w:val="22"/>
          <w:szCs w:val="22"/>
        </w:rPr>
        <w:tab/>
      </w:r>
      <w:r w:rsidRPr="0073302E">
        <w:rPr>
          <w:rFonts w:asciiTheme="minorHAnsi" w:hAnsiTheme="minorHAnsi" w:cs="Arial"/>
          <w:sz w:val="22"/>
          <w:szCs w:val="22"/>
        </w:rPr>
        <w:tab/>
        <w:t>Date</w:t>
      </w:r>
    </w:p>
    <w:p w14:paraId="5533DCD5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41ABB2A4" w14:textId="36588B34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Please return</w:t>
      </w:r>
      <w:r w:rsidR="001C5761" w:rsidRPr="0073302E">
        <w:rPr>
          <w:rFonts w:asciiTheme="minorHAnsi" w:hAnsiTheme="minorHAnsi" w:cs="Arial"/>
          <w:sz w:val="22"/>
          <w:szCs w:val="22"/>
        </w:rPr>
        <w:t xml:space="preserve"> completed </w:t>
      </w:r>
      <w:r w:rsidR="0073302E" w:rsidRPr="0073302E">
        <w:rPr>
          <w:rFonts w:asciiTheme="minorHAnsi" w:hAnsiTheme="minorHAnsi" w:cs="Arial"/>
          <w:sz w:val="22"/>
          <w:szCs w:val="22"/>
        </w:rPr>
        <w:t>documents</w:t>
      </w:r>
      <w:r w:rsidRPr="0073302E">
        <w:rPr>
          <w:rFonts w:asciiTheme="minorHAnsi" w:hAnsiTheme="minorHAnsi" w:cs="Arial"/>
          <w:sz w:val="22"/>
          <w:szCs w:val="22"/>
        </w:rPr>
        <w:t xml:space="preserve"> </w:t>
      </w:r>
      <w:r w:rsidRPr="0073302E">
        <w:rPr>
          <w:rFonts w:asciiTheme="minorHAnsi" w:hAnsiTheme="minorHAnsi" w:cs="Arial"/>
          <w:b/>
          <w:sz w:val="22"/>
          <w:szCs w:val="22"/>
        </w:rPr>
        <w:t>electronically</w:t>
      </w:r>
      <w:r w:rsidRPr="0073302E">
        <w:rPr>
          <w:rFonts w:asciiTheme="minorHAnsi" w:hAnsiTheme="minorHAnsi" w:cs="Arial"/>
          <w:sz w:val="22"/>
          <w:szCs w:val="22"/>
        </w:rPr>
        <w:t xml:space="preserve"> in Word format to: </w:t>
      </w:r>
      <w:hyperlink r:id="rId7" w:history="1">
        <w:r w:rsidRPr="0073302E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grants@uwlax.edu</w:t>
        </w:r>
      </w:hyperlink>
    </w:p>
    <w:p w14:paraId="0BEDD0B3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74C53A42" w14:textId="77777777" w:rsidR="00994D24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20EC6F45" w14:textId="77777777" w:rsidR="004D329D" w:rsidRDefault="004D329D" w:rsidP="00994D24">
      <w:pPr>
        <w:rPr>
          <w:rFonts w:asciiTheme="minorHAnsi" w:hAnsiTheme="minorHAnsi" w:cs="Arial"/>
          <w:sz w:val="22"/>
          <w:szCs w:val="22"/>
        </w:rPr>
      </w:pPr>
    </w:p>
    <w:p w14:paraId="16E8AB4A" w14:textId="77777777" w:rsidR="004D329D" w:rsidRDefault="004D329D" w:rsidP="00994D24">
      <w:pPr>
        <w:rPr>
          <w:rFonts w:asciiTheme="minorHAnsi" w:hAnsiTheme="minorHAnsi" w:cs="Arial"/>
          <w:sz w:val="22"/>
          <w:szCs w:val="22"/>
        </w:rPr>
      </w:pPr>
    </w:p>
    <w:p w14:paraId="570F0D66" w14:textId="77777777" w:rsidR="004D329D" w:rsidRPr="0073302E" w:rsidRDefault="004D329D" w:rsidP="00994D24">
      <w:pPr>
        <w:rPr>
          <w:rFonts w:asciiTheme="minorHAnsi" w:hAnsiTheme="minorHAnsi" w:cs="Arial"/>
          <w:sz w:val="22"/>
          <w:szCs w:val="22"/>
        </w:rPr>
      </w:pPr>
    </w:p>
    <w:p w14:paraId="52BD816D" w14:textId="4217B613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422"/>
      </w:tblGrid>
      <w:tr w:rsidR="00994D24" w:rsidRPr="0073302E" w14:paraId="6A3719A6" w14:textId="77777777" w:rsidTr="00216A4C">
        <w:tc>
          <w:tcPr>
            <w:tcW w:w="10422" w:type="dxa"/>
          </w:tcPr>
          <w:p w14:paraId="385D4119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For IBC Use Only</w:t>
            </w:r>
            <w:r w:rsidRPr="0073302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:</w:t>
            </w:r>
          </w:p>
          <w:p w14:paraId="7F4A386C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</w:p>
          <w:p w14:paraId="4C4A3CB6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</w:p>
          <w:p w14:paraId="7A85CA9C" w14:textId="4C6266C3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lastRenderedPageBreak/>
              <w:t>Institutional Biosafety Committee</w:t>
            </w:r>
            <w:r w:rsidR="004F5B06"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t xml:space="preserve"> (IBC)</w:t>
            </w:r>
            <w:r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t xml:space="preserve"> Assurance</w:t>
            </w:r>
            <w:r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The IBC certifies that this project is in compliance with </w:t>
            </w:r>
            <w:bookmarkStart w:id="0" w:name="_Hlk199925483"/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>the</w:t>
            </w:r>
            <w:r w:rsidR="0073302E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 current editions of</w:t>
            </w:r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Manual.</w:t>
            </w:r>
            <w:bookmarkEnd w:id="0"/>
          </w:p>
          <w:p w14:paraId="0DE6D0B6" w14:textId="77777777" w:rsidR="004F5B06" w:rsidRPr="0073302E" w:rsidRDefault="004F5B06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</w:p>
          <w:p w14:paraId="4B1B1D12" w14:textId="576088F0" w:rsidR="004F5B06" w:rsidRPr="0073302E" w:rsidRDefault="004F5B06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5EDFD489" w14:textId="7777777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BE986CD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</w:t>
      </w:r>
      <w:r w:rsidRPr="0073302E">
        <w:rPr>
          <w:rFonts w:asciiTheme="minorHAnsi" w:hAnsiTheme="minorHAnsi" w:cs="Arial"/>
          <w:sz w:val="22"/>
          <w:szCs w:val="22"/>
        </w:rPr>
        <w:tab/>
        <w:t>______________</w:t>
      </w:r>
    </w:p>
    <w:p w14:paraId="58E54A0D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Signature of IBC Chair or IBC Coordinator</w:t>
      </w:r>
      <w:r w:rsidRPr="0073302E">
        <w:rPr>
          <w:rFonts w:asciiTheme="minorHAnsi" w:hAnsiTheme="minorHAnsi" w:cs="Arial"/>
          <w:sz w:val="22"/>
          <w:szCs w:val="22"/>
        </w:rPr>
        <w:tab/>
        <w:t xml:space="preserve">               Date</w:t>
      </w:r>
    </w:p>
    <w:p w14:paraId="6F56BDEB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4DCDEC26" w14:textId="77777777" w:rsidR="00E26F64" w:rsidRPr="0073302E" w:rsidRDefault="00E26F64">
      <w:pPr>
        <w:rPr>
          <w:rFonts w:asciiTheme="minorHAnsi" w:hAnsiTheme="minorHAnsi" w:cs="Arial"/>
          <w:sz w:val="22"/>
          <w:szCs w:val="22"/>
        </w:rPr>
      </w:pPr>
    </w:p>
    <w:sectPr w:rsidR="00E26F64" w:rsidRPr="007330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E05F" w14:textId="77777777" w:rsidR="008E476C" w:rsidRDefault="008E476C" w:rsidP="00994D24">
      <w:r>
        <w:separator/>
      </w:r>
    </w:p>
  </w:endnote>
  <w:endnote w:type="continuationSeparator" w:id="0">
    <w:p w14:paraId="465F6A72" w14:textId="77777777" w:rsidR="008E476C" w:rsidRDefault="008E476C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7466" w14:textId="3616B191" w:rsidR="004D4FDB" w:rsidRPr="004D4FDB" w:rsidRDefault="004D4FDB">
    <w:pPr>
      <w:pStyle w:val="Footer"/>
      <w:rPr>
        <w:sz w:val="20"/>
        <w:szCs w:val="20"/>
      </w:rPr>
    </w:pPr>
    <w:r w:rsidRPr="004D4FDB">
      <w:rPr>
        <w:sz w:val="20"/>
        <w:szCs w:val="20"/>
      </w:rPr>
      <w:t>Last updated: 3/20/2025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62FC" w14:textId="77777777" w:rsidR="008E476C" w:rsidRDefault="008E476C" w:rsidP="00994D24">
      <w:r>
        <w:separator/>
      </w:r>
    </w:p>
  </w:footnote>
  <w:footnote w:type="continuationSeparator" w:id="0">
    <w:p w14:paraId="332A6676" w14:textId="77777777" w:rsidR="008E476C" w:rsidRDefault="008E476C" w:rsidP="009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E06A" w14:textId="43A91303" w:rsidR="00994D24" w:rsidRDefault="00994D24">
    <w:pPr>
      <w:pStyle w:val="Header"/>
    </w:pPr>
    <w:r>
      <w:rPr>
        <w:noProof/>
      </w:rPr>
      <w:drawing>
        <wp:inline distT="0" distB="0" distL="0" distR="0" wp14:anchorId="484B3B59" wp14:editId="09309655">
          <wp:extent cx="2457450" cy="502285"/>
          <wp:effectExtent l="0" t="0" r="0" b="0"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44" b="36903"/>
                  <a:stretch/>
                </pic:blipFill>
                <pic:spPr bwMode="auto">
                  <a:xfrm>
                    <a:off x="0" y="0"/>
                    <a:ext cx="2457450" cy="50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0014"/>
    <w:multiLevelType w:val="hybridMultilevel"/>
    <w:tmpl w:val="7D46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3F36"/>
    <w:multiLevelType w:val="hybridMultilevel"/>
    <w:tmpl w:val="8884B252"/>
    <w:lvl w:ilvl="0" w:tplc="FECA11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1026B"/>
    <w:multiLevelType w:val="hybridMultilevel"/>
    <w:tmpl w:val="CE6C9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D2EF2"/>
    <w:multiLevelType w:val="hybridMultilevel"/>
    <w:tmpl w:val="A558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72873"/>
    <w:multiLevelType w:val="hybridMultilevel"/>
    <w:tmpl w:val="A0BE04E4"/>
    <w:lvl w:ilvl="0" w:tplc="7518AA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068835">
    <w:abstractNumId w:val="1"/>
  </w:num>
  <w:num w:numId="2" w16cid:durableId="1169056835">
    <w:abstractNumId w:val="4"/>
  </w:num>
  <w:num w:numId="3" w16cid:durableId="977800361">
    <w:abstractNumId w:val="2"/>
  </w:num>
  <w:num w:numId="4" w16cid:durableId="532766775">
    <w:abstractNumId w:val="3"/>
  </w:num>
  <w:num w:numId="5" w16cid:durableId="127493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7"/>
    <w:rsid w:val="000215D7"/>
    <w:rsid w:val="00031267"/>
    <w:rsid w:val="001B6037"/>
    <w:rsid w:val="001C5761"/>
    <w:rsid w:val="00250819"/>
    <w:rsid w:val="002730A0"/>
    <w:rsid w:val="00300DD1"/>
    <w:rsid w:val="00380D0B"/>
    <w:rsid w:val="003C535C"/>
    <w:rsid w:val="003D4B2D"/>
    <w:rsid w:val="004011EA"/>
    <w:rsid w:val="004D329D"/>
    <w:rsid w:val="004D4FDB"/>
    <w:rsid w:val="004F5B06"/>
    <w:rsid w:val="00581A62"/>
    <w:rsid w:val="005E2C59"/>
    <w:rsid w:val="005E4DF6"/>
    <w:rsid w:val="0060698D"/>
    <w:rsid w:val="00666063"/>
    <w:rsid w:val="0069068A"/>
    <w:rsid w:val="0069135A"/>
    <w:rsid w:val="006C3B46"/>
    <w:rsid w:val="0073302E"/>
    <w:rsid w:val="0076076D"/>
    <w:rsid w:val="007B14D4"/>
    <w:rsid w:val="007E2EE1"/>
    <w:rsid w:val="007F0DAE"/>
    <w:rsid w:val="008041DE"/>
    <w:rsid w:val="008A47C3"/>
    <w:rsid w:val="008D584C"/>
    <w:rsid w:val="008E3C84"/>
    <w:rsid w:val="008E476C"/>
    <w:rsid w:val="00937F4E"/>
    <w:rsid w:val="00967F93"/>
    <w:rsid w:val="00994D24"/>
    <w:rsid w:val="009A7CF0"/>
    <w:rsid w:val="00A07CC7"/>
    <w:rsid w:val="00A22959"/>
    <w:rsid w:val="00A80FE3"/>
    <w:rsid w:val="00AA7C98"/>
    <w:rsid w:val="00AB30AD"/>
    <w:rsid w:val="00AD5222"/>
    <w:rsid w:val="00B30426"/>
    <w:rsid w:val="00B375A3"/>
    <w:rsid w:val="00B43980"/>
    <w:rsid w:val="00BF64E2"/>
    <w:rsid w:val="00C47C99"/>
    <w:rsid w:val="00C52BA5"/>
    <w:rsid w:val="00C60C01"/>
    <w:rsid w:val="00C90EC0"/>
    <w:rsid w:val="00CE234F"/>
    <w:rsid w:val="00CF2842"/>
    <w:rsid w:val="00DA70EA"/>
    <w:rsid w:val="00DD71B0"/>
    <w:rsid w:val="00E1405E"/>
    <w:rsid w:val="00E150B2"/>
    <w:rsid w:val="00E26F64"/>
    <w:rsid w:val="00E90AC5"/>
    <w:rsid w:val="00EF5DD9"/>
    <w:rsid w:val="00F8370E"/>
    <w:rsid w:val="00FA2991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1D5B"/>
  <w15:chartTrackingRefBased/>
  <w15:docId w15:val="{2F3DCF52-60F4-454A-8592-2EEFFF4B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C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07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A0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C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7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7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C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4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94D24"/>
  </w:style>
  <w:style w:type="paragraph" w:styleId="Footer">
    <w:name w:val="footer"/>
    <w:basedOn w:val="Normal"/>
    <w:link w:val="FooterChar"/>
    <w:uiPriority w:val="99"/>
    <w:unhideWhenUsed/>
    <w:rsid w:val="00994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94D24"/>
  </w:style>
  <w:style w:type="character" w:styleId="Hyperlink">
    <w:name w:val="Hyperlink"/>
    <w:rsid w:val="0099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uwla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Nowak</dc:creator>
  <cp:keywords/>
  <dc:description/>
  <cp:lastModifiedBy>Ashley Nowak</cp:lastModifiedBy>
  <cp:revision>33</cp:revision>
  <dcterms:created xsi:type="dcterms:W3CDTF">2025-06-04T15:09:00Z</dcterms:created>
  <dcterms:modified xsi:type="dcterms:W3CDTF">2025-06-04T17:53:00Z</dcterms:modified>
</cp:coreProperties>
</file>