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9CCA" w14:textId="77777777" w:rsidR="00E60E79" w:rsidRPr="00CF4F76" w:rsidRDefault="00E60E79" w:rsidP="00E60E79">
      <w:pPr>
        <w:rPr>
          <w:rFonts w:ascii="Constantia" w:hAnsi="Constantia" w:cs="Calibri"/>
        </w:rPr>
      </w:pPr>
      <w:r>
        <w:rPr>
          <w:rFonts w:ascii="Trebuchet MS" w:eastAsia="Batang" w:hAnsi="Trebuchet MS" w:cs="Tahoma"/>
          <w:b/>
          <w:smallCaps/>
          <w:noProof/>
          <w:sz w:val="16"/>
          <w:szCs w:val="16"/>
        </w:rPr>
        <w:drawing>
          <wp:inline distT="0" distB="0" distL="0" distR="0" wp14:anchorId="21D80011" wp14:editId="768742DF">
            <wp:extent cx="1695450" cy="276225"/>
            <wp:effectExtent l="0" t="0" r="0" b="0"/>
            <wp:docPr id="1549791504" name="Picture 1" descr="A white and re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791504" name="Picture 1" descr="A white and red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8CB38" w14:textId="77777777" w:rsidR="00E60E79" w:rsidRPr="00697232" w:rsidRDefault="00E60E79" w:rsidP="00E60E79">
      <w:pPr>
        <w:pStyle w:val="Title"/>
        <w:jc w:val="left"/>
        <w:rPr>
          <w:rFonts w:ascii="Calibri" w:eastAsia="Batang" w:hAnsi="Calibri" w:cs="Calibri"/>
          <w:b w:val="0"/>
          <w:smallCaps/>
          <w:sz w:val="24"/>
          <w:szCs w:val="24"/>
        </w:rPr>
      </w:pPr>
      <w:r w:rsidRPr="00697232">
        <w:rPr>
          <w:rFonts w:ascii="Calibri" w:eastAsia="Batang" w:hAnsi="Calibri" w:cs="Calibri"/>
          <w:b w:val="0"/>
          <w:smallCaps/>
          <w:sz w:val="24"/>
          <w:szCs w:val="24"/>
        </w:rPr>
        <w:t>Institutional Animal care and Use Committee (IACUC)</w:t>
      </w:r>
    </w:p>
    <w:p w14:paraId="6C791B60" w14:textId="77777777" w:rsidR="00E60E79" w:rsidRPr="00CF4F76" w:rsidRDefault="00E60E79" w:rsidP="00E60E79">
      <w:pPr>
        <w:rPr>
          <w:rFonts w:ascii="Constantia" w:hAnsi="Constantia" w:cs="Calibri"/>
          <w:sz w:val="20"/>
          <w:szCs w:val="20"/>
        </w:rPr>
      </w:pPr>
    </w:p>
    <w:p w14:paraId="7D1C31A0" w14:textId="77777777" w:rsidR="00E60E79" w:rsidRPr="00ED3A4B" w:rsidRDefault="00E60E79" w:rsidP="00E6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Calibri"/>
          <w:b/>
          <w:sz w:val="36"/>
          <w:szCs w:val="36"/>
        </w:rPr>
      </w:pPr>
      <w:r w:rsidRPr="00ED3A4B">
        <w:rPr>
          <w:rFonts w:ascii="Constantia" w:hAnsi="Constantia" w:cs="Calibri"/>
          <w:b/>
          <w:sz w:val="36"/>
          <w:szCs w:val="36"/>
        </w:rPr>
        <w:t xml:space="preserve">Appendix </w:t>
      </w:r>
      <w:r>
        <w:rPr>
          <w:rFonts w:ascii="Constantia" w:hAnsi="Constantia" w:cs="Calibri"/>
          <w:b/>
          <w:sz w:val="36"/>
          <w:szCs w:val="36"/>
        </w:rPr>
        <w:t>I</w:t>
      </w:r>
    </w:p>
    <w:p w14:paraId="3DA8BBCA" w14:textId="77777777" w:rsidR="00E60E79" w:rsidRPr="00CF4F76" w:rsidRDefault="00E60E79" w:rsidP="00E60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Calibri"/>
          <w:sz w:val="28"/>
          <w:szCs w:val="28"/>
        </w:rPr>
      </w:pPr>
      <w:r w:rsidRPr="00CF4F76">
        <w:rPr>
          <w:rFonts w:ascii="Constantia" w:hAnsi="Constantia" w:cs="Calibri"/>
          <w:sz w:val="28"/>
          <w:szCs w:val="28"/>
        </w:rPr>
        <w:t xml:space="preserve">Hazardous </w:t>
      </w:r>
      <w:r w:rsidRPr="00C23CD8">
        <w:rPr>
          <w:rFonts w:ascii="Constantia" w:hAnsi="Constantia" w:cs="Calibri"/>
          <w:sz w:val="28"/>
          <w:szCs w:val="28"/>
        </w:rPr>
        <w:t>Chemical</w:t>
      </w:r>
      <w:r>
        <w:rPr>
          <w:rFonts w:ascii="Constantia" w:hAnsi="Constantia" w:cs="Calibri"/>
          <w:sz w:val="28"/>
          <w:szCs w:val="28"/>
        </w:rPr>
        <w:t>s, Radioactive Materials,</w:t>
      </w:r>
      <w:r w:rsidRPr="009F16EA">
        <w:rPr>
          <w:rFonts w:ascii="Constantia" w:hAnsi="Constantia" w:cs="Calibri"/>
          <w:sz w:val="28"/>
          <w:szCs w:val="28"/>
        </w:rPr>
        <w:t xml:space="preserve"> </w:t>
      </w:r>
      <w:r>
        <w:rPr>
          <w:rFonts w:ascii="Constantia" w:hAnsi="Constantia" w:cs="Calibri"/>
          <w:sz w:val="28"/>
          <w:szCs w:val="28"/>
        </w:rPr>
        <w:t xml:space="preserve">and Ionizing Radiation Sources </w:t>
      </w:r>
    </w:p>
    <w:p w14:paraId="0D39072F" w14:textId="77777777" w:rsidR="00E60E79" w:rsidRPr="00CF4F76" w:rsidRDefault="00E60E79" w:rsidP="00E60E79">
      <w:pPr>
        <w:rPr>
          <w:rFonts w:ascii="Constantia" w:hAnsi="Constantia" w:cs="Calibri"/>
          <w:sz w:val="20"/>
          <w:szCs w:val="20"/>
        </w:rPr>
      </w:pPr>
    </w:p>
    <w:p w14:paraId="5FD53E89" w14:textId="24A7D59C" w:rsidR="00E60E79" w:rsidRDefault="00E60E79" w:rsidP="00E60E79">
      <w:pPr>
        <w:rPr>
          <w:rFonts w:ascii="Constantia" w:hAnsi="Constantia" w:cs="Calibri"/>
          <w:sz w:val="20"/>
          <w:szCs w:val="20"/>
        </w:rPr>
      </w:pPr>
      <w:r w:rsidRPr="000F24E6">
        <w:rPr>
          <w:rFonts w:ascii="Constantia" w:hAnsi="Constantia" w:cs="Calibri"/>
          <w:sz w:val="20"/>
          <w:szCs w:val="20"/>
        </w:rPr>
        <w:t>If using hazardous chemical(s)</w:t>
      </w:r>
      <w:r>
        <w:rPr>
          <w:rFonts w:ascii="Constantia" w:hAnsi="Constantia" w:cs="Calibri"/>
          <w:sz w:val="20"/>
          <w:szCs w:val="20"/>
        </w:rPr>
        <w:t>,</w:t>
      </w:r>
      <w:r w:rsidRPr="000F24E6">
        <w:rPr>
          <w:rFonts w:ascii="Constantia" w:hAnsi="Constantia" w:cs="Calibri"/>
          <w:sz w:val="20"/>
          <w:szCs w:val="20"/>
        </w:rPr>
        <w:t xml:space="preserve"> radioactive materials</w:t>
      </w:r>
      <w:r>
        <w:rPr>
          <w:rFonts w:ascii="Constantia" w:hAnsi="Constantia" w:cs="Calibri"/>
          <w:sz w:val="20"/>
          <w:szCs w:val="20"/>
        </w:rPr>
        <w:t>, and/or ionizing radiation sources</w:t>
      </w:r>
      <w:r w:rsidRPr="000F24E6">
        <w:rPr>
          <w:rFonts w:ascii="Constantia" w:hAnsi="Constantia" w:cs="Calibri"/>
          <w:sz w:val="20"/>
          <w:szCs w:val="20"/>
        </w:rPr>
        <w:t xml:space="preserve">, a copy of this protocol must be submitted to UWL’s Environmental Health and Safety (EHS) Officer </w:t>
      </w:r>
      <w:r w:rsidRPr="000F24E6">
        <w:rPr>
          <w:rFonts w:ascii="Constantia" w:hAnsi="Constantia"/>
          <w:sz w:val="20"/>
          <w:szCs w:val="20"/>
        </w:rPr>
        <w:t>(</w:t>
      </w:r>
      <w:hyperlink r:id="rId6" w:history="1">
        <w:r w:rsidRPr="000F24E6">
          <w:rPr>
            <w:rStyle w:val="Hyperlink"/>
            <w:rFonts w:ascii="Constantia" w:hAnsi="Constantia"/>
            <w:sz w:val="20"/>
            <w:szCs w:val="20"/>
            <w:shd w:val="clear" w:color="auto" w:fill="FFFFFF"/>
          </w:rPr>
          <w:t>dsweetman@uwlax.edu</w:t>
        </w:r>
      </w:hyperlink>
      <w:r w:rsidRPr="000F24E6">
        <w:rPr>
          <w:rStyle w:val="Strong"/>
          <w:rFonts w:ascii="Constantia" w:hAnsi="Constantia"/>
          <w:sz w:val="20"/>
          <w:szCs w:val="20"/>
          <w:shd w:val="clear" w:color="auto" w:fill="FFFFFF"/>
        </w:rPr>
        <w:t xml:space="preserve">) </w:t>
      </w:r>
      <w:r w:rsidRPr="000F24E6">
        <w:rPr>
          <w:rFonts w:ascii="Constantia" w:hAnsi="Constantia" w:cs="Calibri"/>
          <w:sz w:val="20"/>
          <w:szCs w:val="20"/>
        </w:rPr>
        <w:t xml:space="preserve">for review and approval. If needed, contact EHS for guidance on </w:t>
      </w:r>
      <w:r>
        <w:rPr>
          <w:rFonts w:ascii="Constantia" w:hAnsi="Constantia" w:cs="Calibri"/>
          <w:sz w:val="20"/>
          <w:szCs w:val="20"/>
        </w:rPr>
        <w:t xml:space="preserve">containment and </w:t>
      </w:r>
      <w:r w:rsidRPr="000F24E6">
        <w:rPr>
          <w:rFonts w:ascii="Constantia" w:hAnsi="Constantia" w:cs="Calibri"/>
          <w:sz w:val="20"/>
          <w:szCs w:val="20"/>
        </w:rPr>
        <w:t xml:space="preserve">disposal. A copy of the application and a letter from EHS stating your protocol has been reviewed and approved is required for final IACUC approval. Refer to the </w:t>
      </w:r>
      <w:hyperlink r:id="rId7" w:history="1">
        <w:r w:rsidRPr="000F24E6">
          <w:rPr>
            <w:rStyle w:val="Hyperlink"/>
            <w:rFonts w:ascii="Constantia" w:hAnsi="Constantia" w:cs="Calibri"/>
            <w:sz w:val="20"/>
            <w:szCs w:val="20"/>
          </w:rPr>
          <w:t>IACUC policy</w:t>
        </w:r>
      </w:hyperlink>
      <w:r w:rsidRPr="000F24E6">
        <w:rPr>
          <w:rFonts w:ascii="Constantia" w:hAnsi="Constantia" w:cs="Calibri"/>
          <w:sz w:val="20"/>
          <w:szCs w:val="20"/>
        </w:rPr>
        <w:t xml:space="preserve"> for more information.</w:t>
      </w:r>
    </w:p>
    <w:p w14:paraId="12CCEAE9" w14:textId="77777777" w:rsidR="00E60E79" w:rsidRDefault="00E60E79" w:rsidP="00E60E79">
      <w:pPr>
        <w:rPr>
          <w:rFonts w:ascii="Constantia" w:hAnsi="Constantia" w:cs="Calibri"/>
          <w:sz w:val="20"/>
          <w:szCs w:val="20"/>
        </w:rPr>
      </w:pPr>
    </w:p>
    <w:p w14:paraId="5A5C97A7" w14:textId="79BF5617" w:rsidR="00E60E79" w:rsidRPr="000F24E6" w:rsidRDefault="00E60E79" w:rsidP="00E60E79">
      <w:pPr>
        <w:rPr>
          <w:rFonts w:ascii="Constantia" w:hAnsi="Constantia" w:cs="Calibri"/>
          <w:sz w:val="20"/>
          <w:szCs w:val="20"/>
        </w:rPr>
      </w:pPr>
      <w:r>
        <w:rPr>
          <w:rFonts w:ascii="Constantia" w:hAnsi="Constantia" w:cs="Calibri"/>
          <w:sz w:val="20"/>
          <w:szCs w:val="20"/>
        </w:rPr>
        <w:t xml:space="preserve">If you have questions about whether your research materials qualify as a hazardous biological agent, please contact </w:t>
      </w:r>
      <w:hyperlink r:id="rId8" w:history="1">
        <w:r w:rsidRPr="000F24E6">
          <w:rPr>
            <w:rStyle w:val="Hyperlink"/>
            <w:rFonts w:ascii="Constantia" w:hAnsi="Constantia"/>
            <w:sz w:val="20"/>
            <w:szCs w:val="20"/>
            <w:shd w:val="clear" w:color="auto" w:fill="FFFFFF"/>
          </w:rPr>
          <w:t>dsweetman@uwlax.edu</w:t>
        </w:r>
      </w:hyperlink>
      <w:r w:rsidRPr="000F24E6">
        <w:rPr>
          <w:rFonts w:ascii="Constantia" w:hAnsi="Constantia" w:cs="Calibri"/>
          <w:sz w:val="20"/>
          <w:szCs w:val="20"/>
        </w:rPr>
        <w:t>.</w:t>
      </w:r>
    </w:p>
    <w:p w14:paraId="2D32C58D" w14:textId="77777777" w:rsidR="00E60E79" w:rsidRPr="00CF4F76" w:rsidRDefault="00E60E79" w:rsidP="00E60E79">
      <w:pPr>
        <w:rPr>
          <w:rFonts w:ascii="Constantia" w:hAnsi="Constantia" w:cs="Calibri"/>
          <w:sz w:val="20"/>
          <w:szCs w:val="20"/>
        </w:rPr>
      </w:pPr>
    </w:p>
    <w:p w14:paraId="0FD16A92" w14:textId="77777777" w:rsidR="00E60E79" w:rsidRPr="00DF3897" w:rsidRDefault="00E60E79" w:rsidP="00E60E79">
      <w:pPr>
        <w:pStyle w:val="ListParagraph"/>
        <w:numPr>
          <w:ilvl w:val="0"/>
          <w:numId w:val="2"/>
        </w:numPr>
        <w:ind w:left="270" w:hanging="270"/>
        <w:rPr>
          <w:rFonts w:ascii="Constantia" w:hAnsi="Constantia" w:cs="Calibri"/>
          <w:b/>
          <w:sz w:val="20"/>
          <w:szCs w:val="20"/>
        </w:rPr>
      </w:pPr>
      <w:r w:rsidRPr="00DF3897">
        <w:rPr>
          <w:rFonts w:ascii="Constantia" w:hAnsi="Constantia" w:cs="Calibri"/>
          <w:b/>
          <w:sz w:val="20"/>
          <w:szCs w:val="20"/>
        </w:rPr>
        <w:t>Hazardous Chemicals:</w:t>
      </w:r>
    </w:p>
    <w:p w14:paraId="6FF22D4A" w14:textId="77777777" w:rsidR="00E60E79" w:rsidRDefault="00E60E79" w:rsidP="00E60E79">
      <w:pPr>
        <w:ind w:left="360"/>
        <w:rPr>
          <w:rFonts w:ascii="Constantia" w:hAnsi="Constantia" w:cs="Calibri"/>
          <w:b/>
          <w:sz w:val="20"/>
          <w:szCs w:val="20"/>
        </w:rPr>
      </w:pPr>
    </w:p>
    <w:p w14:paraId="38C07050" w14:textId="77777777" w:rsidR="00E60E79" w:rsidRPr="00DF3897" w:rsidRDefault="00E60E79" w:rsidP="00E60E79">
      <w:pPr>
        <w:pStyle w:val="ListParagraph"/>
        <w:numPr>
          <w:ilvl w:val="0"/>
          <w:numId w:val="3"/>
        </w:numPr>
        <w:rPr>
          <w:rFonts w:ascii="Constantia" w:hAnsi="Constantia" w:cs="Calibri"/>
          <w:b/>
          <w:sz w:val="20"/>
          <w:szCs w:val="20"/>
        </w:rPr>
      </w:pPr>
      <w: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>Details of Chemical Use:</w:t>
      </w:r>
    </w:p>
    <w:p w14:paraId="49A16D6D" w14:textId="77777777" w:rsidR="00E60E79" w:rsidRPr="00CF4F76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080"/>
        <w:gridCol w:w="1440"/>
        <w:gridCol w:w="1170"/>
        <w:gridCol w:w="1170"/>
      </w:tblGrid>
      <w:tr w:rsidR="00E60E79" w:rsidRPr="00CF4F76" w14:paraId="0A615072" w14:textId="77777777" w:rsidTr="007501A0">
        <w:tc>
          <w:tcPr>
            <w:tcW w:w="1476" w:type="dxa"/>
            <w:shd w:val="clear" w:color="auto" w:fill="E6E6E6"/>
          </w:tcPr>
          <w:p w14:paraId="50EFC98F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Chemical Name</w:t>
            </w:r>
          </w:p>
        </w:tc>
        <w:tc>
          <w:tcPr>
            <w:tcW w:w="1476" w:type="dxa"/>
            <w:shd w:val="clear" w:color="auto" w:fill="E6E6E6"/>
          </w:tcPr>
          <w:p w14:paraId="1A14606C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onstantia" w:hAnsi="Constantia" w:cs="Calibri"/>
                <w:b/>
                <w:sz w:val="16"/>
                <w:szCs w:val="16"/>
              </w:rPr>
              <w:t>Primary C</w:t>
            </w: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hemical</w:t>
            </w:r>
            <w:r>
              <w:rPr>
                <w:rFonts w:ascii="Constantia" w:hAnsi="Constantia" w:cs="Calibri"/>
                <w:b/>
                <w:sz w:val="16"/>
                <w:szCs w:val="16"/>
              </w:rPr>
              <w:t xml:space="preserve"> Hazard(s)</w:t>
            </w: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 xml:space="preserve"> (carcinogen, toxin, teratogen…)</w:t>
            </w:r>
          </w:p>
        </w:tc>
        <w:tc>
          <w:tcPr>
            <w:tcW w:w="1476" w:type="dxa"/>
            <w:shd w:val="clear" w:color="auto" w:fill="E6E6E6"/>
          </w:tcPr>
          <w:p w14:paraId="1AC3D12D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Administration</w:t>
            </w:r>
          </w:p>
        </w:tc>
        <w:tc>
          <w:tcPr>
            <w:tcW w:w="1080" w:type="dxa"/>
            <w:shd w:val="clear" w:color="auto" w:fill="E6E6E6"/>
          </w:tcPr>
          <w:p w14:paraId="653C58D4" w14:textId="77777777" w:rsidR="00E60E79" w:rsidRPr="00CF4F76" w:rsidRDefault="00E60E79" w:rsidP="007501A0">
            <w:pPr>
              <w:jc w:val="center"/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Dosage</w:t>
            </w:r>
          </w:p>
        </w:tc>
        <w:tc>
          <w:tcPr>
            <w:tcW w:w="1440" w:type="dxa"/>
            <w:shd w:val="clear" w:color="auto" w:fill="E6E6E6"/>
          </w:tcPr>
          <w:p w14:paraId="5728A0AB" w14:textId="77777777" w:rsidR="00E60E79" w:rsidRPr="00CF4F76" w:rsidRDefault="00E60E79" w:rsidP="007501A0">
            <w:pPr>
              <w:jc w:val="center"/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Excretion</w:t>
            </w:r>
          </w:p>
        </w:tc>
        <w:tc>
          <w:tcPr>
            <w:tcW w:w="1170" w:type="dxa"/>
            <w:shd w:val="clear" w:color="auto" w:fill="E6E6E6"/>
          </w:tcPr>
          <w:p w14:paraId="4CA8B04A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carcass hazardous?</w:t>
            </w:r>
          </w:p>
        </w:tc>
        <w:tc>
          <w:tcPr>
            <w:tcW w:w="1170" w:type="dxa"/>
            <w:shd w:val="clear" w:color="auto" w:fill="E6E6E6"/>
          </w:tcPr>
          <w:p w14:paraId="7E7FDD7F" w14:textId="77777777" w:rsidR="00E60E79" w:rsidRPr="00CF4F76" w:rsidRDefault="00E60E79" w:rsidP="007501A0">
            <w:pPr>
              <w:jc w:val="center"/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bedding or caging hazardous?</w:t>
            </w:r>
          </w:p>
        </w:tc>
      </w:tr>
      <w:tr w:rsidR="00E60E79" w:rsidRPr="00CF4F76" w14:paraId="771D853F" w14:textId="77777777" w:rsidTr="007501A0">
        <w:tc>
          <w:tcPr>
            <w:tcW w:w="1476" w:type="dxa"/>
          </w:tcPr>
          <w:p w14:paraId="5257C9E7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0CE98E5E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770771C1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A3EF7F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27DB09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B0AEADE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E13791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E60E79" w:rsidRPr="00CF4F76" w14:paraId="1E477C7F" w14:textId="77777777" w:rsidTr="007501A0">
        <w:tc>
          <w:tcPr>
            <w:tcW w:w="1476" w:type="dxa"/>
          </w:tcPr>
          <w:p w14:paraId="428DBE58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52CC0491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77D81D44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E7BDCD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D69444E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3A6E2E37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EFD191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E60E79" w:rsidRPr="00CF4F76" w14:paraId="70DE7F99" w14:textId="77777777" w:rsidTr="007501A0">
        <w:tc>
          <w:tcPr>
            <w:tcW w:w="1476" w:type="dxa"/>
          </w:tcPr>
          <w:p w14:paraId="377FDF4A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3FA5FAD7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5D94E597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38C9BE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A0497B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2FA3C9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27AB4764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</w:tbl>
    <w:p w14:paraId="22D1FA3C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6C7987C4" w14:textId="77777777" w:rsidR="00E60E79" w:rsidRDefault="00E60E79" w:rsidP="00E60E79">
      <w:pPr>
        <w:pStyle w:val="ListParagraph"/>
        <w:numPr>
          <w:ilvl w:val="0"/>
          <w:numId w:val="3"/>
        </w:numPr>
        <w:rPr>
          <w:rFonts w:ascii="Constantia" w:hAnsi="Constantia" w:cs="Calibri"/>
          <w:b/>
          <w:sz w:val="20"/>
          <w:szCs w:val="20"/>
        </w:rPr>
      </w:pPr>
      <w:r>
        <w:rPr>
          <w:rFonts w:ascii="Constantia" w:hAnsi="Constantia" w:cs="Calibri"/>
          <w:b/>
          <w:sz w:val="20"/>
          <w:szCs w:val="20"/>
        </w:rPr>
        <w:t xml:space="preserve">Details of Disposal: </w:t>
      </w:r>
    </w:p>
    <w:p w14:paraId="0D5A5E58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5EE21E6C" w14:textId="77777777" w:rsidR="00E60E79" w:rsidRPr="00DF3897" w:rsidRDefault="00E60E79" w:rsidP="00E60E79">
      <w:pPr>
        <w:ind w:left="360"/>
        <w:rPr>
          <w:rFonts w:ascii="Constantia" w:hAnsi="Constantia" w:cs="Calibri"/>
          <w:b/>
          <w:sz w:val="20"/>
          <w:szCs w:val="20"/>
        </w:rPr>
      </w:pPr>
      <w:r w:rsidRPr="00DF3897">
        <w:rPr>
          <w:rFonts w:ascii="Constantia" w:hAnsi="Constantia" w:cs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1D55C7" wp14:editId="06709B5F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894705" cy="1404620"/>
                <wp:effectExtent l="0" t="0" r="10795" b="13970"/>
                <wp:wrapSquare wrapText="bothSides"/>
                <wp:docPr id="1338213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F7D9D" w14:textId="77777777" w:rsidR="00E60E79" w:rsidRDefault="00E60E79" w:rsidP="00E60E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1D5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6pt;width:464.1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">
                <v:textbox style="mso-fit-shape-to-text:t">
                  <w:txbxContent>
                    <w:p w14:paraId="661F7D9D" w14:textId="77777777" w:rsidR="00E60E79" w:rsidRDefault="00E60E79" w:rsidP="00E60E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nstantia" w:hAnsi="Constantia" w:cs="Calibri"/>
          <w:b/>
          <w:sz w:val="20"/>
          <w:szCs w:val="20"/>
        </w:rPr>
        <w:t>Outline how chemicals will be disposed:</w:t>
      </w:r>
    </w:p>
    <w:p w14:paraId="23B607E0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1958F2C5" w14:textId="77777777" w:rsidR="00E60E79" w:rsidRDefault="00E60E79" w:rsidP="00E60E79">
      <w:pP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</w:pPr>
      <w:r w:rsidRPr="00897A02">
        <w:rPr>
          <w:rFonts w:ascii="Constantia" w:hAnsi="Constantia" w:cs="Calibri"/>
          <w:b/>
          <w:sz w:val="20"/>
          <w:szCs w:val="20"/>
        </w:rPr>
        <w:t xml:space="preserve">2.  </w:t>
      </w:r>
      <w: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>R</w:t>
      </w:r>
      <w:r w:rsidRPr="00897A02"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 xml:space="preserve">adioactive </w:t>
      </w:r>
      <w: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>M</w:t>
      </w:r>
      <w:r w:rsidRPr="00897A02"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 xml:space="preserve">aterials </w:t>
      </w:r>
      <w: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 xml:space="preserve">and </w:t>
      </w:r>
      <w:r w:rsidRPr="00897A02"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 xml:space="preserve">Ionizing </w:t>
      </w:r>
      <w: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>R</w:t>
      </w:r>
      <w:r w:rsidRPr="00897A02"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 xml:space="preserve">adiation </w:t>
      </w:r>
      <w: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>S</w:t>
      </w:r>
      <w:r w:rsidRPr="00897A02"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>ources</w:t>
      </w:r>
      <w: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>:</w:t>
      </w:r>
    </w:p>
    <w:p w14:paraId="0466339B" w14:textId="77777777" w:rsidR="00E60E79" w:rsidRDefault="00E60E79" w:rsidP="00E60E79">
      <w:pP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</w:pPr>
    </w:p>
    <w:p w14:paraId="5FD67216" w14:textId="77777777" w:rsidR="00E60E79" w:rsidRPr="00646E5A" w:rsidRDefault="00E60E79" w:rsidP="00E60E79">
      <w:pPr>
        <w:pStyle w:val="ListParagraph"/>
        <w:numPr>
          <w:ilvl w:val="0"/>
          <w:numId w:val="1"/>
        </w:numP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</w:pPr>
      <w:r>
        <w:rPr>
          <w:rFonts w:ascii="Constantia" w:hAnsi="Constantia" w:cs="Calibri"/>
          <w:b/>
          <w:color w:val="242424"/>
          <w:sz w:val="20"/>
          <w:szCs w:val="20"/>
          <w:shd w:val="clear" w:color="auto" w:fill="FFFFFF"/>
        </w:rPr>
        <w:t>Details of Use:</w:t>
      </w:r>
    </w:p>
    <w:p w14:paraId="40E39959" w14:textId="77777777" w:rsidR="00E60E79" w:rsidRDefault="00E60E79" w:rsidP="00E60E79">
      <w:pPr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170"/>
        <w:gridCol w:w="1080"/>
        <w:gridCol w:w="1350"/>
        <w:gridCol w:w="990"/>
        <w:gridCol w:w="990"/>
        <w:gridCol w:w="1260"/>
        <w:gridCol w:w="1350"/>
      </w:tblGrid>
      <w:tr w:rsidR="00E60E79" w:rsidRPr="00CF4F76" w14:paraId="12866023" w14:textId="77777777" w:rsidTr="007501A0">
        <w:tc>
          <w:tcPr>
            <w:tcW w:w="1255" w:type="dxa"/>
            <w:shd w:val="clear" w:color="auto" w:fill="E6E6E6"/>
          </w:tcPr>
          <w:p w14:paraId="767EBFA0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>
              <w:rPr>
                <w:rFonts w:ascii="Constantia" w:hAnsi="Constantia" w:cs="Calibri"/>
                <w:b/>
                <w:sz w:val="16"/>
                <w:szCs w:val="16"/>
              </w:rPr>
              <w:t xml:space="preserve">Radioactive </w:t>
            </w:r>
            <w:proofErr w:type="gramStart"/>
            <w:r>
              <w:rPr>
                <w:rFonts w:ascii="Constantia" w:hAnsi="Constantia" w:cs="Calibri"/>
                <w:b/>
                <w:sz w:val="16"/>
                <w:szCs w:val="16"/>
              </w:rPr>
              <w:t xml:space="preserve">Materials,   </w:t>
            </w:r>
            <w:proofErr w:type="gramEnd"/>
            <w:r>
              <w:rPr>
                <w:rFonts w:ascii="Constantia" w:hAnsi="Constantia" w:cs="Calibri"/>
                <w:b/>
                <w:sz w:val="16"/>
                <w:szCs w:val="16"/>
              </w:rPr>
              <w:t>X-Ray Equipment Used</w:t>
            </w:r>
          </w:p>
        </w:tc>
        <w:tc>
          <w:tcPr>
            <w:tcW w:w="1170" w:type="dxa"/>
            <w:shd w:val="clear" w:color="auto" w:fill="E6E6E6"/>
          </w:tcPr>
          <w:p w14:paraId="778A4439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>
              <w:rPr>
                <w:rFonts w:ascii="Constantia" w:hAnsi="Constantia" w:cs="Calibri"/>
                <w:b/>
                <w:sz w:val="16"/>
                <w:szCs w:val="16"/>
              </w:rPr>
              <w:t>Monitoring Equipment</w:t>
            </w:r>
          </w:p>
        </w:tc>
        <w:tc>
          <w:tcPr>
            <w:tcW w:w="1080" w:type="dxa"/>
            <w:shd w:val="clear" w:color="auto" w:fill="E6E6E6"/>
          </w:tcPr>
          <w:p w14:paraId="0E683C84" w14:textId="77777777" w:rsidR="00E60E79" w:rsidRPr="00CF4F76" w:rsidRDefault="00E60E79" w:rsidP="007501A0">
            <w:pPr>
              <w:jc w:val="center"/>
              <w:rPr>
                <w:rFonts w:ascii="Constantia" w:hAnsi="Constantia" w:cs="Calibri"/>
                <w:b/>
                <w:sz w:val="16"/>
                <w:szCs w:val="16"/>
              </w:rPr>
            </w:pPr>
            <w:r>
              <w:rPr>
                <w:rFonts w:ascii="Constantia" w:hAnsi="Constantia" w:cs="Calibri"/>
                <w:b/>
                <w:sz w:val="16"/>
                <w:szCs w:val="16"/>
              </w:rPr>
              <w:t>Method of Exposure</w:t>
            </w:r>
          </w:p>
        </w:tc>
        <w:tc>
          <w:tcPr>
            <w:tcW w:w="1350" w:type="dxa"/>
            <w:shd w:val="clear" w:color="auto" w:fill="E6E6E6"/>
          </w:tcPr>
          <w:p w14:paraId="4FE64687" w14:textId="77777777" w:rsidR="00E60E79" w:rsidRDefault="00E60E79" w:rsidP="007501A0">
            <w:pPr>
              <w:jc w:val="center"/>
              <w:rPr>
                <w:rFonts w:ascii="Constantia" w:hAnsi="Constantia" w:cs="Calibri"/>
                <w:b/>
                <w:sz w:val="16"/>
                <w:szCs w:val="16"/>
              </w:rPr>
            </w:pPr>
            <w:r>
              <w:rPr>
                <w:rFonts w:ascii="Constantia" w:hAnsi="Constantia" w:cs="Calibri"/>
                <w:b/>
                <w:sz w:val="16"/>
                <w:szCs w:val="16"/>
              </w:rPr>
              <w:t xml:space="preserve">Activity to be </w:t>
            </w:r>
            <w:proofErr w:type="gramStart"/>
            <w:r>
              <w:rPr>
                <w:rFonts w:ascii="Constantia" w:hAnsi="Constantia" w:cs="Calibri"/>
                <w:b/>
                <w:sz w:val="16"/>
                <w:szCs w:val="16"/>
              </w:rPr>
              <w:t>Administered</w:t>
            </w:r>
            <w:proofErr w:type="gramEnd"/>
          </w:p>
          <w:p w14:paraId="502C9A2F" w14:textId="77777777" w:rsidR="00E60E79" w:rsidRPr="00CF4F76" w:rsidRDefault="00E60E79" w:rsidP="007501A0">
            <w:pPr>
              <w:jc w:val="center"/>
              <w:rPr>
                <w:rFonts w:ascii="Constantia" w:hAnsi="Constantia" w:cs="Calibri"/>
                <w:b/>
                <w:sz w:val="16"/>
                <w:szCs w:val="16"/>
              </w:rPr>
            </w:pPr>
            <w:r>
              <w:rPr>
                <w:rFonts w:ascii="Constantia" w:hAnsi="Constantia" w:cs="Calibri"/>
                <w:b/>
                <w:sz w:val="16"/>
                <w:szCs w:val="16"/>
              </w:rPr>
              <w:t>(µCi/</w:t>
            </w:r>
            <w:proofErr w:type="spellStart"/>
            <w:r>
              <w:rPr>
                <w:rFonts w:ascii="Constantia" w:hAnsi="Constantia" w:cs="Calibri"/>
                <w:b/>
                <w:sz w:val="16"/>
                <w:szCs w:val="16"/>
              </w:rPr>
              <w:t>mCi</w:t>
            </w:r>
            <w:proofErr w:type="spellEnd"/>
            <w:r>
              <w:rPr>
                <w:rFonts w:ascii="Constantia" w:hAnsi="Constantia" w:cs="Calibri"/>
                <w:b/>
                <w:sz w:val="16"/>
                <w:szCs w:val="16"/>
              </w:rPr>
              <w:t>)</w:t>
            </w:r>
          </w:p>
        </w:tc>
        <w:tc>
          <w:tcPr>
            <w:tcW w:w="990" w:type="dxa"/>
            <w:shd w:val="clear" w:color="auto" w:fill="E6E6E6"/>
          </w:tcPr>
          <w:p w14:paraId="5A23E18D" w14:textId="77777777" w:rsidR="00E60E79" w:rsidRPr="00CF4F76" w:rsidRDefault="00E60E79" w:rsidP="007501A0">
            <w:pPr>
              <w:jc w:val="center"/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Route of Excretion</w:t>
            </w:r>
          </w:p>
        </w:tc>
        <w:tc>
          <w:tcPr>
            <w:tcW w:w="990" w:type="dxa"/>
            <w:shd w:val="clear" w:color="auto" w:fill="E6E6E6"/>
          </w:tcPr>
          <w:p w14:paraId="2D90CE51" w14:textId="77777777" w:rsidR="00E60E79" w:rsidRPr="00CF4F76" w:rsidRDefault="00E60E79" w:rsidP="007501A0">
            <w:pPr>
              <w:jc w:val="center"/>
              <w:rPr>
                <w:rFonts w:ascii="Constantia" w:hAnsi="Constantia" w:cs="Calibri"/>
                <w:b/>
                <w:sz w:val="16"/>
                <w:szCs w:val="16"/>
              </w:rPr>
            </w:pPr>
            <w:r>
              <w:rPr>
                <w:rFonts w:ascii="Constantia" w:hAnsi="Constantia" w:cs="Calibri"/>
                <w:b/>
                <w:sz w:val="16"/>
                <w:szCs w:val="16"/>
              </w:rPr>
              <w:t>Activity Excreted (µCi/</w:t>
            </w:r>
            <w:proofErr w:type="spellStart"/>
            <w:r>
              <w:rPr>
                <w:rFonts w:ascii="Constantia" w:hAnsi="Constantia" w:cs="Calibri"/>
                <w:b/>
                <w:sz w:val="16"/>
                <w:szCs w:val="16"/>
              </w:rPr>
              <w:t>mCi</w:t>
            </w:r>
            <w:proofErr w:type="spellEnd"/>
            <w:r>
              <w:rPr>
                <w:rFonts w:ascii="Constantia" w:hAnsi="Constantia" w:cs="Calibri"/>
                <w:b/>
                <w:sz w:val="16"/>
                <w:szCs w:val="16"/>
              </w:rPr>
              <w:t>)</w:t>
            </w:r>
          </w:p>
        </w:tc>
        <w:tc>
          <w:tcPr>
            <w:tcW w:w="1260" w:type="dxa"/>
            <w:shd w:val="clear" w:color="auto" w:fill="E6E6E6"/>
          </w:tcPr>
          <w:p w14:paraId="2747C914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carcass hazardous?</w:t>
            </w:r>
          </w:p>
        </w:tc>
        <w:tc>
          <w:tcPr>
            <w:tcW w:w="1350" w:type="dxa"/>
            <w:shd w:val="clear" w:color="auto" w:fill="E6E6E6"/>
          </w:tcPr>
          <w:p w14:paraId="07F9BAF8" w14:textId="77777777" w:rsidR="00E60E79" w:rsidRPr="00CF4F76" w:rsidRDefault="00E60E79" w:rsidP="007501A0">
            <w:pPr>
              <w:jc w:val="center"/>
              <w:rPr>
                <w:rFonts w:ascii="Constantia" w:hAnsi="Constantia" w:cs="Calibri"/>
                <w:b/>
                <w:sz w:val="16"/>
                <w:szCs w:val="16"/>
              </w:rPr>
            </w:pPr>
            <w:r w:rsidRPr="00CF4F76">
              <w:rPr>
                <w:rFonts w:ascii="Constantia" w:hAnsi="Constantia" w:cs="Calibri"/>
                <w:b/>
                <w:sz w:val="16"/>
                <w:szCs w:val="16"/>
              </w:rPr>
              <w:t>Is the bedding or caging hazardous?</w:t>
            </w:r>
          </w:p>
        </w:tc>
      </w:tr>
      <w:tr w:rsidR="00E60E79" w:rsidRPr="00CF4F76" w14:paraId="434E1B40" w14:textId="77777777" w:rsidTr="007501A0">
        <w:tc>
          <w:tcPr>
            <w:tcW w:w="1255" w:type="dxa"/>
          </w:tcPr>
          <w:p w14:paraId="4822E05A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05BB07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E4EFAE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CBD507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2B8602E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64EC19E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6669C5F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989B769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E60E79" w:rsidRPr="00CF4F76" w14:paraId="722CEFD5" w14:textId="77777777" w:rsidTr="007501A0">
        <w:tc>
          <w:tcPr>
            <w:tcW w:w="1255" w:type="dxa"/>
          </w:tcPr>
          <w:p w14:paraId="26783381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5C99C0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835C4D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78D20F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71F6C5B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B8CAFE9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4530BE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6BE495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  <w:tr w:rsidR="00E60E79" w:rsidRPr="00CF4F76" w14:paraId="776AA99C" w14:textId="77777777" w:rsidTr="007501A0">
        <w:tc>
          <w:tcPr>
            <w:tcW w:w="1255" w:type="dxa"/>
          </w:tcPr>
          <w:p w14:paraId="40F9B810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17170D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BDC345F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D21ADF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C5DA83D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00C1416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6B676F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6BE630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</w:tbl>
    <w:p w14:paraId="51F9AE45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729F7CC8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6B82FE30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1B5E6942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0FF8B929" w14:textId="77777777" w:rsidR="00E60E79" w:rsidRDefault="00E60E79" w:rsidP="00E60E79">
      <w:pPr>
        <w:pStyle w:val="ListParagraph"/>
        <w:numPr>
          <w:ilvl w:val="0"/>
          <w:numId w:val="1"/>
        </w:numPr>
        <w:rPr>
          <w:rFonts w:ascii="Constantia" w:hAnsi="Constantia" w:cs="Calibri"/>
          <w:b/>
          <w:sz w:val="20"/>
          <w:szCs w:val="20"/>
        </w:rPr>
      </w:pPr>
      <w:r>
        <w:rPr>
          <w:rFonts w:ascii="Constantia" w:hAnsi="Constantia" w:cs="Calibri"/>
          <w:b/>
          <w:sz w:val="20"/>
          <w:szCs w:val="20"/>
        </w:rPr>
        <w:lastRenderedPageBreak/>
        <w:t>Details of Disposal:</w:t>
      </w:r>
    </w:p>
    <w:p w14:paraId="53E40580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6DB3F4C3" w14:textId="77777777" w:rsidR="00E60E79" w:rsidRDefault="00E60E79" w:rsidP="00E60E79">
      <w:pPr>
        <w:ind w:left="360"/>
        <w:rPr>
          <w:rFonts w:ascii="Constantia" w:hAnsi="Constantia" w:cs="Calibri"/>
          <w:b/>
          <w:sz w:val="20"/>
          <w:szCs w:val="20"/>
        </w:rPr>
      </w:pPr>
      <w:r w:rsidRPr="00DF3897">
        <w:rPr>
          <w:rFonts w:ascii="Constantia" w:hAnsi="Constantia" w:cs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054A74" wp14:editId="4B060DCB">
                <wp:simplePos x="0" y="0"/>
                <wp:positionH relativeFrom="margin">
                  <wp:align>left</wp:align>
                </wp:positionH>
                <wp:positionV relativeFrom="paragraph">
                  <wp:posOffset>250351</wp:posOffset>
                </wp:positionV>
                <wp:extent cx="5894705" cy="1404620"/>
                <wp:effectExtent l="0" t="0" r="10795" b="13970"/>
                <wp:wrapSquare wrapText="bothSides"/>
                <wp:docPr id="546346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83FB3" w14:textId="77777777" w:rsidR="00E60E79" w:rsidRDefault="00E60E79" w:rsidP="00E60E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54A74" id="_x0000_s1027" type="#_x0000_t202" style="position:absolute;left:0;text-align:left;margin-left:0;margin-top:19.7pt;width:464.1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">
                <v:textbox style="mso-fit-shape-to-text:t">
                  <w:txbxContent>
                    <w:p w14:paraId="12283FB3" w14:textId="77777777" w:rsidR="00E60E79" w:rsidRDefault="00E60E79" w:rsidP="00E60E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nstantia" w:hAnsi="Constantia" w:cs="Calibri"/>
          <w:b/>
          <w:sz w:val="20"/>
          <w:szCs w:val="20"/>
        </w:rPr>
        <w:t>Outline how radioactive materials will be disposed:</w:t>
      </w:r>
    </w:p>
    <w:p w14:paraId="2BC1C0F2" w14:textId="77777777" w:rsidR="00E60E79" w:rsidRDefault="00E60E79" w:rsidP="00E60E79">
      <w:pPr>
        <w:ind w:left="360"/>
        <w:rPr>
          <w:rFonts w:ascii="Constantia" w:hAnsi="Constantia" w:cs="Calibri"/>
          <w:b/>
          <w:sz w:val="20"/>
          <w:szCs w:val="20"/>
        </w:rPr>
      </w:pPr>
    </w:p>
    <w:p w14:paraId="4313D12A" w14:textId="77777777" w:rsidR="00E60E79" w:rsidRPr="00A9799C" w:rsidRDefault="00E60E79" w:rsidP="00E60E79">
      <w:pPr>
        <w:rPr>
          <w:rFonts w:ascii="Constantia" w:hAnsi="Constantia" w:cs="Calibri"/>
          <w:b/>
          <w:sz w:val="20"/>
          <w:szCs w:val="20"/>
        </w:rPr>
      </w:pPr>
      <w:r>
        <w:rPr>
          <w:rFonts w:ascii="Constantia" w:hAnsi="Constantia" w:cs="Calibri"/>
          <w:b/>
          <w:sz w:val="20"/>
          <w:szCs w:val="20"/>
        </w:rPr>
        <w:t xml:space="preserve">3. </w:t>
      </w:r>
      <w:r w:rsidRPr="00A9799C">
        <w:rPr>
          <w:rFonts w:ascii="Constantia" w:hAnsi="Constantia" w:cs="Calibri"/>
          <w:b/>
          <w:sz w:val="20"/>
          <w:szCs w:val="20"/>
        </w:rPr>
        <w:t>Safety Procedures for Animal Handlers:</w:t>
      </w:r>
    </w:p>
    <w:p w14:paraId="6A4C1C82" w14:textId="77777777" w:rsidR="00E60E79" w:rsidRPr="00CF4F76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04EEA8C8" w14:textId="77777777" w:rsidR="00E60E79" w:rsidRPr="00C23CD8" w:rsidRDefault="00E60E79" w:rsidP="00E60E79">
      <w:pPr>
        <w:pStyle w:val="ListParagraph"/>
        <w:numPr>
          <w:ilvl w:val="0"/>
          <w:numId w:val="4"/>
        </w:numPr>
        <w:rPr>
          <w:rFonts w:ascii="Constantia" w:hAnsi="Constantia" w:cs="Calibri"/>
          <w:bCs/>
          <w:sz w:val="20"/>
          <w:szCs w:val="20"/>
        </w:rPr>
      </w:pPr>
      <w:r w:rsidRPr="00C23CD8">
        <w:rPr>
          <w:rFonts w:ascii="Constantia" w:hAnsi="Constantia" w:cs="Calibri"/>
          <w:b/>
          <w:sz w:val="20"/>
          <w:szCs w:val="20"/>
        </w:rPr>
        <w:t xml:space="preserve">Describe Engineering Controls </w:t>
      </w:r>
      <w:r w:rsidRPr="00C23CD8">
        <w:rPr>
          <w:rFonts w:ascii="Constantia" w:hAnsi="Constantia" w:cs="Calibri"/>
          <w:bCs/>
          <w:sz w:val="20"/>
          <w:szCs w:val="20"/>
        </w:rPr>
        <w:t>(e.g., biological safety cabinet, fume hood, control of fugitive emissions of gases, barriers, enclosures):</w:t>
      </w:r>
    </w:p>
    <w:p w14:paraId="52CDB64E" w14:textId="77777777" w:rsidR="00E60E79" w:rsidRPr="00C23CD8" w:rsidRDefault="00E60E79" w:rsidP="00E60E79">
      <w:pPr>
        <w:rPr>
          <w:rFonts w:ascii="Constantia" w:hAnsi="Constantia" w:cs="Calibri"/>
          <w:bCs/>
          <w:sz w:val="20"/>
          <w:szCs w:val="20"/>
        </w:rPr>
      </w:pPr>
      <w:r w:rsidRPr="00DF3897">
        <w:rPr>
          <w:rFonts w:ascii="Constantia" w:hAnsi="Constantia" w:cs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4C13CA" wp14:editId="7BA00D90">
                <wp:simplePos x="0" y="0"/>
                <wp:positionH relativeFrom="margin">
                  <wp:posOffset>0</wp:posOffset>
                </wp:positionH>
                <wp:positionV relativeFrom="paragraph">
                  <wp:posOffset>201930</wp:posOffset>
                </wp:positionV>
                <wp:extent cx="5894705" cy="1404620"/>
                <wp:effectExtent l="0" t="0" r="10795" b="13970"/>
                <wp:wrapSquare wrapText="bothSides"/>
                <wp:docPr id="1180877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3EC3D" w14:textId="77777777" w:rsidR="00E60E79" w:rsidRDefault="00E60E79" w:rsidP="00E60E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4C13CA" id="_x0000_s1028" type="#_x0000_t202" style="position:absolute;margin-left:0;margin-top:15.9pt;width:464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wNFgIAACcEAAAOAAAAZHJzL2Uyb0RvYy54bWysk99v2yAQx98n7X9AvC92IqdtrDhVly7T&#10;pO6H1O0POGMco2GOAYmd/fU7SJpG3fYyjQfEcfDl7nPH8nbsNdtL5xWaik8nOWfSCGyU2Vb829fN&#10;mx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">
                <v:textbox style="mso-fit-shape-to-text:t">
                  <w:txbxContent>
                    <w:p w14:paraId="5233EC3D" w14:textId="77777777" w:rsidR="00E60E79" w:rsidRDefault="00E60E79" w:rsidP="00E60E79"/>
                  </w:txbxContent>
                </v:textbox>
                <w10:wrap type="square" anchorx="margin"/>
              </v:shape>
            </w:pict>
          </mc:Fallback>
        </mc:AlternateContent>
      </w:r>
    </w:p>
    <w:p w14:paraId="38D7AA46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44AC1466" w14:textId="77777777" w:rsidR="00E60E79" w:rsidRPr="00C23CD8" w:rsidRDefault="00E60E79" w:rsidP="00E60E79">
      <w:pPr>
        <w:pStyle w:val="ListParagraph"/>
        <w:numPr>
          <w:ilvl w:val="0"/>
          <w:numId w:val="4"/>
        </w:numPr>
        <w:rPr>
          <w:rFonts w:ascii="Constantia" w:hAnsi="Constantia" w:cs="Calibri"/>
          <w:bCs/>
          <w:sz w:val="20"/>
          <w:szCs w:val="20"/>
        </w:rPr>
      </w:pPr>
      <w:r w:rsidRPr="00C23CD8">
        <w:rPr>
          <w:rFonts w:ascii="Constantia" w:hAnsi="Constantia" w:cs="Calibri"/>
          <w:b/>
          <w:sz w:val="20"/>
          <w:szCs w:val="20"/>
        </w:rPr>
        <w:t xml:space="preserve">Describe Administrative Controls and Work Practices </w:t>
      </w:r>
      <w:r w:rsidRPr="00C23CD8">
        <w:rPr>
          <w:rFonts w:ascii="Constantia" w:hAnsi="Constantia" w:cs="Calibri"/>
          <w:bCs/>
          <w:sz w:val="20"/>
          <w:szCs w:val="20"/>
        </w:rPr>
        <w:t xml:space="preserve">(e.g., safety training provided to Animal Handlers, special/unique safety procedures, biological monitoring of animal handlers, pre-placement medical exam):     </w:t>
      </w:r>
    </w:p>
    <w:p w14:paraId="18976626" w14:textId="77777777" w:rsidR="00E60E79" w:rsidRPr="00C23CD8" w:rsidRDefault="00E60E79" w:rsidP="00E60E79">
      <w:pPr>
        <w:rPr>
          <w:rFonts w:ascii="Constantia" w:hAnsi="Constantia" w:cs="Calibri"/>
          <w:bCs/>
          <w:sz w:val="20"/>
          <w:szCs w:val="20"/>
        </w:rPr>
      </w:pPr>
      <w:r w:rsidRPr="00DF3897">
        <w:rPr>
          <w:rFonts w:ascii="Constantia" w:hAnsi="Constantia" w:cs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353DB4" wp14:editId="038D0DEB">
                <wp:simplePos x="0" y="0"/>
                <wp:positionH relativeFrom="margin">
                  <wp:posOffset>0</wp:posOffset>
                </wp:positionH>
                <wp:positionV relativeFrom="paragraph">
                  <wp:posOffset>202565</wp:posOffset>
                </wp:positionV>
                <wp:extent cx="5894705" cy="1404620"/>
                <wp:effectExtent l="0" t="0" r="10795" b="13970"/>
                <wp:wrapSquare wrapText="bothSides"/>
                <wp:docPr id="877374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2E431" w14:textId="77777777" w:rsidR="00E60E79" w:rsidRDefault="00E60E79" w:rsidP="00E60E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53DB4" id="_x0000_s1029" type="#_x0000_t202" style="position:absolute;margin-left:0;margin-top:15.95pt;width:464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">
                <v:textbox style="mso-fit-shape-to-text:t">
                  <w:txbxContent>
                    <w:p w14:paraId="29B2E431" w14:textId="77777777" w:rsidR="00E60E79" w:rsidRDefault="00E60E79" w:rsidP="00E60E79"/>
                  </w:txbxContent>
                </v:textbox>
                <w10:wrap type="square" anchorx="margin"/>
              </v:shape>
            </w:pict>
          </mc:Fallback>
        </mc:AlternateContent>
      </w:r>
      <w:r w:rsidRPr="00C23CD8">
        <w:rPr>
          <w:rFonts w:ascii="Constantia" w:hAnsi="Constantia" w:cs="Calibri"/>
          <w:bCs/>
          <w:sz w:val="20"/>
          <w:szCs w:val="20"/>
        </w:rPr>
        <w:t xml:space="preserve"> </w:t>
      </w:r>
    </w:p>
    <w:p w14:paraId="03367229" w14:textId="77777777" w:rsidR="00E60E79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p w14:paraId="5AC644C4" w14:textId="77777777" w:rsidR="00E60E79" w:rsidRPr="00C23CD8" w:rsidRDefault="00E60E79" w:rsidP="00E60E79">
      <w:pPr>
        <w:pStyle w:val="ListParagraph"/>
        <w:numPr>
          <w:ilvl w:val="0"/>
          <w:numId w:val="4"/>
        </w:numPr>
        <w:rPr>
          <w:rFonts w:ascii="Constantia" w:hAnsi="Constantia" w:cs="Calibri"/>
          <w:sz w:val="20"/>
          <w:szCs w:val="20"/>
        </w:rPr>
      </w:pPr>
      <w:r w:rsidRPr="00C23CD8">
        <w:rPr>
          <w:rFonts w:ascii="Constantia" w:hAnsi="Constantia" w:cs="Calibri"/>
          <w:b/>
          <w:sz w:val="20"/>
          <w:szCs w:val="20"/>
        </w:rPr>
        <w:t xml:space="preserve">Personal Protective Equipment (PPE).  </w:t>
      </w:r>
      <w:r w:rsidRPr="00C23CD8">
        <w:rPr>
          <w:rFonts w:ascii="Constantia" w:hAnsi="Constantia" w:cs="Calibri"/>
          <w:sz w:val="20"/>
          <w:szCs w:val="20"/>
        </w:rPr>
        <w:t>Check all PPE that will be used.</w:t>
      </w:r>
    </w:p>
    <w:p w14:paraId="0349040D" w14:textId="77777777" w:rsidR="00E60E79" w:rsidRPr="00CF4F76" w:rsidRDefault="00E60E79" w:rsidP="00E60E79">
      <w:pPr>
        <w:rPr>
          <w:rFonts w:ascii="Constantia" w:hAnsi="Constantia" w:cs="Calibri"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90"/>
        <w:gridCol w:w="1890"/>
      </w:tblGrid>
      <w:tr w:rsidR="00E60E79" w:rsidRPr="00ED3A4B" w14:paraId="3FF62E82" w14:textId="77777777" w:rsidTr="007501A0">
        <w:tc>
          <w:tcPr>
            <w:tcW w:w="540" w:type="dxa"/>
          </w:tcPr>
          <w:p w14:paraId="232D1FF8" w14:textId="77777777" w:rsidR="00E60E79" w:rsidRPr="00ED3A4B" w:rsidRDefault="00E60E7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F2F2F2"/>
          </w:tcPr>
          <w:p w14:paraId="15303E3F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Gloves</w:t>
            </w: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 xml:space="preserve"> – Type and single or double layer</w:t>
            </w:r>
          </w:p>
        </w:tc>
        <w:tc>
          <w:tcPr>
            <w:tcW w:w="1890" w:type="dxa"/>
            <w:shd w:val="clear" w:color="auto" w:fill="FFFFFF"/>
          </w:tcPr>
          <w:p w14:paraId="76D0B67F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</w:p>
        </w:tc>
      </w:tr>
      <w:tr w:rsidR="00E60E79" w:rsidRPr="00ED3A4B" w14:paraId="79231966" w14:textId="77777777" w:rsidTr="007501A0">
        <w:tc>
          <w:tcPr>
            <w:tcW w:w="540" w:type="dxa"/>
          </w:tcPr>
          <w:p w14:paraId="6262FB2E" w14:textId="77777777" w:rsidR="00E60E79" w:rsidRPr="00ED3A4B" w:rsidRDefault="00E60E7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0A4AF845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Lab Coat</w:t>
            </w:r>
          </w:p>
        </w:tc>
      </w:tr>
      <w:tr w:rsidR="00E60E79" w:rsidRPr="00ED3A4B" w14:paraId="110C4795" w14:textId="77777777" w:rsidTr="007501A0">
        <w:tc>
          <w:tcPr>
            <w:tcW w:w="540" w:type="dxa"/>
          </w:tcPr>
          <w:p w14:paraId="52924FF2" w14:textId="77777777" w:rsidR="00E60E79" w:rsidRPr="00ED3A4B" w:rsidRDefault="00E60E7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5211D459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 xml:space="preserve">Shoe </w:t>
            </w: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C</w:t>
            </w: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overs</w:t>
            </w:r>
          </w:p>
        </w:tc>
      </w:tr>
      <w:tr w:rsidR="00E60E79" w:rsidRPr="00ED3A4B" w14:paraId="1AA5C4FB" w14:textId="77777777" w:rsidTr="007501A0">
        <w:tc>
          <w:tcPr>
            <w:tcW w:w="540" w:type="dxa"/>
          </w:tcPr>
          <w:p w14:paraId="1F22CC2A" w14:textId="77777777" w:rsidR="00E60E79" w:rsidRPr="00ED3A4B" w:rsidRDefault="00E60E7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14FF211B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Safety Glasses</w:t>
            </w:r>
          </w:p>
        </w:tc>
      </w:tr>
      <w:tr w:rsidR="00E60E79" w:rsidRPr="00ED3A4B" w14:paraId="7142488B" w14:textId="77777777" w:rsidTr="007501A0">
        <w:tc>
          <w:tcPr>
            <w:tcW w:w="540" w:type="dxa"/>
          </w:tcPr>
          <w:p w14:paraId="64827F30" w14:textId="77777777" w:rsidR="00E60E79" w:rsidRPr="00ED3A4B" w:rsidRDefault="00E60E7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7D564281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Chemical Goggles</w:t>
            </w:r>
          </w:p>
        </w:tc>
      </w:tr>
      <w:tr w:rsidR="00E60E79" w:rsidRPr="00ED3A4B" w14:paraId="3254AD2A" w14:textId="77777777" w:rsidTr="007501A0">
        <w:tc>
          <w:tcPr>
            <w:tcW w:w="540" w:type="dxa"/>
          </w:tcPr>
          <w:p w14:paraId="16E5FC1A" w14:textId="77777777" w:rsidR="00E60E79" w:rsidRPr="00ED3A4B" w:rsidRDefault="00E60E7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100531D0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Face Shield</w:t>
            </w:r>
          </w:p>
        </w:tc>
      </w:tr>
      <w:tr w:rsidR="00E60E79" w:rsidRPr="00ED3A4B" w14:paraId="6DF31AD6" w14:textId="77777777" w:rsidTr="007501A0">
        <w:tc>
          <w:tcPr>
            <w:tcW w:w="540" w:type="dxa"/>
          </w:tcPr>
          <w:p w14:paraId="7583EB5D" w14:textId="77777777" w:rsidR="00E60E79" w:rsidRPr="00ED3A4B" w:rsidRDefault="00E60E7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60E93715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 xml:space="preserve">Hair </w:t>
            </w: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C</w:t>
            </w: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over</w:t>
            </w:r>
          </w:p>
        </w:tc>
      </w:tr>
      <w:tr w:rsidR="00E60E79" w:rsidRPr="00ED3A4B" w14:paraId="714EF747" w14:textId="77777777" w:rsidTr="007501A0">
        <w:tc>
          <w:tcPr>
            <w:tcW w:w="540" w:type="dxa"/>
          </w:tcPr>
          <w:p w14:paraId="22596766" w14:textId="77777777" w:rsidR="00E60E79" w:rsidRPr="00ED3A4B" w:rsidRDefault="00E60E7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5AE07E02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Surgical F</w:t>
            </w: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 xml:space="preserve">ace </w:t>
            </w: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M</w:t>
            </w:r>
            <w:r w:rsidRPr="00ED3A4B">
              <w:rPr>
                <w:rFonts w:ascii="Constantia" w:eastAsia="Batang" w:hAnsi="Constantia" w:cs="Calibri"/>
                <w:b/>
                <w:sz w:val="16"/>
                <w:szCs w:val="16"/>
              </w:rPr>
              <w:t>ask</w:t>
            </w:r>
          </w:p>
        </w:tc>
      </w:tr>
      <w:tr w:rsidR="00E60E79" w:rsidRPr="00ED3A4B" w14:paraId="54AFCF5F" w14:textId="77777777" w:rsidTr="007501A0">
        <w:tc>
          <w:tcPr>
            <w:tcW w:w="540" w:type="dxa"/>
          </w:tcPr>
          <w:p w14:paraId="7D7155DA" w14:textId="77777777" w:rsidR="00E60E79" w:rsidRPr="00ED3A4B" w:rsidRDefault="00E60E79" w:rsidP="007501A0">
            <w:pPr>
              <w:rPr>
                <w:rFonts w:ascii="Constantia" w:eastAsia="Batang" w:hAnsi="Constantia" w:cs="Calibri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shd w:val="clear" w:color="auto" w:fill="F2F2F2"/>
          </w:tcPr>
          <w:p w14:paraId="7FF77E28" w14:textId="77777777" w:rsidR="00E60E79" w:rsidRPr="00ED3A4B" w:rsidRDefault="00E60E79" w:rsidP="007501A0">
            <w:pPr>
              <w:rPr>
                <w:rFonts w:ascii="Constantia" w:eastAsia="Batang" w:hAnsi="Constantia" w:cs="Calibri"/>
                <w:b/>
                <w:sz w:val="16"/>
                <w:szCs w:val="16"/>
              </w:rPr>
            </w:pPr>
            <w:r>
              <w:rPr>
                <w:rFonts w:ascii="Constantia" w:eastAsia="Batang" w:hAnsi="Constantia" w:cs="Calibri"/>
                <w:b/>
                <w:sz w:val="16"/>
                <w:szCs w:val="16"/>
              </w:rPr>
              <w:t>Particulate Respirator (Training must be provided by EHS)</w:t>
            </w:r>
          </w:p>
        </w:tc>
      </w:tr>
    </w:tbl>
    <w:p w14:paraId="77B35FAD" w14:textId="77777777" w:rsidR="00E60E79" w:rsidRDefault="00E60E79" w:rsidP="00E60E79">
      <w:pPr>
        <w:ind w:left="360"/>
        <w:rPr>
          <w:rFonts w:ascii="Constantia" w:eastAsia="Batang" w:hAnsi="Constantia" w:cs="Calibri"/>
          <w:sz w:val="20"/>
          <w:szCs w:val="20"/>
        </w:rPr>
      </w:pPr>
    </w:p>
    <w:p w14:paraId="376A6CD4" w14:textId="77777777" w:rsidR="00E60E79" w:rsidRPr="00A9799C" w:rsidRDefault="00E60E79" w:rsidP="00E60E79">
      <w:pPr>
        <w:ind w:left="360"/>
        <w:rPr>
          <w:rFonts w:ascii="Constantia" w:hAnsi="Constantia" w:cs="Calibri"/>
          <w:b/>
          <w:sz w:val="20"/>
          <w:szCs w:val="20"/>
        </w:rPr>
      </w:pPr>
      <w:r w:rsidRPr="00A9799C">
        <w:rPr>
          <w:rFonts w:ascii="Constantia" w:hAnsi="Constantia" w:cs="Calibri"/>
          <w:b/>
          <w:sz w:val="20"/>
          <w:szCs w:val="20"/>
        </w:rPr>
        <w:t xml:space="preserve"> </w:t>
      </w:r>
      <w:r>
        <w:rPr>
          <w:rFonts w:ascii="Constantia" w:hAnsi="Constantia" w:cs="Calibri"/>
          <w:b/>
          <w:sz w:val="20"/>
          <w:szCs w:val="20"/>
        </w:rPr>
        <w:t xml:space="preserve">d. </w:t>
      </w:r>
      <w:r w:rsidRPr="00F3743C">
        <w:rPr>
          <w:rFonts w:ascii="Constantia" w:hAnsi="Constantia" w:cs="Calibri"/>
          <w:b/>
          <w:sz w:val="20"/>
          <w:szCs w:val="20"/>
        </w:rPr>
        <w:t>Other Precautionary Measures</w:t>
      </w:r>
      <w:r>
        <w:rPr>
          <w:rFonts w:ascii="Constantia" w:hAnsi="Constantia" w:cs="Calibri"/>
          <w:b/>
          <w:sz w:val="20"/>
          <w:szCs w:val="20"/>
        </w:rPr>
        <w:t xml:space="preserve"> and Procedures</w:t>
      </w:r>
      <w:r w:rsidRPr="00A9799C">
        <w:rPr>
          <w:rFonts w:ascii="Constantia" w:hAnsi="Constantia" w:cs="Calibri"/>
          <w:b/>
          <w:sz w:val="20"/>
          <w:szCs w:val="20"/>
        </w:rPr>
        <w:t>:</w:t>
      </w:r>
    </w:p>
    <w:p w14:paraId="08DDD9F6" w14:textId="77777777" w:rsidR="00E60E79" w:rsidRPr="00CF4F76" w:rsidRDefault="00E60E79" w:rsidP="00E60E79">
      <w:pPr>
        <w:rPr>
          <w:rFonts w:ascii="Constantia" w:hAnsi="Constantia" w:cs="Calibri"/>
          <w:b/>
          <w:sz w:val="20"/>
          <w:szCs w:val="20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0"/>
      </w:tblGrid>
      <w:tr w:rsidR="00E60E79" w:rsidRPr="00CF4F76" w14:paraId="7BB11B22" w14:textId="77777777" w:rsidTr="007501A0">
        <w:tc>
          <w:tcPr>
            <w:tcW w:w="9270" w:type="dxa"/>
          </w:tcPr>
          <w:p w14:paraId="41FF56C8" w14:textId="77777777" w:rsidR="00E60E79" w:rsidRPr="00CF4F76" w:rsidRDefault="00E60E79" w:rsidP="007501A0">
            <w:pPr>
              <w:rPr>
                <w:rFonts w:ascii="Constantia" w:hAnsi="Constantia" w:cs="Calibri"/>
                <w:b/>
                <w:sz w:val="20"/>
                <w:szCs w:val="20"/>
              </w:rPr>
            </w:pPr>
          </w:p>
        </w:tc>
      </w:tr>
    </w:tbl>
    <w:p w14:paraId="546AD772" w14:textId="77777777" w:rsidR="00E60E79" w:rsidRPr="00CF4F76" w:rsidRDefault="00E60E79" w:rsidP="00E60E79">
      <w:pPr>
        <w:rPr>
          <w:rFonts w:ascii="Constantia" w:hAnsi="Constantia" w:cs="Calibri"/>
          <w:b/>
        </w:rPr>
      </w:pPr>
    </w:p>
    <w:p w14:paraId="4C0BD641" w14:textId="77777777" w:rsidR="002D55D0" w:rsidRDefault="002D55D0"/>
    <w:sectPr w:rsidR="002D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25B6"/>
    <w:multiLevelType w:val="hybridMultilevel"/>
    <w:tmpl w:val="0F5A5E5C"/>
    <w:lvl w:ilvl="0" w:tplc="8BBC2B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D71CC"/>
    <w:multiLevelType w:val="hybridMultilevel"/>
    <w:tmpl w:val="82768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C19EF"/>
    <w:multiLevelType w:val="hybridMultilevel"/>
    <w:tmpl w:val="89646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B73BE"/>
    <w:multiLevelType w:val="hybridMultilevel"/>
    <w:tmpl w:val="D1901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4048">
    <w:abstractNumId w:val="3"/>
  </w:num>
  <w:num w:numId="2" w16cid:durableId="1006790510">
    <w:abstractNumId w:val="2"/>
  </w:num>
  <w:num w:numId="3" w16cid:durableId="625354699">
    <w:abstractNumId w:val="1"/>
  </w:num>
  <w:num w:numId="4" w16cid:durableId="145085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79"/>
    <w:rsid w:val="002D55D0"/>
    <w:rsid w:val="009244AB"/>
    <w:rsid w:val="00E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ABE5"/>
  <w15:chartTrackingRefBased/>
  <w15:docId w15:val="{FC66E673-4C11-4941-B046-9854FD69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79"/>
    <w:pPr>
      <w:spacing w:after="0" w:line="240" w:lineRule="auto"/>
    </w:pPr>
    <w:rPr>
      <w:rFonts w:ascii="Garamond" w:eastAsia="Times New Roman" w:hAnsi="Garamond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60E7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60E79"/>
    <w:rPr>
      <w:rFonts w:ascii="Garamond" w:eastAsia="Times New Roman" w:hAnsi="Garamond" w:cs="Times New Roman"/>
      <w:b/>
      <w:bCs/>
      <w:kern w:val="0"/>
      <w:sz w:val="32"/>
      <w:szCs w:val="32"/>
      <w14:ligatures w14:val="none"/>
    </w:rPr>
  </w:style>
  <w:style w:type="character" w:styleId="Hyperlink">
    <w:name w:val="Hyperlink"/>
    <w:rsid w:val="00E60E7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E7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0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weetman@uwlax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wlax.edu/iacuc/use-of-hazardous-agents-in-live-anima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weetman@uwlax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1</cp:revision>
  <dcterms:created xsi:type="dcterms:W3CDTF">2024-02-19T19:05:00Z</dcterms:created>
  <dcterms:modified xsi:type="dcterms:W3CDTF">2024-02-19T19:07:00Z</dcterms:modified>
</cp:coreProperties>
</file>