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1790" w14:textId="77777777" w:rsidR="006340D9" w:rsidRDefault="0018470B" w:rsidP="006340D9">
      <w:pPr>
        <w:pStyle w:val="Heading1"/>
        <w:tabs>
          <w:tab w:val="left" w:pos="2880"/>
        </w:tabs>
        <w:spacing w:before="0" w:after="0"/>
        <w:ind w:firstLine="2880"/>
        <w:rPr>
          <w:b/>
          <w:bCs/>
          <w:sz w:val="24"/>
          <w:szCs w:val="24"/>
        </w:rPr>
      </w:pPr>
      <w:r w:rsidRPr="00164676">
        <w:rPr>
          <w:noProof/>
        </w:rPr>
        <w:drawing>
          <wp:anchor distT="0" distB="0" distL="114300" distR="114300" simplePos="0" relativeHeight="251658240" behindDoc="1" locked="0" layoutInCell="1" allowOverlap="1" wp14:anchorId="040AB51B" wp14:editId="29D288AE">
            <wp:simplePos x="0" y="0"/>
            <wp:positionH relativeFrom="column">
              <wp:posOffset>318976</wp:posOffset>
            </wp:positionH>
            <wp:positionV relativeFrom="paragraph">
              <wp:posOffset>-26596</wp:posOffset>
            </wp:positionV>
            <wp:extent cx="1011555" cy="1011555"/>
            <wp:effectExtent l="0" t="0" r="0" b="0"/>
            <wp:wrapNone/>
            <wp:docPr id="48848523" name="Picture 1" descr="UWL sea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L seal colo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1555"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266">
        <w:rPr>
          <w:b/>
          <w:bCs/>
          <w:color w:val="auto"/>
          <w:sz w:val="24"/>
          <w:szCs w:val="24"/>
        </w:rPr>
        <w:t>UNIVERSITY OF WISCONSIN-LA CROSSE</w:t>
      </w:r>
    </w:p>
    <w:p w14:paraId="076BF532" w14:textId="77777777" w:rsidR="006340D9" w:rsidRDefault="006340D9" w:rsidP="006340D9">
      <w:pPr>
        <w:pStyle w:val="Heading1"/>
        <w:tabs>
          <w:tab w:val="left" w:pos="2880"/>
        </w:tabs>
        <w:spacing w:before="0" w:after="0"/>
        <w:ind w:firstLine="2880"/>
        <w:rPr>
          <w:b/>
          <w:bCs/>
          <w:sz w:val="24"/>
          <w:szCs w:val="24"/>
        </w:rPr>
      </w:pPr>
    </w:p>
    <w:p w14:paraId="264D0BC6" w14:textId="744EA063" w:rsidR="0018470B" w:rsidRPr="006340D9" w:rsidRDefault="00ED4D1C" w:rsidP="006340D9">
      <w:pPr>
        <w:pStyle w:val="Heading1"/>
        <w:tabs>
          <w:tab w:val="left" w:pos="2880"/>
        </w:tabs>
        <w:spacing w:before="0" w:after="0"/>
        <w:ind w:firstLine="2880"/>
        <w:rPr>
          <w:b/>
          <w:bCs/>
          <w:sz w:val="24"/>
          <w:szCs w:val="24"/>
        </w:rPr>
      </w:pPr>
      <w:r w:rsidRPr="00B17E8D">
        <w:rPr>
          <w:rFonts w:cs="Times New Roman (Body CS)"/>
          <w:b/>
          <w:bCs/>
          <w:caps/>
          <w:color w:val="auto"/>
          <w:sz w:val="24"/>
          <w:szCs w:val="24"/>
        </w:rPr>
        <w:t>Campaigning in the residence halls</w:t>
      </w:r>
      <w:r w:rsidR="0018470B" w:rsidRPr="00B17E8D">
        <w:rPr>
          <w:b/>
          <w:bCs/>
          <w:color w:val="auto"/>
          <w:sz w:val="24"/>
          <w:szCs w:val="24"/>
        </w:rPr>
        <w:t xml:space="preserve"> POLICY</w:t>
      </w:r>
      <w:r w:rsidR="0018470B" w:rsidRPr="00B17E8D">
        <w:rPr>
          <w:rFonts w:cs="Times New Roman (Body CS)"/>
          <w:b/>
          <w:bCs/>
          <w:caps/>
          <w:color w:val="auto"/>
          <w:sz w:val="24"/>
          <w:szCs w:val="24"/>
        </w:rPr>
        <w:t xml:space="preserve"> </w:t>
      </w:r>
    </w:p>
    <w:p w14:paraId="74C964C5" w14:textId="77777777" w:rsidR="0018470B" w:rsidRPr="00164676" w:rsidRDefault="0018470B" w:rsidP="00B17E8D">
      <w:pPr>
        <w:tabs>
          <w:tab w:val="left" w:pos="2880"/>
        </w:tabs>
      </w:pPr>
    </w:p>
    <w:p w14:paraId="6D2BE275" w14:textId="5B4A2E99" w:rsidR="0018470B" w:rsidRPr="00164676" w:rsidRDefault="0018470B" w:rsidP="00B17E8D">
      <w:pPr>
        <w:tabs>
          <w:tab w:val="left" w:pos="2880"/>
        </w:tabs>
        <w:rPr>
          <w:b/>
          <w:bCs/>
        </w:rPr>
      </w:pPr>
      <w:r w:rsidRPr="00164676">
        <w:fldChar w:fldCharType="begin"/>
      </w:r>
      <w:r w:rsidRPr="00164676">
        <w:instrText xml:space="preserve"> INCLUDEPICTURE "https://www.uwlax.edu/globalassets/brand/logos/uwl-seal-color-digital.png/Medium" \* MERGEFORMATINET </w:instrText>
      </w:r>
      <w:r w:rsidRPr="00164676">
        <w:fldChar w:fldCharType="separate"/>
      </w:r>
      <w:r w:rsidRPr="00164676">
        <w:fldChar w:fldCharType="end"/>
      </w:r>
      <w:r w:rsidRPr="00164676">
        <w:rPr>
          <w:b/>
          <w:bCs/>
        </w:rPr>
        <w:t xml:space="preserve"> </w:t>
      </w:r>
      <w:r w:rsidRPr="00164676">
        <w:rPr>
          <w:b/>
          <w:bCs/>
        </w:rPr>
        <w:tab/>
      </w:r>
      <w:r w:rsidRPr="00164676">
        <w:t xml:space="preserve">Effective </w:t>
      </w:r>
      <w:r w:rsidR="000824C9">
        <w:t xml:space="preserve">February </w:t>
      </w:r>
      <w:r w:rsidR="00E351EF">
        <w:t>10</w:t>
      </w:r>
      <w:r w:rsidR="000824C9">
        <w:t>, 2025</w:t>
      </w:r>
    </w:p>
    <w:p w14:paraId="479B9D50" w14:textId="77777777" w:rsidR="0018470B" w:rsidRPr="00164676" w:rsidRDefault="0018470B" w:rsidP="0018470B">
      <w:pPr>
        <w:pBdr>
          <w:bottom w:val="single" w:sz="12" w:space="1" w:color="auto"/>
        </w:pBdr>
      </w:pPr>
    </w:p>
    <w:p w14:paraId="37EED4D0" w14:textId="77777777" w:rsidR="0018470B" w:rsidRPr="00164676" w:rsidRDefault="0018470B" w:rsidP="0018470B"/>
    <w:p w14:paraId="546957BF" w14:textId="77777777" w:rsidR="0052434C" w:rsidRPr="0052434C" w:rsidRDefault="0018470B" w:rsidP="006340D9">
      <w:pPr>
        <w:pStyle w:val="ListParagraph"/>
        <w:numPr>
          <w:ilvl w:val="0"/>
          <w:numId w:val="1"/>
        </w:numPr>
        <w:ind w:left="360"/>
        <w:outlineLvl w:val="1"/>
      </w:pPr>
      <w:r w:rsidRPr="00164676">
        <w:rPr>
          <w:b/>
          <w:bCs/>
        </w:rPr>
        <w:t>Introduction</w:t>
      </w:r>
    </w:p>
    <w:p w14:paraId="34577DF4" w14:textId="3D8846E5" w:rsidR="007A3413" w:rsidRPr="00F109E1" w:rsidRDefault="00572FF9" w:rsidP="007F5B20">
      <w:pPr>
        <w:pStyle w:val="ListParagraph"/>
        <w:numPr>
          <w:ilvl w:val="1"/>
          <w:numId w:val="2"/>
        </w:numPr>
        <w:ind w:left="1440"/>
      </w:pPr>
      <w:r>
        <w:rPr>
          <w:rFonts w:ascii="Calibri" w:hAnsi="Calibri" w:cs="Calibri"/>
        </w:rPr>
        <w:t xml:space="preserve">The mission of the University of Wisconsin-La Crosse (UWL) is to provide a challenging, dynamic, and diverse learning environment in which the entire university community is fully engaged in supporting student success.  In furtherance of this mission, the University affirms its commitment to fostering civic engagement, encouraging participation in the democratic process, and supporting the free exchange of ideas within the campus community.  Political discourse, voter engagement, and campaigning are integral components of an informed and active </w:t>
      </w:r>
      <w:r w:rsidR="00601218">
        <w:rPr>
          <w:rFonts w:ascii="Calibri" w:hAnsi="Calibri" w:cs="Calibri"/>
        </w:rPr>
        <w:t>citizenry and represent important expressions of the rights guaranteed under the First Amendment to the United States Constitution and Article I of the Wisconsin Constitution</w:t>
      </w:r>
      <w:r w:rsidR="00F109E1">
        <w:rPr>
          <w:rFonts w:ascii="Calibri" w:hAnsi="Calibri" w:cs="Calibri"/>
        </w:rPr>
        <w:t>.</w:t>
      </w:r>
    </w:p>
    <w:p w14:paraId="032323E8" w14:textId="77777777" w:rsidR="00F109E1" w:rsidRPr="00F109E1" w:rsidRDefault="00F109E1" w:rsidP="00F109E1">
      <w:pPr>
        <w:pStyle w:val="ListParagraph"/>
        <w:ind w:left="1440"/>
      </w:pPr>
    </w:p>
    <w:p w14:paraId="19D96376" w14:textId="0EA21828" w:rsidR="00F109E1" w:rsidRPr="00F109E1" w:rsidRDefault="00F109E1" w:rsidP="00F109E1">
      <w:pPr>
        <w:pStyle w:val="ListParagraph"/>
        <w:numPr>
          <w:ilvl w:val="1"/>
          <w:numId w:val="2"/>
        </w:numPr>
        <w:ind w:left="1440"/>
      </w:pPr>
      <w:r>
        <w:rPr>
          <w:rFonts w:ascii="Calibri" w:hAnsi="Calibri" w:cs="Calibri"/>
        </w:rPr>
        <w:t>As a residential institution, the University recognizes that its residence halls serve not only as students’ primary living spaces but also as extensions of the educational environment.  Within these spaces, UWL must balance its commitment to free expression and civic participation with its responsibility to ensure that residence halls remain safe, orderly, and conducive to academic success, community living, and personal well-being.</w:t>
      </w:r>
    </w:p>
    <w:p w14:paraId="0F56D9CC" w14:textId="77777777" w:rsidR="00F109E1" w:rsidRPr="0052434C" w:rsidRDefault="00F109E1" w:rsidP="00F109E1"/>
    <w:p w14:paraId="1DEACB4D" w14:textId="2D3B9CB0" w:rsidR="003976A1" w:rsidRPr="00F109E1" w:rsidRDefault="003976A1" w:rsidP="006340D9">
      <w:pPr>
        <w:pStyle w:val="ListParagraph"/>
        <w:numPr>
          <w:ilvl w:val="0"/>
          <w:numId w:val="1"/>
        </w:numPr>
        <w:ind w:left="360"/>
        <w:outlineLvl w:val="1"/>
      </w:pPr>
      <w:r>
        <w:rPr>
          <w:rFonts w:ascii="Calibri" w:hAnsi="Calibri" w:cs="Calibri"/>
          <w:b/>
          <w:bCs/>
        </w:rPr>
        <w:t>Purpose</w:t>
      </w:r>
    </w:p>
    <w:p w14:paraId="0D618F54" w14:textId="4A0A2C34" w:rsidR="00F109E1" w:rsidRDefault="009E6F28" w:rsidP="00F109E1">
      <w:pPr>
        <w:pStyle w:val="ListParagraph"/>
        <w:numPr>
          <w:ilvl w:val="1"/>
          <w:numId w:val="3"/>
        </w:numPr>
        <w:ind w:hanging="720"/>
      </w:pPr>
      <w:r>
        <w:t xml:space="preserve">This policy establishes the framework governing political campaign activities within </w:t>
      </w:r>
      <w:proofErr w:type="gramStart"/>
      <w:r>
        <w:t>University</w:t>
      </w:r>
      <w:proofErr w:type="gramEnd"/>
      <w:r>
        <w:t xml:space="preserve"> residence halls.  It is intended to ensure that such activities occur in a manner consistent with constitutional protections, applicable state and federal laws, and University policies, including those related to student conduct, safety, and the appropriate use of </w:t>
      </w:r>
      <w:proofErr w:type="gramStart"/>
      <w:r>
        <w:t>University</w:t>
      </w:r>
      <w:proofErr w:type="gramEnd"/>
      <w:r>
        <w:t xml:space="preserve"> property.</w:t>
      </w:r>
    </w:p>
    <w:p w14:paraId="759D6210" w14:textId="77777777" w:rsidR="002E7A9A" w:rsidRDefault="002E7A9A" w:rsidP="002E7A9A">
      <w:pPr>
        <w:pStyle w:val="ListParagraph"/>
        <w:ind w:left="1440"/>
      </w:pPr>
    </w:p>
    <w:p w14:paraId="7CA69E83" w14:textId="27B5D52F" w:rsidR="009E6F28" w:rsidRDefault="009E6F28" w:rsidP="00F109E1">
      <w:pPr>
        <w:pStyle w:val="ListParagraph"/>
        <w:numPr>
          <w:ilvl w:val="1"/>
          <w:numId w:val="3"/>
        </w:numPr>
        <w:ind w:hanging="720"/>
      </w:pPr>
      <w:r>
        <w:t xml:space="preserve">The provisions set forth herein are designed to promote civic engagement and facilitate political expression while protecting the rights of all residents, preserving the </w:t>
      </w:r>
      <w:r w:rsidR="002E7A9A">
        <w:t xml:space="preserve">residential environment, and maintaining the primary educational and developmental purposes of </w:t>
      </w:r>
      <w:proofErr w:type="gramStart"/>
      <w:r w:rsidR="002E7A9A">
        <w:t>University</w:t>
      </w:r>
      <w:proofErr w:type="gramEnd"/>
      <w:r w:rsidR="002E7A9A">
        <w:t xml:space="preserve"> housing.  This policy seeks to provide clarity and consistency in the regulation of campaign activities while ensuring compliance with Wis. Admin. Code </w:t>
      </w:r>
      <w:r w:rsidR="00607128">
        <w:t>§</w:t>
      </w:r>
      <w:r w:rsidR="00800A9B">
        <w:t xml:space="preserve"> UWS 18.11(9) and other relevant authorities.</w:t>
      </w:r>
    </w:p>
    <w:p w14:paraId="3933571E" w14:textId="6A1509D3" w:rsidR="0012478D" w:rsidRDefault="0012478D">
      <w:r>
        <w:br w:type="page"/>
      </w:r>
    </w:p>
    <w:p w14:paraId="30284B06" w14:textId="0BC73C48" w:rsidR="003976A1" w:rsidRPr="00800A9B" w:rsidRDefault="007C298E" w:rsidP="006340D9">
      <w:pPr>
        <w:pStyle w:val="ListParagraph"/>
        <w:numPr>
          <w:ilvl w:val="0"/>
          <w:numId w:val="1"/>
        </w:numPr>
        <w:ind w:left="360"/>
        <w:outlineLvl w:val="1"/>
      </w:pPr>
      <w:r>
        <w:rPr>
          <w:rFonts w:ascii="Calibri" w:hAnsi="Calibri" w:cs="Calibri"/>
          <w:b/>
          <w:bCs/>
        </w:rPr>
        <w:lastRenderedPageBreak/>
        <w:t>Scope</w:t>
      </w:r>
    </w:p>
    <w:p w14:paraId="6FEFCD9D" w14:textId="77777777" w:rsidR="009545A8" w:rsidRDefault="003974B4" w:rsidP="009545A8">
      <w:pPr>
        <w:pStyle w:val="ListParagraph"/>
        <w:numPr>
          <w:ilvl w:val="1"/>
          <w:numId w:val="4"/>
        </w:numPr>
        <w:ind w:hanging="720"/>
      </w:pPr>
      <w:r>
        <w:t>This policy applies to all individuals and organizations, including students, employees, registered student organizations, politi</w:t>
      </w:r>
      <w:r w:rsidR="0036731B">
        <w:t>cal parties, advocacy groups, and external entities, who wish to engage in political campaign activities within the University of Wisconsin-La Crosse residence halls.</w:t>
      </w:r>
    </w:p>
    <w:p w14:paraId="5473DDA7" w14:textId="77777777" w:rsidR="009545A8" w:rsidRDefault="009545A8" w:rsidP="009545A8">
      <w:pPr>
        <w:pStyle w:val="ListParagraph"/>
        <w:ind w:left="1440"/>
      </w:pPr>
    </w:p>
    <w:p w14:paraId="01719FF4" w14:textId="720E98EA" w:rsidR="0036731B" w:rsidRDefault="009545A8" w:rsidP="009545A8">
      <w:pPr>
        <w:pStyle w:val="ListParagraph"/>
        <w:numPr>
          <w:ilvl w:val="1"/>
          <w:numId w:val="4"/>
        </w:numPr>
        <w:ind w:hanging="720"/>
      </w:pPr>
      <w:r>
        <w:t>This policy does not govern expressive activities occurring in outdoor public university areas, classrooms, or other non-residential campus facilities, which are covered by separate University policies.</w:t>
      </w:r>
    </w:p>
    <w:p w14:paraId="574EAA5A" w14:textId="77777777" w:rsidR="009545A8" w:rsidRPr="007C298E" w:rsidRDefault="009545A8" w:rsidP="009545A8">
      <w:pPr>
        <w:pStyle w:val="ListParagraph"/>
        <w:ind w:left="1440"/>
      </w:pPr>
    </w:p>
    <w:p w14:paraId="6FA011CE" w14:textId="77777777" w:rsidR="001D0C0E" w:rsidRPr="001D0C0E" w:rsidRDefault="007C298E" w:rsidP="006340D9">
      <w:pPr>
        <w:pStyle w:val="ListParagraph"/>
        <w:numPr>
          <w:ilvl w:val="0"/>
          <w:numId w:val="1"/>
        </w:numPr>
        <w:ind w:left="360"/>
        <w:outlineLvl w:val="1"/>
      </w:pPr>
      <w:r>
        <w:rPr>
          <w:rFonts w:ascii="Calibri" w:hAnsi="Calibri" w:cs="Calibri"/>
          <w:b/>
          <w:bCs/>
        </w:rPr>
        <w:t>Definitions</w:t>
      </w:r>
    </w:p>
    <w:p w14:paraId="7B3D35C4" w14:textId="47DFBDF7" w:rsidR="003D6108" w:rsidRPr="001D0C0E" w:rsidRDefault="003D6108" w:rsidP="0044431B">
      <w:pPr>
        <w:pStyle w:val="ListParagraph"/>
        <w:ind w:left="360"/>
      </w:pPr>
      <w:r w:rsidRPr="001D0C0E">
        <w:rPr>
          <w:rFonts w:ascii="Calibri" w:hAnsi="Calibri" w:cs="Calibri"/>
        </w:rPr>
        <w:t>For the purposes of this policy</w:t>
      </w:r>
      <w:r w:rsidR="000D7BA0">
        <w:rPr>
          <w:rFonts w:ascii="Calibri" w:hAnsi="Calibri" w:cs="Calibri"/>
        </w:rPr>
        <w:t>:</w:t>
      </w:r>
    </w:p>
    <w:p w14:paraId="62EDD25D" w14:textId="43BA333B" w:rsidR="0044431B" w:rsidRPr="00782A3D" w:rsidRDefault="0044431B" w:rsidP="0044431B">
      <w:pPr>
        <w:pStyle w:val="ListParagraph"/>
        <w:numPr>
          <w:ilvl w:val="1"/>
          <w:numId w:val="5"/>
        </w:numPr>
        <w:ind w:hanging="720"/>
      </w:pPr>
      <w:r w:rsidRPr="00782A3D">
        <w:rPr>
          <w:rFonts w:ascii="Calibri" w:hAnsi="Calibri" w:cs="Calibri"/>
          <w:b/>
          <w:bCs/>
        </w:rPr>
        <w:t>Campaigning:</w:t>
      </w:r>
      <w:r>
        <w:rPr>
          <w:rFonts w:ascii="Calibri" w:hAnsi="Calibri" w:cs="Calibri"/>
        </w:rPr>
        <w:t xml:space="preserve"> </w:t>
      </w:r>
      <w:r w:rsidR="00782A3D">
        <w:rPr>
          <w:rFonts w:ascii="Calibri" w:hAnsi="Calibri" w:cs="Calibri"/>
        </w:rPr>
        <w:t>Advocacy or education directly related to voter registration or voting in an election, a candidate appearing on the ballot, or a referendum question registered to appear on the ballot in an upcoming municipal, state, or national election.</w:t>
      </w:r>
    </w:p>
    <w:p w14:paraId="5CE0DE0C" w14:textId="77777777" w:rsidR="00782A3D" w:rsidRPr="0044431B" w:rsidRDefault="00782A3D" w:rsidP="00782A3D">
      <w:pPr>
        <w:pStyle w:val="ListParagraph"/>
        <w:ind w:left="1440"/>
      </w:pPr>
    </w:p>
    <w:p w14:paraId="6AD49CE5" w14:textId="722232C7" w:rsidR="0044431B" w:rsidRPr="00782A3D" w:rsidRDefault="00133ACC" w:rsidP="0044431B">
      <w:pPr>
        <w:pStyle w:val="ListParagraph"/>
        <w:numPr>
          <w:ilvl w:val="1"/>
          <w:numId w:val="5"/>
        </w:numPr>
        <w:ind w:hanging="720"/>
      </w:pPr>
      <w:r w:rsidRPr="008C3C7C">
        <w:rPr>
          <w:rFonts w:ascii="Calibri" w:hAnsi="Calibri" w:cs="Calibri"/>
          <w:b/>
          <w:bCs/>
        </w:rPr>
        <w:t>Campaign</w:t>
      </w:r>
      <w:r w:rsidR="0070542D">
        <w:rPr>
          <w:rFonts w:ascii="Calibri" w:hAnsi="Calibri" w:cs="Calibri"/>
          <w:b/>
          <w:bCs/>
        </w:rPr>
        <w:t>/Campaigning</w:t>
      </w:r>
      <w:r w:rsidR="0044431B" w:rsidRPr="008C3C7C">
        <w:rPr>
          <w:rFonts w:ascii="Calibri" w:hAnsi="Calibri" w:cs="Calibri"/>
          <w:b/>
          <w:bCs/>
        </w:rPr>
        <w:t xml:space="preserve"> Literature</w:t>
      </w:r>
      <w:r w:rsidR="0044431B" w:rsidRPr="00782A3D">
        <w:rPr>
          <w:rFonts w:ascii="Calibri" w:hAnsi="Calibri" w:cs="Calibri"/>
          <w:b/>
          <w:bCs/>
        </w:rPr>
        <w:t>:</w:t>
      </w:r>
      <w:r w:rsidR="0044431B">
        <w:rPr>
          <w:rFonts w:ascii="Calibri" w:hAnsi="Calibri" w:cs="Calibri"/>
        </w:rPr>
        <w:t xml:space="preserve"> </w:t>
      </w:r>
      <w:r w:rsidR="00782A3D">
        <w:rPr>
          <w:rFonts w:ascii="Calibri" w:hAnsi="Calibri" w:cs="Calibri"/>
        </w:rPr>
        <w:t>Printed materials distributed for the purpose of campaigning as defined above.</w:t>
      </w:r>
    </w:p>
    <w:p w14:paraId="64CE4ED8" w14:textId="77777777" w:rsidR="00782A3D" w:rsidRPr="0044431B" w:rsidRDefault="00782A3D" w:rsidP="00782A3D"/>
    <w:p w14:paraId="22972873" w14:textId="64499CA5" w:rsidR="0044431B" w:rsidRPr="00782A3D" w:rsidRDefault="0044431B" w:rsidP="0044431B">
      <w:pPr>
        <w:pStyle w:val="ListParagraph"/>
        <w:numPr>
          <w:ilvl w:val="1"/>
          <w:numId w:val="5"/>
        </w:numPr>
        <w:ind w:hanging="720"/>
      </w:pPr>
      <w:r w:rsidRPr="00782A3D">
        <w:rPr>
          <w:rFonts w:ascii="Calibri" w:hAnsi="Calibri" w:cs="Calibri"/>
          <w:b/>
          <w:bCs/>
        </w:rPr>
        <w:t>Residence Halls:</w:t>
      </w:r>
      <w:r>
        <w:rPr>
          <w:rFonts w:ascii="Calibri" w:hAnsi="Calibri" w:cs="Calibri"/>
        </w:rPr>
        <w:t xml:space="preserve"> </w:t>
      </w:r>
      <w:r w:rsidR="00782A3D">
        <w:rPr>
          <w:rFonts w:ascii="Calibri" w:hAnsi="Calibri" w:cs="Calibri"/>
        </w:rPr>
        <w:t>University-owned or -operated housing facilities that serve as student living spaces.</w:t>
      </w:r>
    </w:p>
    <w:p w14:paraId="059AAD55" w14:textId="77777777" w:rsidR="00782A3D" w:rsidRPr="0044431B" w:rsidRDefault="00782A3D" w:rsidP="00782A3D"/>
    <w:p w14:paraId="4A98BDFE" w14:textId="607C9991" w:rsidR="0044431B" w:rsidRPr="00782A3D" w:rsidRDefault="0044431B" w:rsidP="0044431B">
      <w:pPr>
        <w:pStyle w:val="ListParagraph"/>
        <w:numPr>
          <w:ilvl w:val="1"/>
          <w:numId w:val="5"/>
        </w:numPr>
        <w:ind w:hanging="720"/>
      </w:pPr>
      <w:r w:rsidRPr="00782A3D">
        <w:rPr>
          <w:rFonts w:ascii="Calibri" w:hAnsi="Calibri" w:cs="Calibri"/>
          <w:b/>
          <w:bCs/>
        </w:rPr>
        <w:t>Designated Tabling Area:</w:t>
      </w:r>
      <w:r>
        <w:rPr>
          <w:rFonts w:ascii="Calibri" w:hAnsi="Calibri" w:cs="Calibri"/>
        </w:rPr>
        <w:t xml:space="preserve"> </w:t>
      </w:r>
      <w:r w:rsidR="00782A3D">
        <w:rPr>
          <w:rFonts w:ascii="Calibri" w:hAnsi="Calibri" w:cs="Calibri"/>
        </w:rPr>
        <w:t>A specified location within a residence hall where campaign activities may occur under this policy.</w:t>
      </w:r>
    </w:p>
    <w:p w14:paraId="032E880E" w14:textId="77777777" w:rsidR="00782A3D" w:rsidRPr="007C298E" w:rsidRDefault="00782A3D" w:rsidP="00782A3D"/>
    <w:p w14:paraId="39DC9667" w14:textId="1476B84D" w:rsidR="000A0D87" w:rsidRPr="000A0D87" w:rsidRDefault="00FC4B74" w:rsidP="006340D9">
      <w:pPr>
        <w:pStyle w:val="ListParagraph"/>
        <w:numPr>
          <w:ilvl w:val="0"/>
          <w:numId w:val="1"/>
        </w:numPr>
        <w:ind w:left="360"/>
        <w:outlineLvl w:val="1"/>
      </w:pPr>
      <w:r>
        <w:rPr>
          <w:rFonts w:ascii="Calibri" w:hAnsi="Calibri" w:cs="Calibri"/>
          <w:b/>
          <w:bCs/>
        </w:rPr>
        <w:t>Policy Statement</w:t>
      </w:r>
    </w:p>
    <w:p w14:paraId="422F6973" w14:textId="2BB25F7F" w:rsidR="000A0D87" w:rsidRPr="000A0D87" w:rsidRDefault="000A0D87" w:rsidP="000A0D87">
      <w:pPr>
        <w:pStyle w:val="ListParagraph"/>
        <w:numPr>
          <w:ilvl w:val="1"/>
          <w:numId w:val="6"/>
        </w:numPr>
        <w:ind w:hanging="720"/>
      </w:pPr>
      <w:r w:rsidRPr="000A0D87">
        <w:rPr>
          <w:rFonts w:ascii="Calibri" w:hAnsi="Calibri" w:cs="Calibri"/>
        </w:rPr>
        <w:t xml:space="preserve">The University </w:t>
      </w:r>
      <w:r>
        <w:rPr>
          <w:rFonts w:ascii="Calibri" w:hAnsi="Calibri" w:cs="Calibri"/>
        </w:rPr>
        <w:t xml:space="preserve">supports political engagement as a vital component of civic learning and student development.  Individuals and organizations are permitted to engage in political campaigning and distribute </w:t>
      </w:r>
      <w:r w:rsidR="006F6EFC" w:rsidRPr="008C3C7C">
        <w:rPr>
          <w:rFonts w:ascii="Calibri" w:hAnsi="Calibri" w:cs="Calibri"/>
        </w:rPr>
        <w:t>campaign</w:t>
      </w:r>
      <w:r w:rsidR="0070542D">
        <w:rPr>
          <w:rFonts w:ascii="Calibri" w:hAnsi="Calibri" w:cs="Calibri"/>
        </w:rPr>
        <w:t>/campaigning</w:t>
      </w:r>
      <w:r w:rsidR="006F6EFC" w:rsidRPr="008C3C7C">
        <w:rPr>
          <w:rFonts w:ascii="Calibri" w:hAnsi="Calibri" w:cs="Calibri"/>
        </w:rPr>
        <w:t xml:space="preserve"> </w:t>
      </w:r>
      <w:r>
        <w:rPr>
          <w:rFonts w:ascii="Calibri" w:hAnsi="Calibri" w:cs="Calibri"/>
        </w:rPr>
        <w:t xml:space="preserve">literature in </w:t>
      </w:r>
      <w:r w:rsidR="00F657E0">
        <w:rPr>
          <w:rFonts w:ascii="Calibri" w:hAnsi="Calibri" w:cs="Calibri"/>
        </w:rPr>
        <w:t xml:space="preserve">the University of Wisconsin-La Crosse </w:t>
      </w:r>
      <w:r>
        <w:rPr>
          <w:rFonts w:ascii="Calibri" w:hAnsi="Calibri" w:cs="Calibri"/>
        </w:rPr>
        <w:t>residence halls in accordance with the procedures, restrictions, and requirements outlined in this policy.</w:t>
      </w:r>
    </w:p>
    <w:p w14:paraId="7D814A30" w14:textId="77777777" w:rsidR="000A0D87" w:rsidRPr="000A0D87" w:rsidRDefault="000A0D87" w:rsidP="000A0D87">
      <w:pPr>
        <w:pStyle w:val="ListParagraph"/>
        <w:ind w:left="1440"/>
      </w:pPr>
    </w:p>
    <w:p w14:paraId="401DBA6E" w14:textId="519AB945" w:rsidR="00FC4B74" w:rsidRPr="000A0D87" w:rsidRDefault="000A0D87" w:rsidP="002B1EA0">
      <w:pPr>
        <w:pStyle w:val="ListParagraph"/>
        <w:numPr>
          <w:ilvl w:val="1"/>
          <w:numId w:val="6"/>
        </w:numPr>
        <w:ind w:hanging="720"/>
      </w:pPr>
      <w:r>
        <w:rPr>
          <w:rFonts w:ascii="Calibri" w:hAnsi="Calibri" w:cs="Calibri"/>
        </w:rPr>
        <w:t>All campaign activity must be conducted in a manner that respects the rights of residents, protects the safety and security of the residential environment, and does not disrupt the educational mission of the University.</w:t>
      </w:r>
    </w:p>
    <w:p w14:paraId="4BC2A713" w14:textId="77777777" w:rsidR="000A0D87" w:rsidRDefault="000A0D87" w:rsidP="000A0D87">
      <w:pPr>
        <w:pStyle w:val="ListParagraph"/>
      </w:pPr>
    </w:p>
    <w:p w14:paraId="3B97DB3E" w14:textId="22905698" w:rsidR="000A0D87" w:rsidRDefault="000A0D87" w:rsidP="006340D9">
      <w:pPr>
        <w:pStyle w:val="ListParagraph"/>
        <w:numPr>
          <w:ilvl w:val="0"/>
          <w:numId w:val="6"/>
        </w:numPr>
        <w:outlineLvl w:val="1"/>
        <w:rPr>
          <w:b/>
          <w:bCs/>
        </w:rPr>
      </w:pPr>
      <w:r w:rsidRPr="007F6691">
        <w:rPr>
          <w:b/>
          <w:bCs/>
        </w:rPr>
        <w:t>Procedures and Requirements</w:t>
      </w:r>
    </w:p>
    <w:p w14:paraId="07E83565" w14:textId="10036CC6" w:rsidR="00B253C4" w:rsidRPr="00E029E3" w:rsidRDefault="00B253C4" w:rsidP="00F13FC2">
      <w:pPr>
        <w:pStyle w:val="ListParagraph"/>
        <w:numPr>
          <w:ilvl w:val="1"/>
          <w:numId w:val="6"/>
        </w:numPr>
        <w:ind w:hanging="720"/>
        <w:outlineLvl w:val="2"/>
      </w:pPr>
      <w:r w:rsidRPr="00E029E3">
        <w:t>Registration</w:t>
      </w:r>
    </w:p>
    <w:p w14:paraId="7899978A" w14:textId="40151DCE" w:rsidR="00162CB2" w:rsidRDefault="003E7E57" w:rsidP="003E7E57">
      <w:pPr>
        <w:pStyle w:val="ListParagraph"/>
        <w:numPr>
          <w:ilvl w:val="2"/>
          <w:numId w:val="6"/>
        </w:numPr>
      </w:pPr>
      <w:r w:rsidRPr="003E7E57">
        <w:t>Individuals or organizations wis</w:t>
      </w:r>
      <w:r>
        <w:t xml:space="preserve">hing to conduct campaign activities must register with </w:t>
      </w:r>
      <w:r w:rsidR="00D17F3C">
        <w:t xml:space="preserve">the </w:t>
      </w:r>
      <w:r w:rsidR="00D17F3C">
        <w:rPr>
          <w:b/>
          <w:bCs/>
        </w:rPr>
        <w:t>Office of Residence Life</w:t>
      </w:r>
      <w:r w:rsidR="00D17F3C">
        <w:t xml:space="preserve"> at least </w:t>
      </w:r>
      <w:r w:rsidR="005014DE" w:rsidRPr="005014DE">
        <w:rPr>
          <w:b/>
          <w:bCs/>
        </w:rPr>
        <w:t>2</w:t>
      </w:r>
      <w:r w:rsidR="00D17F3C" w:rsidRPr="005014DE">
        <w:t xml:space="preserve"> </w:t>
      </w:r>
      <w:r w:rsidR="00D17F3C" w:rsidRPr="005014DE">
        <w:rPr>
          <w:b/>
          <w:bCs/>
        </w:rPr>
        <w:t>full business days</w:t>
      </w:r>
      <w:r w:rsidR="00D17F3C">
        <w:t xml:space="preserve"> in advance of </w:t>
      </w:r>
      <w:r w:rsidR="0020672D">
        <w:t>each</w:t>
      </w:r>
      <w:r w:rsidR="00D17F3C">
        <w:t xml:space="preserve"> planned </w:t>
      </w:r>
      <w:r w:rsidR="0020672D">
        <w:t xml:space="preserve">campaigning </w:t>
      </w:r>
      <w:r w:rsidR="00D17F3C">
        <w:t>activity.</w:t>
      </w:r>
      <w:r w:rsidR="0020672D">
        <w:t xml:space="preserve">  </w:t>
      </w:r>
    </w:p>
    <w:p w14:paraId="47418091" w14:textId="5953BD11" w:rsidR="003E7E57" w:rsidRDefault="0020672D" w:rsidP="003E7E57">
      <w:pPr>
        <w:pStyle w:val="ListParagraph"/>
        <w:numPr>
          <w:ilvl w:val="2"/>
          <w:numId w:val="6"/>
        </w:numPr>
      </w:pPr>
      <w:r>
        <w:lastRenderedPageBreak/>
        <w:t>Advance</w:t>
      </w:r>
      <w:r w:rsidR="00162CB2">
        <w:t xml:space="preserve"> approval of registration requests is required, and it will not be granted if the </w:t>
      </w:r>
      <w:r w:rsidR="00315F3E">
        <w:t>designated tabling space has already been reserved by another party at the time of the request.</w:t>
      </w:r>
    </w:p>
    <w:p w14:paraId="7F13CFF5" w14:textId="77777777" w:rsidR="00DE4D53" w:rsidRDefault="00DE4D53" w:rsidP="00DE4D53">
      <w:pPr>
        <w:pStyle w:val="ListParagraph"/>
        <w:ind w:left="2520"/>
      </w:pPr>
    </w:p>
    <w:p w14:paraId="2B106E8A" w14:textId="77777777" w:rsidR="00DE4D53" w:rsidRDefault="00315F3E" w:rsidP="003E7E57">
      <w:pPr>
        <w:pStyle w:val="ListParagraph"/>
        <w:numPr>
          <w:ilvl w:val="2"/>
          <w:numId w:val="6"/>
        </w:numPr>
      </w:pPr>
      <w:r>
        <w:t>The Office of Residence Life may require certain information about the registrants and the contemplated campaigning activity</w:t>
      </w:r>
      <w:r w:rsidR="00DE4D53">
        <w:t>.</w:t>
      </w:r>
    </w:p>
    <w:p w14:paraId="5B96A2A3" w14:textId="77777777" w:rsidR="00DE4D53" w:rsidRDefault="00DE4D53" w:rsidP="00DE4D53">
      <w:pPr>
        <w:pStyle w:val="ListParagraph"/>
        <w:ind w:left="2520"/>
      </w:pPr>
    </w:p>
    <w:p w14:paraId="0022DF54" w14:textId="568359B3" w:rsidR="00D17F3C" w:rsidRDefault="007F1405" w:rsidP="003E7E57">
      <w:pPr>
        <w:pStyle w:val="ListParagraph"/>
        <w:numPr>
          <w:ilvl w:val="2"/>
          <w:numId w:val="6"/>
        </w:numPr>
      </w:pPr>
      <w:r>
        <w:t>Approval will be granted on a viewpoint-neutral basis and subject to space availability.</w:t>
      </w:r>
    </w:p>
    <w:p w14:paraId="33A1C8E9" w14:textId="77777777" w:rsidR="005C5D21" w:rsidRDefault="005C5D21" w:rsidP="005C5D21">
      <w:pPr>
        <w:pStyle w:val="ListParagraph"/>
      </w:pPr>
    </w:p>
    <w:p w14:paraId="529EDD6F" w14:textId="3394077D" w:rsidR="005C5D21" w:rsidRDefault="007628E4" w:rsidP="003E7E57">
      <w:pPr>
        <w:pStyle w:val="ListParagraph"/>
        <w:numPr>
          <w:ilvl w:val="2"/>
          <w:numId w:val="6"/>
        </w:numPr>
      </w:pPr>
      <w:r>
        <w:t xml:space="preserve">Due to the limited </w:t>
      </w:r>
      <w:r w:rsidR="005C3995">
        <w:t>number of residence halls and the need to ensure equitable access to these spaces, no individual or group may conduct campaigning activities in the same residence hall more than once per week.</w:t>
      </w:r>
      <w:r w:rsidR="004D33F4">
        <w:t xml:space="preserve">  The Office or Residence Life may, at its discretion, further limit or adjust frequency based on space availability, operational needs, or competing requests, provided such determinations are made in a viewpoint-neutral manner. </w:t>
      </w:r>
    </w:p>
    <w:p w14:paraId="4D851587" w14:textId="77777777" w:rsidR="00C329EF" w:rsidRDefault="00C329EF" w:rsidP="00C329EF"/>
    <w:p w14:paraId="615E3EF7" w14:textId="19DFCDEC" w:rsidR="008A1437" w:rsidRDefault="00085017" w:rsidP="00DE4D53">
      <w:pPr>
        <w:pStyle w:val="ListParagraph"/>
        <w:numPr>
          <w:ilvl w:val="2"/>
          <w:numId w:val="6"/>
        </w:numPr>
      </w:pPr>
      <w:r>
        <w:t xml:space="preserve">To request </w:t>
      </w:r>
      <w:r w:rsidR="007754BD">
        <w:t xml:space="preserve">space, please </w:t>
      </w:r>
      <w:r w:rsidR="007A707D">
        <w:t>contact the Office of Residence Life:</w:t>
      </w:r>
    </w:p>
    <w:p w14:paraId="1B7872EC" w14:textId="7F386AF0" w:rsidR="007A707D" w:rsidRDefault="00A65C23" w:rsidP="007A707D">
      <w:pPr>
        <w:ind w:left="2520"/>
      </w:pPr>
      <w:r>
        <w:t>Phone:  608-785-8075</w:t>
      </w:r>
    </w:p>
    <w:p w14:paraId="60F7393F" w14:textId="442F4741" w:rsidR="00A65C23" w:rsidRDefault="00A40283" w:rsidP="007A707D">
      <w:pPr>
        <w:ind w:left="2520"/>
      </w:pPr>
      <w:r>
        <w:t xml:space="preserve">Email: </w:t>
      </w:r>
      <w:hyperlink r:id="rId12" w:history="1">
        <w:r w:rsidRPr="00C055E6">
          <w:rPr>
            <w:rStyle w:val="Hyperlink"/>
          </w:rPr>
          <w:t>housing@uwlax.edu</w:t>
        </w:r>
      </w:hyperlink>
    </w:p>
    <w:p w14:paraId="4D558CE7" w14:textId="03C18285" w:rsidR="00A40283" w:rsidRDefault="00F57ABC" w:rsidP="007A707D">
      <w:pPr>
        <w:ind w:left="2520"/>
      </w:pPr>
      <w:r>
        <w:t>Location:  1500 La Crosse St</w:t>
      </w:r>
    </w:p>
    <w:p w14:paraId="1B25744F" w14:textId="1E0D7A7F" w:rsidR="00F57ABC" w:rsidRDefault="00F57ABC" w:rsidP="007A707D">
      <w:pPr>
        <w:ind w:left="2520"/>
      </w:pPr>
      <w:r>
        <w:tab/>
      </w:r>
      <w:r>
        <w:tab/>
        <w:t>La Crosse, WI  54601</w:t>
      </w:r>
    </w:p>
    <w:p w14:paraId="6474087A" w14:textId="77777777" w:rsidR="00C329EF" w:rsidRPr="003E7E57" w:rsidRDefault="00C329EF" w:rsidP="00C329EF"/>
    <w:p w14:paraId="6FED0320" w14:textId="2299999C" w:rsidR="00B253C4" w:rsidRPr="00E029E3" w:rsidRDefault="00B253C4" w:rsidP="00F13FC2">
      <w:pPr>
        <w:pStyle w:val="ListParagraph"/>
        <w:numPr>
          <w:ilvl w:val="1"/>
          <w:numId w:val="6"/>
        </w:numPr>
        <w:ind w:hanging="720"/>
        <w:outlineLvl w:val="2"/>
      </w:pPr>
      <w:r w:rsidRPr="00E029E3">
        <w:t>Location and Hours</w:t>
      </w:r>
    </w:p>
    <w:p w14:paraId="3A67323E" w14:textId="594B188F" w:rsidR="00A95A3E" w:rsidRDefault="003C488D" w:rsidP="00A95A3E">
      <w:pPr>
        <w:pStyle w:val="ListParagraph"/>
        <w:numPr>
          <w:ilvl w:val="2"/>
          <w:numId w:val="6"/>
        </w:numPr>
      </w:pPr>
      <w:r w:rsidRPr="003C488D">
        <w:t xml:space="preserve">Campaigning is </w:t>
      </w:r>
      <w:r>
        <w:t>permitted only in the designated tabling area of each residence hall</w:t>
      </w:r>
      <w:r w:rsidR="001329FD">
        <w:t xml:space="preserve"> (the main lobby)</w:t>
      </w:r>
      <w:r>
        <w:t xml:space="preserve"> during periods when the building is occupied by students </w:t>
      </w:r>
      <w:r w:rsidR="00746CF9">
        <w:t>during the academic year</w:t>
      </w:r>
      <w:r w:rsidR="00B6373C">
        <w:t xml:space="preserve"> </w:t>
      </w:r>
      <w:r>
        <w:t xml:space="preserve">and </w:t>
      </w:r>
      <w:r w:rsidR="001329FD">
        <w:t xml:space="preserve">during the following hours, </w:t>
      </w:r>
      <w:r>
        <w:t>as established by the Office of Residence Life</w:t>
      </w:r>
      <w:r w:rsidR="001329FD">
        <w:t xml:space="preserve">: </w:t>
      </w:r>
      <w:r w:rsidR="00D94F46">
        <w:t xml:space="preserve">4:00 pm – 7:00 pm </w:t>
      </w:r>
    </w:p>
    <w:p w14:paraId="31E42A1C" w14:textId="77777777" w:rsidR="00C329EF" w:rsidRPr="003C488D" w:rsidRDefault="00C329EF" w:rsidP="00C329EF">
      <w:pPr>
        <w:pStyle w:val="ListParagraph"/>
        <w:ind w:left="2880"/>
      </w:pPr>
    </w:p>
    <w:p w14:paraId="0E14F60B" w14:textId="476D659F" w:rsidR="00B253C4" w:rsidRPr="00E029E3" w:rsidRDefault="00B253C4" w:rsidP="00752348">
      <w:pPr>
        <w:pStyle w:val="ListParagraph"/>
        <w:numPr>
          <w:ilvl w:val="1"/>
          <w:numId w:val="6"/>
        </w:numPr>
        <w:ind w:hanging="720"/>
        <w:outlineLvl w:val="2"/>
      </w:pPr>
      <w:r w:rsidRPr="00E029E3">
        <w:t>Access Requirements</w:t>
      </w:r>
    </w:p>
    <w:p w14:paraId="5617143F" w14:textId="082716E5" w:rsidR="001D5A07" w:rsidRPr="005C11DF" w:rsidRDefault="00815932" w:rsidP="005C11DF">
      <w:pPr>
        <w:pStyle w:val="ListParagraph"/>
        <w:numPr>
          <w:ilvl w:val="2"/>
          <w:numId w:val="6"/>
        </w:numPr>
        <w:rPr>
          <w:b/>
          <w:bCs/>
          <w:sz w:val="28"/>
          <w:szCs w:val="28"/>
        </w:rPr>
      </w:pPr>
      <w:r w:rsidRPr="00815932">
        <w:rPr>
          <w:color w:val="000000"/>
        </w:rPr>
        <w:t xml:space="preserve">Any campaigning individual </w:t>
      </w:r>
      <w:r w:rsidRPr="00815932">
        <w:rPr>
          <w:b/>
          <w:bCs/>
          <w:color w:val="000000"/>
        </w:rPr>
        <w:t>who does not reside in the hall where campaigning is occurring</w:t>
      </w:r>
      <w:r w:rsidRPr="00815932">
        <w:rPr>
          <w:color w:val="000000"/>
        </w:rPr>
        <w:t xml:space="preserve"> must be physically accompanied by a current UWL student or employee while in any area of the building beyond the designated lobby/tabling area.  The accompanying individual </w:t>
      </w:r>
      <w:r w:rsidRPr="00815932">
        <w:rPr>
          <w:b/>
          <w:bCs/>
          <w:color w:val="000000"/>
        </w:rPr>
        <w:t>must reside in that building</w:t>
      </w:r>
      <w:r w:rsidRPr="00815932">
        <w:rPr>
          <w:color w:val="000000"/>
        </w:rPr>
        <w:t xml:space="preserve"> and must agree to take responsibility for ensuring the campaigning individual’s adherence to this policy and all applicable University rules.</w:t>
      </w:r>
      <w:r>
        <w:rPr>
          <w:color w:val="000000"/>
        </w:rPr>
        <w:t xml:space="preserve">  </w:t>
      </w:r>
      <w:r w:rsidR="00A50F04">
        <w:t xml:space="preserve">(Example: </w:t>
      </w:r>
      <w:r w:rsidR="00180631">
        <w:t>A S</w:t>
      </w:r>
      <w:r w:rsidR="00A50F04">
        <w:t>anford resident</w:t>
      </w:r>
      <w:r w:rsidR="00180631">
        <w:t xml:space="preserve"> may escort individuals in Sanford only.  </w:t>
      </w:r>
      <w:r w:rsidR="001C4F46">
        <w:t>If the campaigning individual enters Laux, a resident of Laux must serve as the escort</w:t>
      </w:r>
      <w:r w:rsidR="001D5A07">
        <w:t xml:space="preserve">.)  This provision does not apply in any context in which the non-UWL individual would otherwise be </w:t>
      </w:r>
      <w:r w:rsidR="001D5A07">
        <w:lastRenderedPageBreak/>
        <w:t>permitted to be unaccompanied in the residence hall under applicable University policies.</w:t>
      </w:r>
    </w:p>
    <w:p w14:paraId="65ACDD3E" w14:textId="77777777" w:rsidR="008C1BF3" w:rsidRPr="000F1628" w:rsidRDefault="008C1BF3" w:rsidP="008C1BF3">
      <w:pPr>
        <w:pStyle w:val="ListParagraph"/>
        <w:ind w:left="2520"/>
        <w:rPr>
          <w:b/>
          <w:bCs/>
        </w:rPr>
      </w:pPr>
    </w:p>
    <w:p w14:paraId="69E78E6C" w14:textId="77777777" w:rsidR="001A12DB" w:rsidRPr="001A12DB" w:rsidRDefault="000F1628" w:rsidP="001A12DB">
      <w:pPr>
        <w:pStyle w:val="ListParagraph"/>
        <w:numPr>
          <w:ilvl w:val="2"/>
          <w:numId w:val="6"/>
        </w:numPr>
        <w:rPr>
          <w:b/>
          <w:bCs/>
        </w:rPr>
      </w:pPr>
      <w:r>
        <w:t>Upon arrival, campaign participants must check in</w:t>
      </w:r>
      <w:r w:rsidR="001A12DB">
        <w:t>,</w:t>
      </w:r>
      <w:r>
        <w:t xml:space="preserve"> following </w:t>
      </w:r>
      <w:r w:rsidR="001A12DB">
        <w:t xml:space="preserve">these </w:t>
      </w:r>
      <w:r>
        <w:t>procedures</w:t>
      </w:r>
      <w:r w:rsidR="001A12DB">
        <w:t>,</w:t>
      </w:r>
      <w:r>
        <w:t xml:space="preserve"> established by the Office of Residence Life</w:t>
      </w:r>
      <w:r w:rsidR="001A12DB">
        <w:t>:</w:t>
      </w:r>
    </w:p>
    <w:p w14:paraId="6866DF12" w14:textId="6ED648BA" w:rsidR="000F1628" w:rsidRPr="005014DE" w:rsidRDefault="00D378A0" w:rsidP="001A12DB">
      <w:pPr>
        <w:pStyle w:val="ListParagraph"/>
        <w:numPr>
          <w:ilvl w:val="3"/>
          <w:numId w:val="6"/>
        </w:numPr>
        <w:rPr>
          <w:b/>
          <w:bCs/>
        </w:rPr>
      </w:pPr>
      <w:r>
        <w:t xml:space="preserve">Go to the residence hall front desk of the building where tabling was registered, and the </w:t>
      </w:r>
      <w:r w:rsidR="00041FED">
        <w:t>front desk employee will show those registered where tabling is allowed in the main lobby.</w:t>
      </w:r>
    </w:p>
    <w:p w14:paraId="7FA035C2" w14:textId="77777777" w:rsidR="00175ABC" w:rsidRPr="005014DE" w:rsidRDefault="00175ABC" w:rsidP="00175ABC">
      <w:pPr>
        <w:pStyle w:val="ListParagraph"/>
        <w:ind w:left="4320"/>
        <w:rPr>
          <w:b/>
          <w:bCs/>
        </w:rPr>
      </w:pPr>
    </w:p>
    <w:p w14:paraId="32B4CEC6" w14:textId="3BC33A71" w:rsidR="0043319A" w:rsidRPr="005014DE" w:rsidRDefault="00175ABC" w:rsidP="0043319A">
      <w:pPr>
        <w:pStyle w:val="ListParagraph"/>
        <w:numPr>
          <w:ilvl w:val="3"/>
          <w:numId w:val="6"/>
        </w:numPr>
        <w:rPr>
          <w:b/>
          <w:bCs/>
        </w:rPr>
      </w:pPr>
      <w:r w:rsidRPr="005014DE">
        <w:t xml:space="preserve">Present </w:t>
      </w:r>
      <w:r w:rsidR="0043319A" w:rsidRPr="005014DE">
        <w:t>i</w:t>
      </w:r>
      <w:r w:rsidRPr="005014DE">
        <w:t xml:space="preserve">dentification with UWL staff </w:t>
      </w:r>
      <w:proofErr w:type="gramStart"/>
      <w:r w:rsidRPr="005014DE">
        <w:t>in order to</w:t>
      </w:r>
      <w:proofErr w:type="gramEnd"/>
      <w:r w:rsidRPr="005014DE">
        <w:t xml:space="preserve"> obtain utilization of space.  Please know that only those indicated on the form will be permitted access to </w:t>
      </w:r>
      <w:r w:rsidR="006540BC">
        <w:t xml:space="preserve">the </w:t>
      </w:r>
      <w:r w:rsidRPr="005014DE">
        <w:t>space.</w:t>
      </w:r>
    </w:p>
    <w:p w14:paraId="34E8DE75" w14:textId="77777777" w:rsidR="0043319A" w:rsidRPr="005014DE" w:rsidRDefault="0043319A" w:rsidP="0043319A">
      <w:pPr>
        <w:pStyle w:val="ListParagraph"/>
        <w:rPr>
          <w:b/>
          <w:bCs/>
        </w:rPr>
      </w:pPr>
    </w:p>
    <w:p w14:paraId="69747CE9" w14:textId="277CA066" w:rsidR="0043319A" w:rsidRPr="005014DE" w:rsidRDefault="0043319A" w:rsidP="0043319A">
      <w:pPr>
        <w:pStyle w:val="ListParagraph"/>
        <w:numPr>
          <w:ilvl w:val="3"/>
          <w:numId w:val="6"/>
        </w:numPr>
        <w:rPr>
          <w:b/>
          <w:bCs/>
        </w:rPr>
      </w:pPr>
      <w:r w:rsidRPr="005014DE">
        <w:t xml:space="preserve">Wear </w:t>
      </w:r>
      <w:r w:rsidR="008A1068" w:rsidRPr="00334C1B">
        <w:rPr>
          <w:b/>
          <w:bCs/>
        </w:rPr>
        <w:t xml:space="preserve">UWL Campaigning </w:t>
      </w:r>
      <w:r w:rsidR="00334C1B">
        <w:rPr>
          <w:b/>
          <w:bCs/>
        </w:rPr>
        <w:t>N</w:t>
      </w:r>
      <w:r w:rsidR="008A1068" w:rsidRPr="00334C1B">
        <w:rPr>
          <w:b/>
          <w:bCs/>
        </w:rPr>
        <w:t xml:space="preserve">ame </w:t>
      </w:r>
      <w:r w:rsidR="00334C1B">
        <w:rPr>
          <w:b/>
          <w:bCs/>
        </w:rPr>
        <w:t>I</w:t>
      </w:r>
      <w:r w:rsidR="008A1068" w:rsidRPr="00334C1B">
        <w:rPr>
          <w:b/>
          <w:bCs/>
        </w:rPr>
        <w:t>dentification</w:t>
      </w:r>
      <w:r w:rsidR="00334C1B">
        <w:rPr>
          <w:b/>
          <w:bCs/>
        </w:rPr>
        <w:t xml:space="preserve">, </w:t>
      </w:r>
      <w:r w:rsidR="00334C1B">
        <w:t xml:space="preserve">provided by UWL, </w:t>
      </w:r>
      <w:r w:rsidR="008A1068" w:rsidRPr="005014DE">
        <w:t>for the duration of the tabling event.</w:t>
      </w:r>
    </w:p>
    <w:p w14:paraId="03019EDE" w14:textId="77777777" w:rsidR="000F1628" w:rsidRDefault="000F1628" w:rsidP="000F1628">
      <w:pPr>
        <w:pStyle w:val="ListParagraph"/>
        <w:ind w:left="2880"/>
        <w:rPr>
          <w:b/>
          <w:bCs/>
        </w:rPr>
      </w:pPr>
    </w:p>
    <w:p w14:paraId="1A91C307" w14:textId="1857CCC2" w:rsidR="00B253C4" w:rsidRPr="00E029E3" w:rsidRDefault="00B253C4" w:rsidP="00752348">
      <w:pPr>
        <w:pStyle w:val="ListParagraph"/>
        <w:numPr>
          <w:ilvl w:val="1"/>
          <w:numId w:val="6"/>
        </w:numPr>
        <w:ind w:hanging="720"/>
        <w:outlineLvl w:val="2"/>
      </w:pPr>
      <w:r w:rsidRPr="00E029E3">
        <w:t>Distribution of Literature</w:t>
      </w:r>
    </w:p>
    <w:p w14:paraId="4396EFAF" w14:textId="7937974A" w:rsidR="000F1628" w:rsidRPr="002B42A1" w:rsidRDefault="000F1628" w:rsidP="000F1628">
      <w:pPr>
        <w:pStyle w:val="ListParagraph"/>
        <w:numPr>
          <w:ilvl w:val="2"/>
          <w:numId w:val="6"/>
        </w:numPr>
        <w:rPr>
          <w:b/>
          <w:bCs/>
        </w:rPr>
      </w:pPr>
      <w:r>
        <w:t>Campaign literature may be distributed in designated tabling areas.</w:t>
      </w:r>
    </w:p>
    <w:p w14:paraId="69AE716F" w14:textId="77777777" w:rsidR="002B42A1" w:rsidRPr="002B42A1" w:rsidRDefault="002B42A1" w:rsidP="002B42A1">
      <w:pPr>
        <w:pStyle w:val="ListParagraph"/>
        <w:ind w:left="2880"/>
        <w:rPr>
          <w:b/>
          <w:bCs/>
        </w:rPr>
      </w:pPr>
    </w:p>
    <w:p w14:paraId="7020D86E" w14:textId="5B0AB3FB" w:rsidR="002B42A1" w:rsidRPr="008C3C7C" w:rsidRDefault="002B42A1" w:rsidP="000F1628">
      <w:pPr>
        <w:pStyle w:val="ListParagraph"/>
        <w:numPr>
          <w:ilvl w:val="2"/>
          <w:numId w:val="6"/>
        </w:numPr>
        <w:rPr>
          <w:b/>
          <w:bCs/>
        </w:rPr>
      </w:pPr>
      <w:r>
        <w:t xml:space="preserve">Placing materials under or on residents’ doors, or entering living </w:t>
      </w:r>
      <w:r w:rsidRPr="008C3C7C">
        <w:t>areas, is strictly prohibited.</w:t>
      </w:r>
    </w:p>
    <w:p w14:paraId="50E1CB65" w14:textId="77777777" w:rsidR="00B253C4" w:rsidRPr="00C76534" w:rsidRDefault="00B253C4" w:rsidP="00C76534">
      <w:pPr>
        <w:rPr>
          <w:b/>
          <w:bCs/>
        </w:rPr>
      </w:pPr>
    </w:p>
    <w:p w14:paraId="1D5C1843" w14:textId="662C1AB4" w:rsidR="000A0D87" w:rsidRDefault="00BA2FD3" w:rsidP="00752348">
      <w:pPr>
        <w:pStyle w:val="ListParagraph"/>
        <w:numPr>
          <w:ilvl w:val="0"/>
          <w:numId w:val="6"/>
        </w:numPr>
        <w:outlineLvl w:val="1"/>
        <w:rPr>
          <w:b/>
          <w:bCs/>
        </w:rPr>
      </w:pPr>
      <w:r w:rsidRPr="007F6691">
        <w:rPr>
          <w:b/>
          <w:bCs/>
        </w:rPr>
        <w:t>Prohibited Conduct</w:t>
      </w:r>
    </w:p>
    <w:p w14:paraId="5671529F" w14:textId="77777777" w:rsidR="002B42A1" w:rsidRPr="002B42A1" w:rsidRDefault="002B42A1" w:rsidP="002B42A1">
      <w:pPr>
        <w:pStyle w:val="ListParagraph"/>
        <w:numPr>
          <w:ilvl w:val="1"/>
          <w:numId w:val="6"/>
        </w:numPr>
        <w:ind w:hanging="720"/>
        <w:rPr>
          <w:b/>
          <w:bCs/>
        </w:rPr>
      </w:pPr>
      <w:r>
        <w:t>The following actions are expressly prohibited under this policy:</w:t>
      </w:r>
    </w:p>
    <w:p w14:paraId="6B77752E" w14:textId="00041738" w:rsidR="002B42A1" w:rsidRPr="00B61A24" w:rsidRDefault="002B42A1" w:rsidP="002B42A1">
      <w:pPr>
        <w:pStyle w:val="ListParagraph"/>
        <w:numPr>
          <w:ilvl w:val="2"/>
          <w:numId w:val="6"/>
        </w:numPr>
        <w:rPr>
          <w:b/>
          <w:bCs/>
        </w:rPr>
      </w:pPr>
      <w:r>
        <w:t>Door-to-door campaigning or entry into residential living spaces</w:t>
      </w:r>
      <w:r w:rsidR="00B61A24">
        <w:t>.</w:t>
      </w:r>
    </w:p>
    <w:p w14:paraId="6909F29A" w14:textId="77777777" w:rsidR="00B61A24" w:rsidRPr="00B61A24" w:rsidRDefault="00B61A24" w:rsidP="00B61A24">
      <w:pPr>
        <w:pStyle w:val="ListParagraph"/>
        <w:ind w:left="2880"/>
        <w:rPr>
          <w:b/>
          <w:bCs/>
        </w:rPr>
      </w:pPr>
    </w:p>
    <w:p w14:paraId="432BE294" w14:textId="72757F60" w:rsidR="00B61A24" w:rsidRPr="00B61A24" w:rsidRDefault="00B61A24" w:rsidP="002B42A1">
      <w:pPr>
        <w:pStyle w:val="ListParagraph"/>
        <w:numPr>
          <w:ilvl w:val="2"/>
          <w:numId w:val="6"/>
        </w:numPr>
        <w:rPr>
          <w:b/>
          <w:bCs/>
        </w:rPr>
      </w:pPr>
      <w:r>
        <w:t>Placement of campaign literature on or under residents’ doors.</w:t>
      </w:r>
    </w:p>
    <w:p w14:paraId="11885CA6" w14:textId="77777777" w:rsidR="00B61A24" w:rsidRPr="00B61A24" w:rsidRDefault="00B61A24" w:rsidP="00B61A24">
      <w:pPr>
        <w:rPr>
          <w:b/>
          <w:bCs/>
        </w:rPr>
      </w:pPr>
    </w:p>
    <w:p w14:paraId="292AD92E" w14:textId="2A5DFEC8" w:rsidR="00B61A24" w:rsidRPr="00B61A24" w:rsidRDefault="00B61A24" w:rsidP="00B61A24">
      <w:pPr>
        <w:pStyle w:val="ListParagraph"/>
        <w:numPr>
          <w:ilvl w:val="2"/>
          <w:numId w:val="6"/>
        </w:numPr>
        <w:rPr>
          <w:b/>
          <w:bCs/>
        </w:rPr>
      </w:pPr>
      <w:r>
        <w:t xml:space="preserve">Use of </w:t>
      </w:r>
      <w:r w:rsidR="003B5343">
        <w:t xml:space="preserve">sound-amplifying equipment </w:t>
      </w:r>
      <w:r>
        <w:t>(e.g., microphones, megaphones) during campaign activities.</w:t>
      </w:r>
    </w:p>
    <w:p w14:paraId="2F6B3751" w14:textId="77777777" w:rsidR="00B61A24" w:rsidRPr="00B61A24" w:rsidRDefault="00B61A24" w:rsidP="00B61A24">
      <w:pPr>
        <w:pStyle w:val="ListParagraph"/>
        <w:ind w:left="2880"/>
        <w:rPr>
          <w:b/>
          <w:bCs/>
        </w:rPr>
      </w:pPr>
    </w:p>
    <w:p w14:paraId="7259CB83" w14:textId="219C65AC" w:rsidR="00B61A24" w:rsidRPr="00FC7719" w:rsidRDefault="00B61A24" w:rsidP="00B61A24">
      <w:pPr>
        <w:pStyle w:val="ListParagraph"/>
        <w:numPr>
          <w:ilvl w:val="2"/>
          <w:numId w:val="6"/>
        </w:numPr>
        <w:rPr>
          <w:b/>
          <w:bCs/>
        </w:rPr>
      </w:pPr>
      <w:r>
        <w:t>Obstruction of ingress/egress or interference with normal housing operations.</w:t>
      </w:r>
    </w:p>
    <w:p w14:paraId="34307E54" w14:textId="77777777" w:rsidR="00FC7719" w:rsidRPr="00FC7719" w:rsidRDefault="00FC7719" w:rsidP="00FC7719">
      <w:pPr>
        <w:pStyle w:val="ListParagraph"/>
        <w:rPr>
          <w:b/>
          <w:bCs/>
        </w:rPr>
      </w:pPr>
    </w:p>
    <w:p w14:paraId="457853B7" w14:textId="2B45332D" w:rsidR="00FC7719" w:rsidRPr="00B61A24" w:rsidRDefault="00FC7719" w:rsidP="00B61A24">
      <w:pPr>
        <w:pStyle w:val="ListParagraph"/>
        <w:numPr>
          <w:ilvl w:val="2"/>
          <w:numId w:val="6"/>
        </w:numPr>
        <w:rPr>
          <w:b/>
          <w:bCs/>
        </w:rPr>
      </w:pPr>
      <w:r>
        <w:t xml:space="preserve">Campaigning activities may not interfere with, obstruct, or otherwise impede the operation of front desk services within residence hall lobbies.  Campaign participants must ensure that </w:t>
      </w:r>
      <w:r>
        <w:lastRenderedPageBreak/>
        <w:t>tabling distribution of materials or interactions with residents do not disrupt desk staff duties or hinder access to desk services.</w:t>
      </w:r>
    </w:p>
    <w:p w14:paraId="0AF0A833" w14:textId="77777777" w:rsidR="00B61A24" w:rsidRPr="00B61A24" w:rsidRDefault="00B61A24" w:rsidP="00B61A24">
      <w:pPr>
        <w:rPr>
          <w:b/>
          <w:bCs/>
        </w:rPr>
      </w:pPr>
    </w:p>
    <w:p w14:paraId="648C24E1" w14:textId="1274CA90" w:rsidR="00B61A24" w:rsidRPr="00B61A24" w:rsidRDefault="00B61A24" w:rsidP="00B61A24">
      <w:pPr>
        <w:pStyle w:val="ListParagraph"/>
        <w:numPr>
          <w:ilvl w:val="2"/>
          <w:numId w:val="6"/>
        </w:numPr>
        <w:rPr>
          <w:b/>
          <w:bCs/>
        </w:rPr>
      </w:pPr>
      <w:r>
        <w:t>Posting</w:t>
      </w:r>
      <w:r w:rsidR="00F82EBA">
        <w:t xml:space="preserve"> and distribution of</w:t>
      </w:r>
      <w:r>
        <w:t xml:space="preserve"> campaign materials outside of </w:t>
      </w:r>
      <w:r w:rsidR="00F82EBA">
        <w:t>tabling</w:t>
      </w:r>
      <w:r w:rsidR="00802793">
        <w:t xml:space="preserve"> areas,</w:t>
      </w:r>
      <w:r>
        <w:t xml:space="preserve"> except as allowed by the Office of Residence Life posting policies.</w:t>
      </w:r>
    </w:p>
    <w:p w14:paraId="3F0C1931" w14:textId="77777777" w:rsidR="00B61A24" w:rsidRPr="00B61A24" w:rsidRDefault="00B61A24" w:rsidP="00B61A24">
      <w:pPr>
        <w:rPr>
          <w:b/>
          <w:bCs/>
        </w:rPr>
      </w:pPr>
    </w:p>
    <w:p w14:paraId="11134A34" w14:textId="4E9D8DE7" w:rsidR="00BA2FD3" w:rsidRDefault="00BA2FD3" w:rsidP="00B703CA">
      <w:pPr>
        <w:pStyle w:val="ListParagraph"/>
        <w:numPr>
          <w:ilvl w:val="0"/>
          <w:numId w:val="6"/>
        </w:numPr>
        <w:outlineLvl w:val="1"/>
        <w:rPr>
          <w:b/>
          <w:bCs/>
        </w:rPr>
      </w:pPr>
      <w:r w:rsidRPr="007F6691">
        <w:rPr>
          <w:b/>
          <w:bCs/>
        </w:rPr>
        <w:t>Enforcement</w:t>
      </w:r>
    </w:p>
    <w:p w14:paraId="16E5D8B0" w14:textId="3102EE53" w:rsidR="00B61A24" w:rsidRPr="00B61A24" w:rsidRDefault="00B61A24" w:rsidP="003634D5">
      <w:pPr>
        <w:pStyle w:val="ListParagraph"/>
        <w:numPr>
          <w:ilvl w:val="1"/>
          <w:numId w:val="6"/>
        </w:numPr>
        <w:ind w:hanging="720"/>
        <w:rPr>
          <w:b/>
          <w:bCs/>
        </w:rPr>
      </w:pPr>
      <w:r>
        <w:t>Violations of this policy may result in:</w:t>
      </w:r>
    </w:p>
    <w:p w14:paraId="0E0131BC" w14:textId="77777777" w:rsidR="008507B3" w:rsidRPr="008507B3" w:rsidRDefault="008507B3" w:rsidP="00B61A24">
      <w:pPr>
        <w:pStyle w:val="ListParagraph"/>
        <w:numPr>
          <w:ilvl w:val="2"/>
          <w:numId w:val="6"/>
        </w:numPr>
        <w:rPr>
          <w:b/>
          <w:bCs/>
        </w:rPr>
      </w:pPr>
      <w:r>
        <w:t>For all individuals and organizations</w:t>
      </w:r>
    </w:p>
    <w:p w14:paraId="6A04D2E9" w14:textId="479A8586" w:rsidR="00B61A24" w:rsidRPr="00981293" w:rsidRDefault="00B61A24" w:rsidP="008507B3">
      <w:pPr>
        <w:pStyle w:val="ListParagraph"/>
        <w:numPr>
          <w:ilvl w:val="3"/>
          <w:numId w:val="6"/>
        </w:numPr>
        <w:rPr>
          <w:b/>
          <w:bCs/>
        </w:rPr>
      </w:pPr>
      <w:r>
        <w:t>Immediate termination of the campaign activity.</w:t>
      </w:r>
    </w:p>
    <w:p w14:paraId="783FA9BB" w14:textId="77777777" w:rsidR="00981293" w:rsidRPr="00B61A24" w:rsidRDefault="00981293" w:rsidP="00981293">
      <w:pPr>
        <w:pStyle w:val="ListParagraph"/>
        <w:ind w:left="2880"/>
        <w:rPr>
          <w:b/>
          <w:bCs/>
        </w:rPr>
      </w:pPr>
    </w:p>
    <w:p w14:paraId="5D7455B7" w14:textId="7594459B" w:rsidR="00B61A24" w:rsidRPr="00981293" w:rsidRDefault="00B61A24" w:rsidP="008507B3">
      <w:pPr>
        <w:pStyle w:val="ListParagraph"/>
        <w:numPr>
          <w:ilvl w:val="3"/>
          <w:numId w:val="6"/>
        </w:numPr>
        <w:rPr>
          <w:b/>
          <w:bCs/>
        </w:rPr>
      </w:pPr>
      <w:r>
        <w:t>Revocation of future access to residence halls for campaign purposes.</w:t>
      </w:r>
    </w:p>
    <w:p w14:paraId="33A1432F" w14:textId="77777777" w:rsidR="00981293" w:rsidRPr="00B61A24" w:rsidRDefault="00981293" w:rsidP="00981293">
      <w:pPr>
        <w:pStyle w:val="ListParagraph"/>
        <w:ind w:left="2880"/>
        <w:rPr>
          <w:b/>
          <w:bCs/>
        </w:rPr>
      </w:pPr>
    </w:p>
    <w:p w14:paraId="445490FC" w14:textId="4EC1D90C" w:rsidR="00146760" w:rsidRPr="00146760" w:rsidRDefault="008507B3" w:rsidP="00B61A24">
      <w:pPr>
        <w:pStyle w:val="ListParagraph"/>
        <w:numPr>
          <w:ilvl w:val="2"/>
          <w:numId w:val="6"/>
        </w:numPr>
        <w:rPr>
          <w:b/>
          <w:bCs/>
        </w:rPr>
      </w:pPr>
      <w:r>
        <w:t>For UWL Students</w:t>
      </w:r>
      <w:r w:rsidR="00146760">
        <w:t xml:space="preserve"> (for their own conduct or the conduct of non-resident individuals for whom they are responsible):</w:t>
      </w:r>
    </w:p>
    <w:p w14:paraId="16F6A3BE" w14:textId="2D30CDD1" w:rsidR="00B61A24" w:rsidRPr="00680C7A" w:rsidRDefault="00B61A24" w:rsidP="00146760">
      <w:pPr>
        <w:pStyle w:val="ListParagraph"/>
        <w:numPr>
          <w:ilvl w:val="3"/>
          <w:numId w:val="6"/>
        </w:numPr>
        <w:rPr>
          <w:b/>
          <w:bCs/>
        </w:rPr>
      </w:pPr>
      <w:r>
        <w:t xml:space="preserve">Referral to the Student Life Office for </w:t>
      </w:r>
      <w:r w:rsidR="00981293">
        <w:t>student conduct proceedings under UWS Chapter 17.</w:t>
      </w:r>
    </w:p>
    <w:p w14:paraId="06CDEC1F" w14:textId="77777777" w:rsidR="00680C7A" w:rsidRPr="00505786" w:rsidRDefault="00680C7A" w:rsidP="00680C7A">
      <w:pPr>
        <w:pStyle w:val="ListParagraph"/>
        <w:ind w:left="4320"/>
        <w:rPr>
          <w:b/>
          <w:bCs/>
        </w:rPr>
      </w:pPr>
    </w:p>
    <w:p w14:paraId="668B7743" w14:textId="2759D119" w:rsidR="00505786" w:rsidRPr="00680C7A" w:rsidRDefault="00505786" w:rsidP="00146760">
      <w:pPr>
        <w:pStyle w:val="ListParagraph"/>
        <w:numPr>
          <w:ilvl w:val="3"/>
          <w:numId w:val="6"/>
        </w:numPr>
        <w:rPr>
          <w:b/>
          <w:bCs/>
        </w:rPr>
      </w:pPr>
      <w:r>
        <w:t xml:space="preserve">As appropriate, action under UWL Residence Life Rules and </w:t>
      </w:r>
      <w:r w:rsidR="00680C7A">
        <w:t>UWL Residence Life contract provisions.</w:t>
      </w:r>
    </w:p>
    <w:p w14:paraId="4B2E3DA6" w14:textId="77777777" w:rsidR="00680C7A" w:rsidRPr="00680C7A" w:rsidRDefault="00680C7A" w:rsidP="00680C7A">
      <w:pPr>
        <w:pStyle w:val="ListParagraph"/>
        <w:rPr>
          <w:b/>
          <w:bCs/>
        </w:rPr>
      </w:pPr>
    </w:p>
    <w:p w14:paraId="041D4D69" w14:textId="2AAB00E1" w:rsidR="000A41B8" w:rsidRDefault="00680C7A" w:rsidP="000A41B8">
      <w:pPr>
        <w:pStyle w:val="ListParagraph"/>
        <w:numPr>
          <w:ilvl w:val="2"/>
          <w:numId w:val="6"/>
        </w:numPr>
      </w:pPr>
      <w:r w:rsidRPr="000A41B8">
        <w:t>For non-UWL</w:t>
      </w:r>
      <w:r w:rsidR="00EA7FD5">
        <w:t>-</w:t>
      </w:r>
      <w:r w:rsidR="000A41B8" w:rsidRPr="000A41B8">
        <w:t>affiliated individuals</w:t>
      </w:r>
      <w:r w:rsidR="000A41B8">
        <w:t>:</w:t>
      </w:r>
    </w:p>
    <w:p w14:paraId="0EBA421D" w14:textId="77777777" w:rsidR="00EA7FD5" w:rsidRDefault="000A41B8" w:rsidP="000A41B8">
      <w:pPr>
        <w:pStyle w:val="ListParagraph"/>
        <w:numPr>
          <w:ilvl w:val="3"/>
          <w:numId w:val="6"/>
        </w:numPr>
      </w:pPr>
      <w:r>
        <w:t xml:space="preserve">Removal from the residence halls and/or campus under UWS </w:t>
      </w:r>
      <w:r w:rsidR="00981293">
        <w:t>Chapter 18</w:t>
      </w:r>
      <w:r w:rsidR="00EA7FD5">
        <w:t>.11(6) and (7).</w:t>
      </w:r>
    </w:p>
    <w:p w14:paraId="4FEF6BAE" w14:textId="77777777" w:rsidR="00EA7FD5" w:rsidRDefault="00EA7FD5" w:rsidP="00EA7FD5">
      <w:pPr>
        <w:pStyle w:val="ListParagraph"/>
        <w:ind w:left="4320"/>
      </w:pPr>
    </w:p>
    <w:p w14:paraId="1D966696" w14:textId="6885DBF3" w:rsidR="00981293" w:rsidRPr="000A41B8" w:rsidRDefault="00EA7FD5" w:rsidP="000A41B8">
      <w:pPr>
        <w:pStyle w:val="ListParagraph"/>
        <w:numPr>
          <w:ilvl w:val="3"/>
          <w:numId w:val="6"/>
        </w:numPr>
      </w:pPr>
      <w:r>
        <w:t xml:space="preserve">As appropriate, civil forfeitures under UWS </w:t>
      </w:r>
      <w:r w:rsidR="000C4B81">
        <w:t xml:space="preserve">Chapter </w:t>
      </w:r>
      <w:r>
        <w:t>18.13</w:t>
      </w:r>
      <w:r w:rsidR="00981293">
        <w:t>.</w:t>
      </w:r>
    </w:p>
    <w:p w14:paraId="5FA5F89D" w14:textId="77777777" w:rsidR="00981293" w:rsidRPr="00B61A24" w:rsidRDefault="00981293" w:rsidP="00981293">
      <w:pPr>
        <w:pStyle w:val="ListParagraph"/>
        <w:ind w:left="2880"/>
        <w:rPr>
          <w:b/>
          <w:bCs/>
        </w:rPr>
      </w:pPr>
    </w:p>
    <w:p w14:paraId="43F31EC1" w14:textId="6E6F195F" w:rsidR="00BA2FD3" w:rsidRDefault="00BA2FD3" w:rsidP="00B703CA">
      <w:pPr>
        <w:pStyle w:val="ListParagraph"/>
        <w:numPr>
          <w:ilvl w:val="0"/>
          <w:numId w:val="6"/>
        </w:numPr>
        <w:outlineLvl w:val="1"/>
        <w:rPr>
          <w:b/>
          <w:bCs/>
        </w:rPr>
      </w:pPr>
      <w:r w:rsidRPr="007F6691">
        <w:rPr>
          <w:b/>
          <w:bCs/>
        </w:rPr>
        <w:t>Exceptions</w:t>
      </w:r>
    </w:p>
    <w:p w14:paraId="559FD4EC" w14:textId="5F249E63" w:rsidR="00DF53A7" w:rsidRPr="008C3C7C" w:rsidRDefault="00DF53A7" w:rsidP="003634D5">
      <w:pPr>
        <w:pStyle w:val="ListParagraph"/>
        <w:numPr>
          <w:ilvl w:val="1"/>
          <w:numId w:val="6"/>
        </w:numPr>
        <w:ind w:hanging="720"/>
        <w:rPr>
          <w:b/>
          <w:bCs/>
        </w:rPr>
      </w:pPr>
      <w:r w:rsidRPr="008C3C7C">
        <w:t>Notwithstanding the above provisions, residents of a residence hall, as well as their invitees, may communicate in their residence halls about</w:t>
      </w:r>
      <w:r w:rsidR="00F053EE" w:rsidRPr="008C3C7C">
        <w:t xml:space="preserve"> political matters with as much freedom as residents and their invitees, respectively, are permitted to communicate generally under applicable</w:t>
      </w:r>
      <w:r w:rsidR="005F2623" w:rsidRPr="008C3C7C">
        <w:t xml:space="preserve"> Office of Residence Life policies.  Relatedly, all residents and invitees must abide by any </w:t>
      </w:r>
      <w:r w:rsidR="00543C34" w:rsidRPr="008C3C7C">
        <w:t>Office o</w:t>
      </w:r>
      <w:r w:rsidR="00C958AB">
        <w:t>f</w:t>
      </w:r>
      <w:r w:rsidR="00543C34" w:rsidRPr="008C3C7C">
        <w:t xml:space="preserve"> Residence Life rules, allowing other residents to opt out of disturbances to their dwelling unit.</w:t>
      </w:r>
    </w:p>
    <w:p w14:paraId="6E77309A" w14:textId="77777777" w:rsidR="00FE2278" w:rsidRPr="008C3C7C" w:rsidRDefault="00FE2278" w:rsidP="00FE2278">
      <w:pPr>
        <w:pStyle w:val="ListParagraph"/>
        <w:ind w:left="1440"/>
        <w:rPr>
          <w:b/>
          <w:bCs/>
        </w:rPr>
      </w:pPr>
    </w:p>
    <w:p w14:paraId="4FF0FB4E" w14:textId="206CE3F0" w:rsidR="00543C34" w:rsidRPr="008C3C7C" w:rsidRDefault="00543C34" w:rsidP="003634D5">
      <w:pPr>
        <w:pStyle w:val="ListParagraph"/>
        <w:numPr>
          <w:ilvl w:val="1"/>
          <w:numId w:val="6"/>
        </w:numPr>
        <w:ind w:hanging="720"/>
        <w:rPr>
          <w:b/>
          <w:bCs/>
        </w:rPr>
      </w:pPr>
      <w:r w:rsidRPr="008C3C7C">
        <w:t>Nothing in this policy shall be interpreted to violate any student’s rights under the First Amendment to the U.S. Constitution.</w:t>
      </w:r>
    </w:p>
    <w:p w14:paraId="741524D0" w14:textId="77777777" w:rsidR="003634D5" w:rsidRPr="003634D5" w:rsidRDefault="003634D5" w:rsidP="003634D5">
      <w:pPr>
        <w:pStyle w:val="ListParagraph"/>
        <w:ind w:left="1440"/>
        <w:rPr>
          <w:b/>
          <w:bCs/>
        </w:rPr>
      </w:pPr>
    </w:p>
    <w:p w14:paraId="0DC5AE44" w14:textId="765B3F93" w:rsidR="003634D5" w:rsidRPr="006A3BB3" w:rsidRDefault="003634D5" w:rsidP="003634D5">
      <w:pPr>
        <w:pStyle w:val="ListParagraph"/>
        <w:numPr>
          <w:ilvl w:val="1"/>
          <w:numId w:val="6"/>
        </w:numPr>
        <w:ind w:hanging="720"/>
        <w:rPr>
          <w:b/>
          <w:bCs/>
        </w:rPr>
      </w:pPr>
      <w:r>
        <w:t>If a residence hall serves as a polling location, state election laws governing campaigning in or near polling places shall supersede this policy during the election period.</w:t>
      </w:r>
    </w:p>
    <w:p w14:paraId="76B10F7F" w14:textId="77777777" w:rsidR="006A3BB3" w:rsidRPr="006A3BB3" w:rsidRDefault="006A3BB3" w:rsidP="006A3BB3">
      <w:pPr>
        <w:rPr>
          <w:b/>
          <w:bCs/>
        </w:rPr>
      </w:pPr>
    </w:p>
    <w:p w14:paraId="7E5CC562" w14:textId="77777777" w:rsidR="00034B29" w:rsidRDefault="00BA2FD3" w:rsidP="00997E6F">
      <w:pPr>
        <w:pStyle w:val="ListParagraph"/>
        <w:numPr>
          <w:ilvl w:val="0"/>
          <w:numId w:val="6"/>
        </w:numPr>
        <w:outlineLvl w:val="1"/>
        <w:rPr>
          <w:b/>
          <w:bCs/>
        </w:rPr>
      </w:pPr>
      <w:r w:rsidRPr="007F6691">
        <w:rPr>
          <w:b/>
          <w:bCs/>
        </w:rPr>
        <w:t>Related Policies and Legal References</w:t>
      </w:r>
    </w:p>
    <w:p w14:paraId="7E3ADFA9" w14:textId="03171DF2" w:rsidR="00034B29" w:rsidRPr="00034B29" w:rsidRDefault="00034B29" w:rsidP="00034B29">
      <w:pPr>
        <w:pStyle w:val="ListParagraph"/>
        <w:ind w:left="360"/>
        <w:rPr>
          <w:b/>
          <w:bCs/>
        </w:rPr>
      </w:pPr>
      <w:hyperlink r:id="rId13" w:history="1">
        <w:r w:rsidRPr="002C2F95">
          <w:rPr>
            <w:rStyle w:val="Hyperlink"/>
          </w:rPr>
          <w:t>UWL Expressive Activities on Campus Policy</w:t>
        </w:r>
      </w:hyperlink>
    </w:p>
    <w:p w14:paraId="4A83048F" w14:textId="3C89A731" w:rsidR="00034B29" w:rsidRPr="00034B29" w:rsidRDefault="00034B29" w:rsidP="00034B29">
      <w:pPr>
        <w:pStyle w:val="ListParagraph"/>
        <w:ind w:left="360"/>
        <w:rPr>
          <w:b/>
          <w:bCs/>
        </w:rPr>
      </w:pPr>
      <w:hyperlink r:id="rId14" w:history="1">
        <w:r w:rsidRPr="005E576C">
          <w:rPr>
            <w:rStyle w:val="Hyperlink"/>
          </w:rPr>
          <w:t>UWL Space Reservation Policy</w:t>
        </w:r>
      </w:hyperlink>
    </w:p>
    <w:p w14:paraId="7124D4C9" w14:textId="31C98A4A" w:rsidR="00034B29" w:rsidRPr="00034B29" w:rsidRDefault="00034B29" w:rsidP="00034B29">
      <w:pPr>
        <w:pStyle w:val="ListParagraph"/>
        <w:ind w:left="360"/>
        <w:rPr>
          <w:b/>
          <w:bCs/>
        </w:rPr>
      </w:pPr>
      <w:hyperlink r:id="rId15" w:anchor="tm-168345" w:history="1">
        <w:r w:rsidRPr="0038384F">
          <w:rPr>
            <w:rStyle w:val="Hyperlink"/>
          </w:rPr>
          <w:t>UWL Posting Policy</w:t>
        </w:r>
      </w:hyperlink>
    </w:p>
    <w:p w14:paraId="37810F12" w14:textId="34C65F67" w:rsidR="00034B29" w:rsidRPr="00034B29" w:rsidRDefault="00034B29" w:rsidP="00034B29">
      <w:pPr>
        <w:pStyle w:val="ListParagraph"/>
        <w:ind w:left="360"/>
        <w:rPr>
          <w:b/>
          <w:bCs/>
        </w:rPr>
      </w:pPr>
      <w:hyperlink r:id="rId16" w:history="1">
        <w:r w:rsidRPr="005B22D8">
          <w:rPr>
            <w:rStyle w:val="Hyperlink"/>
          </w:rPr>
          <w:t>Wis. Admin. Code § UWS 18.11(9)</w:t>
        </w:r>
      </w:hyperlink>
    </w:p>
    <w:p w14:paraId="19660755" w14:textId="4C3FB9B1" w:rsidR="00034B29" w:rsidRPr="00034B29" w:rsidRDefault="00034B29" w:rsidP="00034B29">
      <w:pPr>
        <w:pStyle w:val="ListParagraph"/>
        <w:ind w:left="360"/>
        <w:rPr>
          <w:b/>
          <w:bCs/>
        </w:rPr>
      </w:pPr>
      <w:hyperlink r:id="rId17" w:history="1">
        <w:r w:rsidRPr="00243EF8">
          <w:rPr>
            <w:rStyle w:val="Hyperlink"/>
          </w:rPr>
          <w:t>UWS Chapter 17 – Student Nonacademic Misconduct</w:t>
        </w:r>
      </w:hyperlink>
    </w:p>
    <w:p w14:paraId="2509AF4A" w14:textId="0B05E5F9" w:rsidR="00034B29" w:rsidRPr="00034B29" w:rsidRDefault="00034B29" w:rsidP="00034B29">
      <w:pPr>
        <w:pStyle w:val="ListParagraph"/>
        <w:ind w:left="360"/>
        <w:rPr>
          <w:b/>
          <w:bCs/>
        </w:rPr>
      </w:pPr>
      <w:hyperlink r:id="rId18" w:history="1">
        <w:r w:rsidRPr="00243EF8">
          <w:rPr>
            <w:rStyle w:val="Hyperlink"/>
          </w:rPr>
          <w:t>UWS Chapter 18 – Conduct on University Lands</w:t>
        </w:r>
      </w:hyperlink>
    </w:p>
    <w:p w14:paraId="7096A9A3" w14:textId="77777777" w:rsidR="003634D5" w:rsidRPr="007F6691" w:rsidRDefault="003634D5" w:rsidP="003634D5">
      <w:pPr>
        <w:pStyle w:val="ListParagraph"/>
        <w:ind w:left="360"/>
        <w:rPr>
          <w:b/>
          <w:bCs/>
        </w:rPr>
      </w:pPr>
    </w:p>
    <w:p w14:paraId="587BB4CE" w14:textId="77777777" w:rsidR="00467F5A" w:rsidRDefault="00BA2FD3" w:rsidP="00997E6F">
      <w:pPr>
        <w:pStyle w:val="ListParagraph"/>
        <w:numPr>
          <w:ilvl w:val="0"/>
          <w:numId w:val="6"/>
        </w:numPr>
        <w:outlineLvl w:val="1"/>
        <w:rPr>
          <w:b/>
          <w:bCs/>
        </w:rPr>
      </w:pPr>
      <w:r w:rsidRPr="007F6691">
        <w:rPr>
          <w:b/>
          <w:bCs/>
        </w:rPr>
        <w:t>Review and Revision</w:t>
      </w:r>
    </w:p>
    <w:p w14:paraId="6D279358" w14:textId="77777777" w:rsidR="00C810C5" w:rsidRPr="00C810C5" w:rsidRDefault="00034B29" w:rsidP="00C810C5">
      <w:pPr>
        <w:pStyle w:val="ListParagraph"/>
        <w:numPr>
          <w:ilvl w:val="1"/>
          <w:numId w:val="6"/>
        </w:numPr>
        <w:ind w:hanging="720"/>
        <w:rPr>
          <w:b/>
          <w:bCs/>
        </w:rPr>
      </w:pPr>
      <w:r>
        <w:t>This policy will be reviewed at least once every three years by the Office of Residence Life in consultation with the Student Life Office</w:t>
      </w:r>
      <w:r w:rsidR="007E0E53">
        <w:t>, University Police, and Shared Governance representatives.</w:t>
      </w:r>
    </w:p>
    <w:p w14:paraId="6B81D07F" w14:textId="77777777" w:rsidR="00C810C5" w:rsidRPr="00C810C5" w:rsidRDefault="00C810C5" w:rsidP="00C810C5">
      <w:pPr>
        <w:pStyle w:val="ListParagraph"/>
        <w:ind w:left="1440"/>
        <w:rPr>
          <w:b/>
          <w:bCs/>
        </w:rPr>
      </w:pPr>
    </w:p>
    <w:p w14:paraId="17A8EC4E" w14:textId="77777777" w:rsidR="00C810C5" w:rsidRPr="00C810C5" w:rsidRDefault="00C810C5" w:rsidP="00C810C5">
      <w:pPr>
        <w:pStyle w:val="ListParagraph"/>
        <w:numPr>
          <w:ilvl w:val="1"/>
          <w:numId w:val="6"/>
        </w:numPr>
        <w:ind w:hanging="720"/>
        <w:rPr>
          <w:b/>
          <w:bCs/>
        </w:rPr>
      </w:pPr>
      <w:r w:rsidRPr="00C810C5">
        <w:t>Following review and consultation with applicable Shared Governance bodies, this policy shall be submitted to the Chancellor and Chancellor’s Cabinet for formal adoption. No provisions of this policy shall take effect until such adoption occurs. Upon adoption, the policy shall be transmitted to the Secretary of the Board of Regents for filing in accordance with UWS 18.14 and all other applicable University and Board of Regents procedures.</w:t>
      </w:r>
    </w:p>
    <w:p w14:paraId="467E2415" w14:textId="77777777" w:rsidR="00C810C5" w:rsidRDefault="00C810C5" w:rsidP="00C810C5">
      <w:pPr>
        <w:pStyle w:val="ListParagraph"/>
      </w:pPr>
    </w:p>
    <w:p w14:paraId="75FF1379" w14:textId="4635C3E4" w:rsidR="00C810C5" w:rsidRPr="00A22F63" w:rsidRDefault="00C810C5" w:rsidP="00C810C5">
      <w:pPr>
        <w:pStyle w:val="ListParagraph"/>
        <w:numPr>
          <w:ilvl w:val="1"/>
          <w:numId w:val="6"/>
        </w:numPr>
        <w:ind w:hanging="720"/>
        <w:rPr>
          <w:b/>
          <w:bCs/>
        </w:rPr>
      </w:pPr>
      <w:r w:rsidRPr="00C810C5">
        <w:t>This policy shall become effective on the date it is filed with the Secretary of the Board of Regents, unless a later effective date is specified in the filing. Once effective, the policy shall have the full force and effect of institutional regulation under UWS 18.14.</w:t>
      </w:r>
    </w:p>
    <w:p w14:paraId="0DFB5683" w14:textId="77777777" w:rsidR="00A22F63" w:rsidRPr="00A22F63" w:rsidRDefault="00A22F63" w:rsidP="00A22F63">
      <w:pPr>
        <w:pStyle w:val="ListParagraph"/>
        <w:rPr>
          <w:b/>
          <w:bCs/>
        </w:rPr>
      </w:pPr>
    </w:p>
    <w:p w14:paraId="38D99379" w14:textId="2E70DF8C" w:rsidR="00A22F63" w:rsidRDefault="00B80FC3" w:rsidP="00997E6F">
      <w:pPr>
        <w:pStyle w:val="ListParagraph"/>
        <w:numPr>
          <w:ilvl w:val="0"/>
          <w:numId w:val="6"/>
        </w:numPr>
        <w:outlineLvl w:val="1"/>
        <w:rPr>
          <w:b/>
          <w:bCs/>
        </w:rPr>
      </w:pPr>
      <w:r>
        <w:rPr>
          <w:b/>
          <w:bCs/>
        </w:rPr>
        <w:t>Policy History</w:t>
      </w:r>
    </w:p>
    <w:tbl>
      <w:tblPr>
        <w:tblStyle w:val="TableGrid1"/>
        <w:tblW w:w="9085" w:type="dxa"/>
        <w:tblInd w:w="360" w:type="dxa"/>
        <w:tblLayout w:type="fixed"/>
        <w:tblLook w:val="04A0" w:firstRow="1" w:lastRow="0" w:firstColumn="1" w:lastColumn="0" w:noHBand="0" w:noVBand="1"/>
      </w:tblPr>
      <w:tblGrid>
        <w:gridCol w:w="1075"/>
        <w:gridCol w:w="2160"/>
        <w:gridCol w:w="1986"/>
        <w:gridCol w:w="3864"/>
      </w:tblGrid>
      <w:tr w:rsidR="00AA4D49" w:rsidRPr="00BD7C66" w14:paraId="676802D2" w14:textId="77777777" w:rsidTr="00D31EFC">
        <w:tc>
          <w:tcPr>
            <w:tcW w:w="1075" w:type="dxa"/>
            <w:shd w:val="clear" w:color="auto" w:fill="D1D1D1"/>
          </w:tcPr>
          <w:p w14:paraId="2CCC7CDA" w14:textId="77777777" w:rsidR="00AA4D49" w:rsidRPr="00FE5EBF" w:rsidRDefault="00AA4D49" w:rsidP="00D31EFC">
            <w:pPr>
              <w:contextualSpacing/>
              <w:jc w:val="center"/>
              <w:rPr>
                <w:rFonts w:ascii="Open Sans" w:eastAsia="Aptos" w:hAnsi="Open Sans" w:cs="Open Sans"/>
                <w:b/>
                <w:bCs/>
                <w:sz w:val="22"/>
                <w:szCs w:val="22"/>
              </w:rPr>
            </w:pPr>
            <w:r w:rsidRPr="00FE5EBF">
              <w:rPr>
                <w:rFonts w:ascii="Open Sans" w:eastAsia="Aptos" w:hAnsi="Open Sans" w:cs="Open Sans"/>
                <w:b/>
                <w:bCs/>
                <w:sz w:val="22"/>
                <w:szCs w:val="22"/>
              </w:rPr>
              <w:t>Version</w:t>
            </w:r>
          </w:p>
        </w:tc>
        <w:tc>
          <w:tcPr>
            <w:tcW w:w="2160" w:type="dxa"/>
            <w:shd w:val="clear" w:color="auto" w:fill="D1D1D1"/>
          </w:tcPr>
          <w:p w14:paraId="3BDE772F" w14:textId="77777777" w:rsidR="00AA4D49" w:rsidRPr="00FE5EBF" w:rsidRDefault="00AA4D49" w:rsidP="00D31EFC">
            <w:pPr>
              <w:contextualSpacing/>
              <w:jc w:val="center"/>
              <w:rPr>
                <w:rFonts w:ascii="Open Sans" w:eastAsia="Aptos" w:hAnsi="Open Sans" w:cs="Open Sans"/>
                <w:b/>
                <w:bCs/>
                <w:sz w:val="22"/>
                <w:szCs w:val="22"/>
              </w:rPr>
            </w:pPr>
            <w:r w:rsidRPr="00FE5EBF">
              <w:rPr>
                <w:rFonts w:ascii="Open Sans" w:eastAsia="Aptos" w:hAnsi="Open Sans" w:cs="Open Sans"/>
                <w:b/>
                <w:bCs/>
                <w:sz w:val="22"/>
                <w:szCs w:val="22"/>
              </w:rPr>
              <w:t>Date</w:t>
            </w:r>
          </w:p>
        </w:tc>
        <w:tc>
          <w:tcPr>
            <w:tcW w:w="1986" w:type="dxa"/>
            <w:shd w:val="clear" w:color="auto" w:fill="D1D1D1"/>
          </w:tcPr>
          <w:p w14:paraId="608F248F" w14:textId="77777777" w:rsidR="00AA4D49" w:rsidRPr="00FE5EBF" w:rsidRDefault="00AA4D49" w:rsidP="00D31EFC">
            <w:pPr>
              <w:contextualSpacing/>
              <w:jc w:val="center"/>
              <w:rPr>
                <w:rFonts w:ascii="Open Sans" w:eastAsia="Aptos" w:hAnsi="Open Sans" w:cs="Open Sans"/>
                <w:b/>
                <w:bCs/>
                <w:sz w:val="22"/>
                <w:szCs w:val="22"/>
              </w:rPr>
            </w:pPr>
            <w:r w:rsidRPr="00FE5EBF">
              <w:rPr>
                <w:rFonts w:ascii="Open Sans" w:eastAsia="Aptos" w:hAnsi="Open Sans" w:cs="Open Sans"/>
                <w:b/>
                <w:bCs/>
                <w:sz w:val="22"/>
                <w:szCs w:val="22"/>
              </w:rPr>
              <w:t>Action</w:t>
            </w:r>
          </w:p>
        </w:tc>
        <w:tc>
          <w:tcPr>
            <w:tcW w:w="3864" w:type="dxa"/>
            <w:shd w:val="clear" w:color="auto" w:fill="D1D1D1"/>
          </w:tcPr>
          <w:p w14:paraId="6E7A5DA9" w14:textId="77777777" w:rsidR="00AA4D49" w:rsidRPr="00FE5EBF" w:rsidRDefault="00AA4D49" w:rsidP="00D31EFC">
            <w:pPr>
              <w:contextualSpacing/>
              <w:jc w:val="center"/>
              <w:rPr>
                <w:rFonts w:ascii="Open Sans" w:eastAsia="Aptos" w:hAnsi="Open Sans" w:cs="Open Sans"/>
                <w:b/>
                <w:bCs/>
                <w:sz w:val="22"/>
                <w:szCs w:val="22"/>
              </w:rPr>
            </w:pPr>
            <w:r w:rsidRPr="00FE5EBF">
              <w:rPr>
                <w:rFonts w:ascii="Open Sans" w:eastAsia="Aptos" w:hAnsi="Open Sans" w:cs="Open Sans"/>
                <w:b/>
                <w:bCs/>
                <w:sz w:val="22"/>
                <w:szCs w:val="22"/>
              </w:rPr>
              <w:t>Notes</w:t>
            </w:r>
          </w:p>
        </w:tc>
      </w:tr>
      <w:tr w:rsidR="00AA4D49" w:rsidRPr="00FE5EBF" w14:paraId="13F3BA35" w14:textId="77777777" w:rsidTr="00D31EFC">
        <w:tc>
          <w:tcPr>
            <w:tcW w:w="1075" w:type="dxa"/>
          </w:tcPr>
          <w:p w14:paraId="1C4117D2"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1.0</w:t>
            </w:r>
          </w:p>
        </w:tc>
        <w:tc>
          <w:tcPr>
            <w:tcW w:w="2160" w:type="dxa"/>
          </w:tcPr>
          <w:p w14:paraId="083B8B7D"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October 6, 2025</w:t>
            </w:r>
          </w:p>
        </w:tc>
        <w:tc>
          <w:tcPr>
            <w:tcW w:w="1986" w:type="dxa"/>
          </w:tcPr>
          <w:p w14:paraId="6F62F6BA"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Policy Creation</w:t>
            </w:r>
          </w:p>
        </w:tc>
        <w:tc>
          <w:tcPr>
            <w:tcW w:w="3864" w:type="dxa"/>
          </w:tcPr>
          <w:p w14:paraId="42A01FE0"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Initial draft created by Student Life Office and Office of Residence Life</w:t>
            </w:r>
          </w:p>
        </w:tc>
      </w:tr>
      <w:tr w:rsidR="00AA4D49" w:rsidRPr="00FE5EBF" w14:paraId="6A3072F3" w14:textId="77777777" w:rsidTr="00D31EFC">
        <w:tc>
          <w:tcPr>
            <w:tcW w:w="1075" w:type="dxa"/>
          </w:tcPr>
          <w:p w14:paraId="083B30F7"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1.1</w:t>
            </w:r>
          </w:p>
        </w:tc>
        <w:tc>
          <w:tcPr>
            <w:tcW w:w="2160" w:type="dxa"/>
          </w:tcPr>
          <w:p w14:paraId="61D21F90"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October 16, 2025</w:t>
            </w:r>
          </w:p>
        </w:tc>
        <w:tc>
          <w:tcPr>
            <w:tcW w:w="1986" w:type="dxa"/>
          </w:tcPr>
          <w:p w14:paraId="5511BB1E"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Review with OGC</w:t>
            </w:r>
          </w:p>
        </w:tc>
        <w:tc>
          <w:tcPr>
            <w:tcW w:w="3864" w:type="dxa"/>
          </w:tcPr>
          <w:p w14:paraId="244445A4"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Policy review with OGC</w:t>
            </w:r>
          </w:p>
        </w:tc>
      </w:tr>
      <w:tr w:rsidR="00AA4D49" w:rsidRPr="00FE5EBF" w14:paraId="1BB39561" w14:textId="77777777" w:rsidTr="00D31EFC">
        <w:tc>
          <w:tcPr>
            <w:tcW w:w="1075" w:type="dxa"/>
          </w:tcPr>
          <w:p w14:paraId="5FB6D454"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1.2</w:t>
            </w:r>
          </w:p>
        </w:tc>
        <w:tc>
          <w:tcPr>
            <w:tcW w:w="2160" w:type="dxa"/>
          </w:tcPr>
          <w:p w14:paraId="03FC849E"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December 4, 2025</w:t>
            </w:r>
          </w:p>
        </w:tc>
        <w:tc>
          <w:tcPr>
            <w:tcW w:w="1986" w:type="dxa"/>
          </w:tcPr>
          <w:p w14:paraId="09785CAC"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Shared Governance Review</w:t>
            </w:r>
          </w:p>
        </w:tc>
        <w:tc>
          <w:tcPr>
            <w:tcW w:w="3864" w:type="dxa"/>
          </w:tcPr>
          <w:p w14:paraId="6987D998"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 xml:space="preserve">Policy reviewed by Student Association, Academic Staff Council, University Staff Council, and Faculty Senate </w:t>
            </w:r>
          </w:p>
        </w:tc>
      </w:tr>
      <w:tr w:rsidR="00AA4D49" w:rsidRPr="00FE5EBF" w14:paraId="115E9ACA" w14:textId="77777777" w:rsidTr="00D31EFC">
        <w:tc>
          <w:tcPr>
            <w:tcW w:w="1075" w:type="dxa"/>
          </w:tcPr>
          <w:p w14:paraId="53767910"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1.</w:t>
            </w:r>
            <w:r>
              <w:rPr>
                <w:rFonts w:ascii="Open Sans" w:eastAsia="Aptos" w:hAnsi="Open Sans" w:cs="Open Sans"/>
                <w:sz w:val="22"/>
                <w:szCs w:val="22"/>
              </w:rPr>
              <w:t>3</w:t>
            </w:r>
          </w:p>
        </w:tc>
        <w:tc>
          <w:tcPr>
            <w:tcW w:w="2160" w:type="dxa"/>
          </w:tcPr>
          <w:p w14:paraId="030F37F4" w14:textId="77777777" w:rsidR="00AA4D49" w:rsidRPr="00FE5EBF" w:rsidRDefault="00AA4D49" w:rsidP="00D31EFC">
            <w:pPr>
              <w:contextualSpacing/>
              <w:rPr>
                <w:rFonts w:ascii="Open Sans" w:eastAsia="Aptos" w:hAnsi="Open Sans" w:cs="Open Sans"/>
                <w:sz w:val="22"/>
                <w:szCs w:val="22"/>
              </w:rPr>
            </w:pPr>
            <w:r>
              <w:rPr>
                <w:rFonts w:ascii="Open Sans" w:eastAsia="Aptos" w:hAnsi="Open Sans" w:cs="Open Sans"/>
                <w:sz w:val="22"/>
                <w:szCs w:val="22"/>
              </w:rPr>
              <w:t>January 27, 2026</w:t>
            </w:r>
          </w:p>
        </w:tc>
        <w:tc>
          <w:tcPr>
            <w:tcW w:w="1986" w:type="dxa"/>
          </w:tcPr>
          <w:p w14:paraId="79E236A5"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Chancellor’s Cabinet Review</w:t>
            </w:r>
          </w:p>
        </w:tc>
        <w:tc>
          <w:tcPr>
            <w:tcW w:w="3864" w:type="dxa"/>
          </w:tcPr>
          <w:p w14:paraId="7657622F"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Reviewed by the Chancellor’s Cabinet</w:t>
            </w:r>
          </w:p>
        </w:tc>
      </w:tr>
      <w:tr w:rsidR="00AA4D49" w:rsidRPr="00FE5EBF" w14:paraId="2F4B0977" w14:textId="77777777" w:rsidTr="00D31EFC">
        <w:tc>
          <w:tcPr>
            <w:tcW w:w="1075" w:type="dxa"/>
          </w:tcPr>
          <w:p w14:paraId="7564F8A4"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lastRenderedPageBreak/>
              <w:t>1.</w:t>
            </w:r>
            <w:r>
              <w:rPr>
                <w:rFonts w:ascii="Open Sans" w:eastAsia="Aptos" w:hAnsi="Open Sans" w:cs="Open Sans"/>
                <w:sz w:val="22"/>
                <w:szCs w:val="22"/>
              </w:rPr>
              <w:t>4</w:t>
            </w:r>
          </w:p>
        </w:tc>
        <w:tc>
          <w:tcPr>
            <w:tcW w:w="2160" w:type="dxa"/>
          </w:tcPr>
          <w:p w14:paraId="3DA3B3CC" w14:textId="77777777" w:rsidR="00AA4D49" w:rsidRPr="00FE5EBF" w:rsidRDefault="00AA4D49" w:rsidP="00D31EFC">
            <w:pPr>
              <w:contextualSpacing/>
              <w:rPr>
                <w:rFonts w:ascii="Open Sans" w:eastAsia="Aptos" w:hAnsi="Open Sans" w:cs="Open Sans"/>
                <w:sz w:val="22"/>
                <w:szCs w:val="22"/>
              </w:rPr>
            </w:pPr>
            <w:r>
              <w:rPr>
                <w:rFonts w:ascii="Open Sans" w:eastAsia="Aptos" w:hAnsi="Open Sans" w:cs="Open Sans"/>
                <w:sz w:val="22"/>
                <w:szCs w:val="22"/>
              </w:rPr>
              <w:t>February 5, 2026</w:t>
            </w:r>
          </w:p>
        </w:tc>
        <w:tc>
          <w:tcPr>
            <w:tcW w:w="1986" w:type="dxa"/>
          </w:tcPr>
          <w:p w14:paraId="4C357B7D"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Filing</w:t>
            </w:r>
          </w:p>
        </w:tc>
        <w:tc>
          <w:tcPr>
            <w:tcW w:w="3864" w:type="dxa"/>
          </w:tcPr>
          <w:p w14:paraId="3ACF5735"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Filed with the Secretary of the Board of Regents in accordance with UWS 18.14.</w:t>
            </w:r>
          </w:p>
          <w:p w14:paraId="3F515C34"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Policy became effective upon filing.</w:t>
            </w:r>
          </w:p>
        </w:tc>
      </w:tr>
      <w:tr w:rsidR="00AA4D49" w:rsidRPr="00FE5EBF" w14:paraId="317E6C34" w14:textId="77777777" w:rsidTr="00D31EFC">
        <w:tc>
          <w:tcPr>
            <w:tcW w:w="1075" w:type="dxa"/>
          </w:tcPr>
          <w:p w14:paraId="6CB6D426"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1.</w:t>
            </w:r>
            <w:r>
              <w:rPr>
                <w:rFonts w:ascii="Open Sans" w:eastAsia="Aptos" w:hAnsi="Open Sans" w:cs="Open Sans"/>
                <w:sz w:val="22"/>
                <w:szCs w:val="22"/>
              </w:rPr>
              <w:t>5</w:t>
            </w:r>
          </w:p>
        </w:tc>
        <w:tc>
          <w:tcPr>
            <w:tcW w:w="2160" w:type="dxa"/>
          </w:tcPr>
          <w:p w14:paraId="3CF59F4E" w14:textId="77777777" w:rsidR="00AA4D49" w:rsidRPr="00FE5EBF" w:rsidRDefault="00AA4D49" w:rsidP="00D31EFC">
            <w:pPr>
              <w:contextualSpacing/>
              <w:rPr>
                <w:rFonts w:ascii="Open Sans" w:eastAsia="Aptos" w:hAnsi="Open Sans" w:cs="Open Sans"/>
                <w:sz w:val="22"/>
                <w:szCs w:val="22"/>
              </w:rPr>
            </w:pPr>
            <w:r>
              <w:rPr>
                <w:rFonts w:ascii="Open Sans" w:eastAsia="Aptos" w:hAnsi="Open Sans" w:cs="Open Sans"/>
                <w:sz w:val="22"/>
                <w:szCs w:val="22"/>
              </w:rPr>
              <w:t>February 10, 2026</w:t>
            </w:r>
          </w:p>
        </w:tc>
        <w:tc>
          <w:tcPr>
            <w:tcW w:w="1986" w:type="dxa"/>
          </w:tcPr>
          <w:p w14:paraId="35ED4396"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Adoption</w:t>
            </w:r>
          </w:p>
        </w:tc>
        <w:tc>
          <w:tcPr>
            <w:tcW w:w="3864" w:type="dxa"/>
          </w:tcPr>
          <w:p w14:paraId="6A469992"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Approved by the Chancellor and adopted as institutional regulation</w:t>
            </w:r>
          </w:p>
        </w:tc>
      </w:tr>
      <w:tr w:rsidR="00AA4D49" w:rsidRPr="00BD7C66" w14:paraId="44E1EEF1" w14:textId="77777777" w:rsidTr="00D31EFC">
        <w:tc>
          <w:tcPr>
            <w:tcW w:w="1075" w:type="dxa"/>
            <w:shd w:val="clear" w:color="auto" w:fill="D1D1D1"/>
          </w:tcPr>
          <w:p w14:paraId="5A09CB86"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2.0</w:t>
            </w:r>
          </w:p>
        </w:tc>
        <w:tc>
          <w:tcPr>
            <w:tcW w:w="2160" w:type="dxa"/>
            <w:shd w:val="clear" w:color="auto" w:fill="D1D1D1"/>
          </w:tcPr>
          <w:p w14:paraId="44D1BC34" w14:textId="77777777" w:rsidR="00AA4D49" w:rsidRPr="00FE5EBF" w:rsidRDefault="00AA4D49" w:rsidP="00D31EFC">
            <w:pPr>
              <w:contextualSpacing/>
              <w:rPr>
                <w:rFonts w:ascii="Open Sans" w:eastAsia="Aptos" w:hAnsi="Open Sans" w:cs="Open Sans"/>
                <w:sz w:val="22"/>
                <w:szCs w:val="22"/>
              </w:rPr>
            </w:pPr>
          </w:p>
        </w:tc>
        <w:tc>
          <w:tcPr>
            <w:tcW w:w="1986" w:type="dxa"/>
            <w:shd w:val="clear" w:color="auto" w:fill="D1D1D1"/>
          </w:tcPr>
          <w:p w14:paraId="3D2DFFA4"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Policy Review</w:t>
            </w:r>
          </w:p>
        </w:tc>
        <w:tc>
          <w:tcPr>
            <w:tcW w:w="3864" w:type="dxa"/>
            <w:shd w:val="clear" w:color="auto" w:fill="D1D1D1"/>
          </w:tcPr>
          <w:p w14:paraId="28B50DDF" w14:textId="77777777" w:rsidR="00AA4D49" w:rsidRPr="00FE5EBF" w:rsidRDefault="00AA4D49" w:rsidP="00D31EFC">
            <w:pPr>
              <w:contextualSpacing/>
              <w:rPr>
                <w:rFonts w:ascii="Open Sans" w:eastAsia="Aptos" w:hAnsi="Open Sans" w:cs="Open Sans"/>
                <w:sz w:val="22"/>
                <w:szCs w:val="22"/>
              </w:rPr>
            </w:pPr>
            <w:r w:rsidRPr="00FE5EBF">
              <w:rPr>
                <w:rFonts w:ascii="Open Sans" w:eastAsia="Aptos" w:hAnsi="Open Sans" w:cs="Open Sans"/>
                <w:sz w:val="22"/>
                <w:szCs w:val="22"/>
              </w:rPr>
              <w:t>Review of policy for possible revision.</w:t>
            </w:r>
          </w:p>
        </w:tc>
      </w:tr>
    </w:tbl>
    <w:p w14:paraId="6ECB4027" w14:textId="77777777" w:rsidR="00C104BE" w:rsidRPr="0052434C" w:rsidRDefault="00C104BE" w:rsidP="002B1EA0">
      <w:pPr>
        <w:rPr>
          <w:b/>
          <w:bCs/>
        </w:rPr>
      </w:pPr>
    </w:p>
    <w:sectPr w:rsidR="00C104BE" w:rsidRPr="0052434C">
      <w:headerReference w:type="even" r:id="rId19"/>
      <w:headerReference w:type="default" r:id="rId20"/>
      <w:footerReference w:type="even"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F17A" w14:textId="77777777" w:rsidR="002D7395" w:rsidRDefault="002D7395" w:rsidP="0018470B">
      <w:r>
        <w:separator/>
      </w:r>
    </w:p>
  </w:endnote>
  <w:endnote w:type="continuationSeparator" w:id="0">
    <w:p w14:paraId="5D5D2E5A" w14:textId="77777777" w:rsidR="002D7395" w:rsidRDefault="002D7395" w:rsidP="0018470B">
      <w:r>
        <w:continuationSeparator/>
      </w:r>
    </w:p>
  </w:endnote>
  <w:endnote w:type="continuationNotice" w:id="1">
    <w:p w14:paraId="4761F7C5" w14:textId="77777777" w:rsidR="002D7395" w:rsidRDefault="002D7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4347780"/>
      <w:docPartObj>
        <w:docPartGallery w:val="Page Numbers (Bottom of Page)"/>
        <w:docPartUnique/>
      </w:docPartObj>
    </w:sdtPr>
    <w:sdtContent>
      <w:p w14:paraId="55890BEE" w14:textId="38EC5F73" w:rsidR="009D3615" w:rsidRDefault="009D3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094700121"/>
      <w:docPartObj>
        <w:docPartGallery w:val="Page Numbers (Bottom of Page)"/>
        <w:docPartUnique/>
      </w:docPartObj>
    </w:sdtPr>
    <w:sdtContent>
      <w:p w14:paraId="131A5A4C" w14:textId="1FD8E89E" w:rsidR="009D3615" w:rsidRDefault="009D3615" w:rsidP="009D3615">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84155C" w14:textId="77777777" w:rsidR="002C346D" w:rsidRDefault="002C346D" w:rsidP="009D361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064756705"/>
      <w:docPartObj>
        <w:docPartGallery w:val="Page Numbers (Bottom of Page)"/>
        <w:docPartUnique/>
      </w:docPartObj>
    </w:sdtPr>
    <w:sdtContent>
      <w:p w14:paraId="729FA0AF" w14:textId="31102050" w:rsidR="009D3615" w:rsidRPr="009D3615" w:rsidRDefault="009D3615" w:rsidP="009D3615">
        <w:pPr>
          <w:pStyle w:val="Footer"/>
          <w:framePr w:wrap="none" w:vAnchor="text" w:hAnchor="margin" w:xAlign="right" w:y="1"/>
          <w:rPr>
            <w:rStyle w:val="PageNumber"/>
            <w:sz w:val="20"/>
            <w:szCs w:val="20"/>
          </w:rPr>
        </w:pPr>
        <w:r w:rsidRPr="009D3615">
          <w:rPr>
            <w:rStyle w:val="PageNumber"/>
            <w:sz w:val="20"/>
            <w:szCs w:val="20"/>
          </w:rPr>
          <w:fldChar w:fldCharType="begin"/>
        </w:r>
        <w:r w:rsidRPr="009D3615">
          <w:rPr>
            <w:rStyle w:val="PageNumber"/>
            <w:sz w:val="20"/>
            <w:szCs w:val="20"/>
          </w:rPr>
          <w:instrText xml:space="preserve"> PAGE </w:instrText>
        </w:r>
        <w:r w:rsidRPr="009D3615">
          <w:rPr>
            <w:rStyle w:val="PageNumber"/>
            <w:sz w:val="20"/>
            <w:szCs w:val="20"/>
          </w:rPr>
          <w:fldChar w:fldCharType="separate"/>
        </w:r>
        <w:r w:rsidRPr="009D3615">
          <w:rPr>
            <w:rStyle w:val="PageNumber"/>
            <w:noProof/>
            <w:sz w:val="20"/>
            <w:szCs w:val="20"/>
          </w:rPr>
          <w:t>1</w:t>
        </w:r>
        <w:r w:rsidRPr="009D3615">
          <w:rPr>
            <w:rStyle w:val="PageNumber"/>
            <w:sz w:val="20"/>
            <w:szCs w:val="20"/>
          </w:rPr>
          <w:fldChar w:fldCharType="end"/>
        </w:r>
      </w:p>
    </w:sdtContent>
  </w:sdt>
  <w:p w14:paraId="4CC6C907" w14:textId="77777777" w:rsidR="002C346D" w:rsidRDefault="002C346D" w:rsidP="009D3615">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AEA9" w14:textId="77777777" w:rsidR="002D7395" w:rsidRDefault="002D7395" w:rsidP="0018470B">
      <w:r>
        <w:separator/>
      </w:r>
    </w:p>
  </w:footnote>
  <w:footnote w:type="continuationSeparator" w:id="0">
    <w:p w14:paraId="71E16636" w14:textId="77777777" w:rsidR="002D7395" w:rsidRDefault="002D7395" w:rsidP="0018470B">
      <w:r>
        <w:continuationSeparator/>
      </w:r>
    </w:p>
  </w:footnote>
  <w:footnote w:type="continuationNotice" w:id="1">
    <w:p w14:paraId="7B95C85A" w14:textId="77777777" w:rsidR="002D7395" w:rsidRDefault="002D7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5507" w14:textId="2D0E8BE9" w:rsidR="002B0BCF" w:rsidRDefault="00D94F46">
    <w:pPr>
      <w:pStyle w:val="Header"/>
    </w:pPr>
    <w:r>
      <w:rPr>
        <w:noProof/>
      </w:rPr>
      <mc:AlternateContent>
        <mc:Choice Requires="wps">
          <w:drawing>
            <wp:anchor distT="0" distB="0" distL="114300" distR="114300" simplePos="0" relativeHeight="251658241" behindDoc="1" locked="0" layoutInCell="0" allowOverlap="1" wp14:anchorId="15AB2300" wp14:editId="5531E68B">
              <wp:simplePos x="0" y="0"/>
              <wp:positionH relativeFrom="margin">
                <wp:align>center</wp:align>
              </wp:positionH>
              <wp:positionV relativeFrom="margin">
                <wp:align>center</wp:align>
              </wp:positionV>
              <wp:extent cx="5827395" cy="2549525"/>
              <wp:effectExtent l="0" t="0" r="0" b="0"/>
              <wp:wrapNone/>
              <wp:docPr id="218306518" name="WordAr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6F1922" w14:textId="77777777" w:rsidR="00D94F46" w:rsidRDefault="00D94F46" w:rsidP="00D94F46">
                          <w:pPr>
                            <w:jc w:val="center"/>
                            <w:rPr>
                              <w:rFonts w:ascii="Calibri" w:hAnsi="Calibri" w:cs="Calibri"/>
                              <w:color w:val="BFBFBF" w:themeColor="background1" w:themeShade="BF"/>
                              <w:kern w:val="0"/>
                              <w:sz w:val="16"/>
                              <w:szCs w:val="16"/>
                              <w14:ligatures w14:val="none"/>
                            </w:rPr>
                          </w:pPr>
                          <w:r>
                            <w:rPr>
                              <w:rFonts w:ascii="Calibri" w:hAnsi="Calibri" w:cs="Calibri"/>
                              <w:color w:val="BFBFBF" w:themeColor="background1" w:themeShade="B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AB2300" id="_x0000_t202" coordsize="21600,21600" o:spt="202" path="m,l,21600r21600,l21600,xe">
              <v:stroke joinstyle="miter"/>
              <v:path gradientshapeok="t" o:connecttype="rect"/>
            </v:shapetype>
            <v:shape id="WordArt 3" o:spid="_x0000_s1026"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" o:allowincell="f" filled="f" stroked="f">
              <v:stroke joinstyle="round"/>
              <o:lock v:ext="edit" aspectratio="t" verticies="t" shapetype="t"/>
              <v:textbox>
                <w:txbxContent>
                  <w:p w14:paraId="7E6F1922" w14:textId="77777777" w:rsidR="00D94F46" w:rsidRDefault="00D94F46" w:rsidP="00D94F46">
                    <w:pPr>
                      <w:jc w:val="center"/>
                      <w:rPr>
                        <w:rFonts w:ascii="Calibri" w:hAnsi="Calibri" w:cs="Calibri"/>
                        <w:color w:val="BFBFBF" w:themeColor="background1" w:themeShade="BF"/>
                        <w:kern w:val="0"/>
                        <w:sz w:val="16"/>
                        <w:szCs w:val="16"/>
                        <w14:ligatures w14:val="none"/>
                      </w:rPr>
                    </w:pPr>
                    <w:r>
                      <w:rPr>
                        <w:rFonts w:ascii="Calibri" w:hAnsi="Calibri" w:cs="Calibri"/>
                        <w:color w:val="BFBFBF" w:themeColor="background1" w:themeShade="BF"/>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311E" w14:textId="642385F6" w:rsidR="0018470B" w:rsidRPr="00EC609F" w:rsidRDefault="0018470B" w:rsidP="0018470B">
    <w:pPr>
      <w:pStyle w:val="Header"/>
      <w:ind w:right="360"/>
      <w:rPr>
        <w:sz w:val="20"/>
        <w:szCs w:val="20"/>
      </w:rPr>
    </w:pPr>
    <w:r w:rsidRPr="00EC609F">
      <w:rPr>
        <w:sz w:val="20"/>
        <w:szCs w:val="20"/>
      </w:rPr>
      <w:t>University of Wisconsin-La Crosse</w:t>
    </w:r>
  </w:p>
  <w:p w14:paraId="48640717" w14:textId="0368C0F2" w:rsidR="0018470B" w:rsidRDefault="00ED4D1C" w:rsidP="0018470B">
    <w:pPr>
      <w:pStyle w:val="Header"/>
      <w:pBdr>
        <w:bottom w:val="single" w:sz="12" w:space="1" w:color="auto"/>
      </w:pBdr>
      <w:tabs>
        <w:tab w:val="clear" w:pos="4680"/>
        <w:tab w:val="clear" w:pos="9360"/>
        <w:tab w:val="left" w:pos="8640"/>
      </w:tabs>
      <w:rPr>
        <w:sz w:val="20"/>
        <w:szCs w:val="20"/>
      </w:rPr>
    </w:pPr>
    <w:r>
      <w:rPr>
        <w:sz w:val="20"/>
        <w:szCs w:val="20"/>
      </w:rPr>
      <w:t>Campaigning in the Residence Halls</w:t>
    </w:r>
    <w:r w:rsidR="0018470B">
      <w:rPr>
        <w:sz w:val="20"/>
        <w:szCs w:val="20"/>
      </w:rPr>
      <w:t xml:space="preserve"> Policy</w:t>
    </w:r>
  </w:p>
  <w:p w14:paraId="1FE85DA9" w14:textId="725C3AD8" w:rsidR="00C52142" w:rsidRPr="00B84EEB" w:rsidRDefault="00C52142" w:rsidP="0018470B">
    <w:pPr>
      <w:pStyle w:val="Header"/>
      <w:pBdr>
        <w:bottom w:val="single" w:sz="12" w:space="1" w:color="auto"/>
      </w:pBdr>
      <w:tabs>
        <w:tab w:val="clear" w:pos="4680"/>
        <w:tab w:val="clear" w:pos="9360"/>
        <w:tab w:val="left" w:pos="8640"/>
      </w:tabs>
      <w:rPr>
        <w:sz w:val="20"/>
        <w:szCs w:val="20"/>
      </w:rPr>
    </w:pPr>
    <w:r>
      <w:rPr>
        <w:sz w:val="20"/>
        <w:szCs w:val="20"/>
      </w:rPr>
      <w:t>Policy Number</w:t>
    </w:r>
    <w:r w:rsidR="00D94F46">
      <w:rPr>
        <w:sz w:val="20"/>
        <w:szCs w:val="20"/>
      </w:rPr>
      <w:t xml:space="preserve"> </w:t>
    </w:r>
    <w:r w:rsidR="002C15E9">
      <w:rPr>
        <w:sz w:val="20"/>
        <w:szCs w:val="20"/>
      </w:rPr>
      <w:t>202603</w:t>
    </w:r>
    <w:r w:rsidR="00F77D36">
      <w:rPr>
        <w:sz w:val="20"/>
        <w:szCs w:val="20"/>
      </w:rPr>
      <w:t>10</w:t>
    </w:r>
  </w:p>
  <w:p w14:paraId="15ABDEEB" w14:textId="77777777" w:rsidR="0018470B" w:rsidRDefault="00184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8BFA" w14:textId="1C76D904" w:rsidR="002B0BCF" w:rsidRDefault="00D94F46">
    <w:pPr>
      <w:pStyle w:val="Header"/>
    </w:pPr>
    <w:r>
      <w:rPr>
        <w:noProof/>
      </w:rPr>
      <mc:AlternateContent>
        <mc:Choice Requires="wps">
          <w:drawing>
            <wp:anchor distT="0" distB="0" distL="114300" distR="114300" simplePos="0" relativeHeight="251658240" behindDoc="1" locked="0" layoutInCell="0" allowOverlap="1" wp14:anchorId="4F33F343" wp14:editId="766638E3">
              <wp:simplePos x="0" y="0"/>
              <wp:positionH relativeFrom="margin">
                <wp:align>center</wp:align>
              </wp:positionH>
              <wp:positionV relativeFrom="margin">
                <wp:align>center</wp:align>
              </wp:positionV>
              <wp:extent cx="5827395" cy="2549525"/>
              <wp:effectExtent l="0" t="0" r="0" b="0"/>
              <wp:wrapNone/>
              <wp:docPr id="820689926" name="PowerPlusWaterMarkObject86725086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DA44C" w14:textId="77777777" w:rsidR="00D94F46" w:rsidRDefault="00D94F46" w:rsidP="00D94F46">
                          <w:pPr>
                            <w:jc w:val="center"/>
                            <w:rPr>
                              <w:rFonts w:ascii="Calibri" w:hAnsi="Calibri" w:cs="Calibri"/>
                              <w:color w:val="BFBFBF" w:themeColor="background1" w:themeShade="BF"/>
                              <w:kern w:val="0"/>
                              <w:sz w:val="72"/>
                              <w:szCs w:val="72"/>
                              <w14:ligatures w14:val="none"/>
                            </w:rPr>
                          </w:pPr>
                          <w:r>
                            <w:rPr>
                              <w:rFonts w:ascii="Calibri" w:hAnsi="Calibri" w:cs="Calibri"/>
                              <w:color w:val="BFBFBF" w:themeColor="background1" w:themeShade="BF"/>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F33F343" id="_x0000_t202" coordsize="21600,21600" o:spt="202" path="m,l,21600r21600,l21600,xe">
              <v:stroke joinstyle="miter"/>
              <v:path gradientshapeok="t" o:connecttype="rect"/>
            </v:shapetype>
            <v:shape id="PowerPlusWaterMarkObject867250869" o:spid="_x0000_s1027"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" o:allowincell="f" filled="f" stroked="f">
              <v:stroke joinstyle="round"/>
              <o:lock v:ext="edit" rotation="t" aspectratio="t" verticies="t" adjusthandles="t" grouping="t" shapetype="t"/>
              <v:textbox>
                <w:txbxContent>
                  <w:p w14:paraId="1CBDA44C" w14:textId="77777777" w:rsidR="00D94F46" w:rsidRDefault="00D94F46" w:rsidP="00D94F46">
                    <w:pPr>
                      <w:jc w:val="center"/>
                      <w:rPr>
                        <w:rFonts w:ascii="Calibri" w:hAnsi="Calibri" w:cs="Calibri"/>
                        <w:color w:val="BFBFBF" w:themeColor="background1" w:themeShade="BF"/>
                        <w:kern w:val="0"/>
                        <w:sz w:val="72"/>
                        <w:szCs w:val="72"/>
                        <w14:ligatures w14:val="none"/>
                      </w:rPr>
                    </w:pPr>
                    <w:r>
                      <w:rPr>
                        <w:rFonts w:ascii="Calibri" w:hAnsi="Calibri" w:cs="Calibri"/>
                        <w:color w:val="BFBFBF" w:themeColor="background1" w:themeShade="BF"/>
                        <w:sz w:val="72"/>
                        <w:szCs w:val="7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20A9"/>
    <w:multiLevelType w:val="multilevel"/>
    <w:tmpl w:val="575A772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06E3293"/>
    <w:multiLevelType w:val="multilevel"/>
    <w:tmpl w:val="D26C10B4"/>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1800" w:hanging="720"/>
      </w:pPr>
      <w:rPr>
        <w:rFonts w:ascii="Calibri" w:hAnsi="Calibri" w:cs="Calibri" w:hint="default"/>
      </w:rPr>
    </w:lvl>
    <w:lvl w:ilvl="2">
      <w:start w:val="1"/>
      <w:numFmt w:val="decimal"/>
      <w:lvlText w:val="%1.%2.%3."/>
      <w:lvlJc w:val="left"/>
      <w:pPr>
        <w:ind w:left="2880" w:hanging="720"/>
      </w:pPr>
      <w:rPr>
        <w:rFonts w:ascii="Calibri" w:hAnsi="Calibri" w:cs="Calibri" w:hint="default"/>
      </w:rPr>
    </w:lvl>
    <w:lvl w:ilvl="3">
      <w:start w:val="1"/>
      <w:numFmt w:val="decimal"/>
      <w:lvlText w:val="%1.%2.%3.%4."/>
      <w:lvlJc w:val="left"/>
      <w:pPr>
        <w:ind w:left="4320" w:hanging="1080"/>
      </w:pPr>
      <w:rPr>
        <w:rFonts w:ascii="Calibri" w:hAnsi="Calibri" w:cs="Calibri" w:hint="default"/>
      </w:rPr>
    </w:lvl>
    <w:lvl w:ilvl="4">
      <w:start w:val="1"/>
      <w:numFmt w:val="decimal"/>
      <w:lvlText w:val="%1.%2.%3.%4.%5."/>
      <w:lvlJc w:val="left"/>
      <w:pPr>
        <w:ind w:left="5400" w:hanging="1080"/>
      </w:pPr>
      <w:rPr>
        <w:rFonts w:ascii="Calibri" w:hAnsi="Calibri" w:cs="Calibri" w:hint="default"/>
      </w:rPr>
    </w:lvl>
    <w:lvl w:ilvl="5">
      <w:start w:val="1"/>
      <w:numFmt w:val="decimal"/>
      <w:lvlText w:val="%1.%2.%3.%4.%5.%6."/>
      <w:lvlJc w:val="left"/>
      <w:pPr>
        <w:ind w:left="6840" w:hanging="1440"/>
      </w:pPr>
      <w:rPr>
        <w:rFonts w:ascii="Calibri" w:hAnsi="Calibri" w:cs="Calibri" w:hint="default"/>
      </w:rPr>
    </w:lvl>
    <w:lvl w:ilvl="6">
      <w:start w:val="1"/>
      <w:numFmt w:val="decimal"/>
      <w:lvlText w:val="%1.%2.%3.%4.%5.%6.%7."/>
      <w:lvlJc w:val="left"/>
      <w:pPr>
        <w:ind w:left="7920" w:hanging="1440"/>
      </w:pPr>
      <w:rPr>
        <w:rFonts w:ascii="Calibri" w:hAnsi="Calibri" w:cs="Calibri" w:hint="default"/>
      </w:rPr>
    </w:lvl>
    <w:lvl w:ilvl="7">
      <w:start w:val="1"/>
      <w:numFmt w:val="decimal"/>
      <w:lvlText w:val="%1.%2.%3.%4.%5.%6.%7.%8."/>
      <w:lvlJc w:val="left"/>
      <w:pPr>
        <w:ind w:left="9360" w:hanging="1800"/>
      </w:pPr>
      <w:rPr>
        <w:rFonts w:ascii="Calibri" w:hAnsi="Calibri" w:cs="Calibri" w:hint="default"/>
      </w:rPr>
    </w:lvl>
    <w:lvl w:ilvl="8">
      <w:start w:val="1"/>
      <w:numFmt w:val="decimal"/>
      <w:lvlText w:val="%1.%2.%3.%4.%5.%6.%7.%8.%9."/>
      <w:lvlJc w:val="left"/>
      <w:pPr>
        <w:ind w:left="10440" w:hanging="1800"/>
      </w:pPr>
      <w:rPr>
        <w:rFonts w:ascii="Calibri" w:hAnsi="Calibri" w:cs="Calibri" w:hint="default"/>
      </w:rPr>
    </w:lvl>
  </w:abstractNum>
  <w:abstractNum w:abstractNumId="2" w15:restartNumberingAfterBreak="0">
    <w:nsid w:val="3FED2811"/>
    <w:multiLevelType w:val="multilevel"/>
    <w:tmpl w:val="896EC66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8742A6F"/>
    <w:multiLevelType w:val="multilevel"/>
    <w:tmpl w:val="5CF249F4"/>
    <w:lvl w:ilvl="0">
      <w:start w:val="4"/>
      <w:numFmt w:val="decimal"/>
      <w:lvlText w:val="%1"/>
      <w:lvlJc w:val="left"/>
      <w:pPr>
        <w:ind w:left="360" w:hanging="360"/>
      </w:pPr>
      <w:rPr>
        <w:rFonts w:ascii="Calibri" w:hAnsi="Calibri" w:cs="Calibri" w:hint="default"/>
      </w:rPr>
    </w:lvl>
    <w:lvl w:ilvl="1">
      <w:start w:val="1"/>
      <w:numFmt w:val="decimal"/>
      <w:lvlText w:val="%1.%2"/>
      <w:lvlJc w:val="left"/>
      <w:pPr>
        <w:ind w:left="1440" w:hanging="360"/>
      </w:pPr>
      <w:rPr>
        <w:rFonts w:ascii="Calibri" w:hAnsi="Calibri" w:cs="Calibri" w:hint="default"/>
      </w:rPr>
    </w:lvl>
    <w:lvl w:ilvl="2">
      <w:start w:val="1"/>
      <w:numFmt w:val="decimal"/>
      <w:lvlText w:val="%1.%2.%3"/>
      <w:lvlJc w:val="left"/>
      <w:pPr>
        <w:ind w:left="2880" w:hanging="720"/>
      </w:pPr>
      <w:rPr>
        <w:rFonts w:ascii="Calibri" w:hAnsi="Calibri" w:cs="Calibri" w:hint="default"/>
      </w:rPr>
    </w:lvl>
    <w:lvl w:ilvl="3">
      <w:start w:val="1"/>
      <w:numFmt w:val="decimal"/>
      <w:lvlText w:val="%1.%2.%3.%4"/>
      <w:lvlJc w:val="left"/>
      <w:pPr>
        <w:ind w:left="4320" w:hanging="1080"/>
      </w:pPr>
      <w:rPr>
        <w:rFonts w:ascii="Calibri" w:hAnsi="Calibri" w:cs="Calibri" w:hint="default"/>
      </w:rPr>
    </w:lvl>
    <w:lvl w:ilvl="4">
      <w:start w:val="1"/>
      <w:numFmt w:val="decimal"/>
      <w:lvlText w:val="%1.%2.%3.%4.%5"/>
      <w:lvlJc w:val="left"/>
      <w:pPr>
        <w:ind w:left="5400" w:hanging="1080"/>
      </w:pPr>
      <w:rPr>
        <w:rFonts w:ascii="Calibri" w:hAnsi="Calibri" w:cs="Calibri" w:hint="default"/>
      </w:rPr>
    </w:lvl>
    <w:lvl w:ilvl="5">
      <w:start w:val="1"/>
      <w:numFmt w:val="decimal"/>
      <w:lvlText w:val="%1.%2.%3.%4.%5.%6"/>
      <w:lvlJc w:val="left"/>
      <w:pPr>
        <w:ind w:left="6840" w:hanging="1440"/>
      </w:pPr>
      <w:rPr>
        <w:rFonts w:ascii="Calibri" w:hAnsi="Calibri" w:cs="Calibri" w:hint="default"/>
      </w:rPr>
    </w:lvl>
    <w:lvl w:ilvl="6">
      <w:start w:val="1"/>
      <w:numFmt w:val="decimal"/>
      <w:lvlText w:val="%1.%2.%3.%4.%5.%6.%7"/>
      <w:lvlJc w:val="left"/>
      <w:pPr>
        <w:ind w:left="7920" w:hanging="1440"/>
      </w:pPr>
      <w:rPr>
        <w:rFonts w:ascii="Calibri" w:hAnsi="Calibri" w:cs="Calibri" w:hint="default"/>
      </w:rPr>
    </w:lvl>
    <w:lvl w:ilvl="7">
      <w:start w:val="1"/>
      <w:numFmt w:val="decimal"/>
      <w:lvlText w:val="%1.%2.%3.%4.%5.%6.%7.%8"/>
      <w:lvlJc w:val="left"/>
      <w:pPr>
        <w:ind w:left="9360" w:hanging="1800"/>
      </w:pPr>
      <w:rPr>
        <w:rFonts w:ascii="Calibri" w:hAnsi="Calibri" w:cs="Calibri" w:hint="default"/>
      </w:rPr>
    </w:lvl>
    <w:lvl w:ilvl="8">
      <w:start w:val="1"/>
      <w:numFmt w:val="decimal"/>
      <w:lvlText w:val="%1.%2.%3.%4.%5.%6.%7.%8.%9"/>
      <w:lvlJc w:val="left"/>
      <w:pPr>
        <w:ind w:left="10440" w:hanging="1800"/>
      </w:pPr>
      <w:rPr>
        <w:rFonts w:ascii="Calibri" w:hAnsi="Calibri" w:cs="Calibri" w:hint="default"/>
      </w:rPr>
    </w:lvl>
  </w:abstractNum>
  <w:abstractNum w:abstractNumId="4" w15:restartNumberingAfterBreak="0">
    <w:nsid w:val="59A145DB"/>
    <w:multiLevelType w:val="multilevel"/>
    <w:tmpl w:val="42B8EDA4"/>
    <w:lvl w:ilvl="0">
      <w:start w:val="5"/>
      <w:numFmt w:val="decimal"/>
      <w:lvlText w:val="%1"/>
      <w:lvlJc w:val="left"/>
      <w:pPr>
        <w:ind w:left="360" w:hanging="360"/>
      </w:pPr>
      <w:rPr>
        <w:rFonts w:ascii="Calibri" w:hAnsi="Calibri" w:cs="Calibri" w:hint="default"/>
      </w:rPr>
    </w:lvl>
    <w:lvl w:ilvl="1">
      <w:start w:val="1"/>
      <w:numFmt w:val="decimal"/>
      <w:lvlText w:val="%1.%2"/>
      <w:lvlJc w:val="left"/>
      <w:pPr>
        <w:ind w:left="1440" w:hanging="360"/>
      </w:pPr>
      <w:rPr>
        <w:rFonts w:ascii="Calibri" w:hAnsi="Calibri" w:cs="Calibri" w:hint="default"/>
        <w:b w:val="0"/>
        <w:bCs w:val="0"/>
      </w:rPr>
    </w:lvl>
    <w:lvl w:ilvl="2">
      <w:start w:val="1"/>
      <w:numFmt w:val="upperLetter"/>
      <w:lvlText w:val="%3."/>
      <w:lvlJc w:val="left"/>
      <w:pPr>
        <w:ind w:left="2520" w:hanging="360"/>
      </w:pPr>
      <w:rPr>
        <w:b w:val="0"/>
        <w:bCs w:val="0"/>
        <w:sz w:val="24"/>
        <w:szCs w:val="24"/>
      </w:rPr>
    </w:lvl>
    <w:lvl w:ilvl="3">
      <w:start w:val="1"/>
      <w:numFmt w:val="decimal"/>
      <w:lvlText w:val="%1.%2.%3.%4"/>
      <w:lvlJc w:val="left"/>
      <w:pPr>
        <w:ind w:left="4320" w:hanging="1080"/>
      </w:pPr>
      <w:rPr>
        <w:rFonts w:ascii="Calibri" w:hAnsi="Calibri" w:cs="Calibri" w:hint="default"/>
        <w:b w:val="0"/>
        <w:bCs w:val="0"/>
      </w:rPr>
    </w:lvl>
    <w:lvl w:ilvl="4">
      <w:start w:val="1"/>
      <w:numFmt w:val="decimal"/>
      <w:lvlText w:val="%1.%2.%3.%4.%5"/>
      <w:lvlJc w:val="left"/>
      <w:pPr>
        <w:ind w:left="5400" w:hanging="1080"/>
      </w:pPr>
      <w:rPr>
        <w:rFonts w:ascii="Calibri" w:hAnsi="Calibri" w:cs="Calibri" w:hint="default"/>
      </w:rPr>
    </w:lvl>
    <w:lvl w:ilvl="5">
      <w:start w:val="1"/>
      <w:numFmt w:val="decimal"/>
      <w:lvlText w:val="%1.%2.%3.%4.%5.%6"/>
      <w:lvlJc w:val="left"/>
      <w:pPr>
        <w:ind w:left="6840" w:hanging="1440"/>
      </w:pPr>
      <w:rPr>
        <w:rFonts w:ascii="Calibri" w:hAnsi="Calibri" w:cs="Calibri" w:hint="default"/>
      </w:rPr>
    </w:lvl>
    <w:lvl w:ilvl="6">
      <w:start w:val="1"/>
      <w:numFmt w:val="decimal"/>
      <w:lvlText w:val="%1.%2.%3.%4.%5.%6.%7"/>
      <w:lvlJc w:val="left"/>
      <w:pPr>
        <w:ind w:left="7920" w:hanging="1440"/>
      </w:pPr>
      <w:rPr>
        <w:rFonts w:ascii="Calibri" w:hAnsi="Calibri" w:cs="Calibri" w:hint="default"/>
      </w:rPr>
    </w:lvl>
    <w:lvl w:ilvl="7">
      <w:start w:val="1"/>
      <w:numFmt w:val="decimal"/>
      <w:lvlText w:val="%1.%2.%3.%4.%5.%6.%7.%8"/>
      <w:lvlJc w:val="left"/>
      <w:pPr>
        <w:ind w:left="9360" w:hanging="1800"/>
      </w:pPr>
      <w:rPr>
        <w:rFonts w:ascii="Calibri" w:hAnsi="Calibri" w:cs="Calibri" w:hint="default"/>
      </w:rPr>
    </w:lvl>
    <w:lvl w:ilvl="8">
      <w:start w:val="1"/>
      <w:numFmt w:val="decimal"/>
      <w:lvlText w:val="%1.%2.%3.%4.%5.%6.%7.%8.%9"/>
      <w:lvlJc w:val="left"/>
      <w:pPr>
        <w:ind w:left="10440" w:hanging="1800"/>
      </w:pPr>
      <w:rPr>
        <w:rFonts w:ascii="Calibri" w:hAnsi="Calibri" w:cs="Calibri" w:hint="default"/>
      </w:rPr>
    </w:lvl>
  </w:abstractNum>
  <w:abstractNum w:abstractNumId="5" w15:restartNumberingAfterBreak="0">
    <w:nsid w:val="705A6EBA"/>
    <w:multiLevelType w:val="hybridMultilevel"/>
    <w:tmpl w:val="E984F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C4BEF"/>
    <w:multiLevelType w:val="hybridMultilevel"/>
    <w:tmpl w:val="4788A5F4"/>
    <w:lvl w:ilvl="0" w:tplc="BA2805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B3B88"/>
    <w:multiLevelType w:val="hybridMultilevel"/>
    <w:tmpl w:val="7C9CD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74793442">
    <w:abstractNumId w:val="6"/>
  </w:num>
  <w:num w:numId="2" w16cid:durableId="330375357">
    <w:abstractNumId w:val="1"/>
  </w:num>
  <w:num w:numId="3" w16cid:durableId="1263682313">
    <w:abstractNumId w:val="2"/>
  </w:num>
  <w:num w:numId="4" w16cid:durableId="89931179">
    <w:abstractNumId w:val="0"/>
  </w:num>
  <w:num w:numId="5" w16cid:durableId="821432564">
    <w:abstractNumId w:val="3"/>
  </w:num>
  <w:num w:numId="6" w16cid:durableId="141702967">
    <w:abstractNumId w:val="4"/>
  </w:num>
  <w:num w:numId="7" w16cid:durableId="668798855">
    <w:abstractNumId w:val="5"/>
  </w:num>
  <w:num w:numId="8" w16cid:durableId="2028215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bLv/y4ScpKZLs2rTI5ibEbFDaauYkrze3xVH8Qa31VuHFo6T+uV2a2+/ZQNbv46IYZWCQBX4qmzNlV6unr76GA==" w:salt="w3exbihd73kPfb4RN87F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0B"/>
    <w:rsid w:val="000233E3"/>
    <w:rsid w:val="00034B29"/>
    <w:rsid w:val="00035703"/>
    <w:rsid w:val="00041FED"/>
    <w:rsid w:val="0005169C"/>
    <w:rsid w:val="0007515A"/>
    <w:rsid w:val="000824C9"/>
    <w:rsid w:val="00083744"/>
    <w:rsid w:val="00085017"/>
    <w:rsid w:val="00092A7E"/>
    <w:rsid w:val="00094EE0"/>
    <w:rsid w:val="000A0D87"/>
    <w:rsid w:val="000A345E"/>
    <w:rsid w:val="000A41B8"/>
    <w:rsid w:val="000C4B81"/>
    <w:rsid w:val="000D7BA0"/>
    <w:rsid w:val="000E2935"/>
    <w:rsid w:val="000F1628"/>
    <w:rsid w:val="00106480"/>
    <w:rsid w:val="00116207"/>
    <w:rsid w:val="0012478D"/>
    <w:rsid w:val="001329FD"/>
    <w:rsid w:val="00133ACC"/>
    <w:rsid w:val="00146760"/>
    <w:rsid w:val="00156BAA"/>
    <w:rsid w:val="00162CB2"/>
    <w:rsid w:val="00165FDA"/>
    <w:rsid w:val="001722D8"/>
    <w:rsid w:val="00175ABC"/>
    <w:rsid w:val="00180631"/>
    <w:rsid w:val="0018470B"/>
    <w:rsid w:val="00190C7D"/>
    <w:rsid w:val="001A12DB"/>
    <w:rsid w:val="001B3BFD"/>
    <w:rsid w:val="001B5629"/>
    <w:rsid w:val="001C4F46"/>
    <w:rsid w:val="001D0C0E"/>
    <w:rsid w:val="001D5A07"/>
    <w:rsid w:val="001E4720"/>
    <w:rsid w:val="001F00FA"/>
    <w:rsid w:val="001F345D"/>
    <w:rsid w:val="00202169"/>
    <w:rsid w:val="0020672D"/>
    <w:rsid w:val="00207D32"/>
    <w:rsid w:val="00232072"/>
    <w:rsid w:val="00243EF8"/>
    <w:rsid w:val="002574DC"/>
    <w:rsid w:val="0026601E"/>
    <w:rsid w:val="00277E48"/>
    <w:rsid w:val="00284125"/>
    <w:rsid w:val="00285E6A"/>
    <w:rsid w:val="00291B62"/>
    <w:rsid w:val="002B0760"/>
    <w:rsid w:val="002B0BCF"/>
    <w:rsid w:val="002B1EA0"/>
    <w:rsid w:val="002B42A1"/>
    <w:rsid w:val="002B5243"/>
    <w:rsid w:val="002C15E9"/>
    <w:rsid w:val="002C2F95"/>
    <w:rsid w:val="002C346D"/>
    <w:rsid w:val="002C44A6"/>
    <w:rsid w:val="002D0F08"/>
    <w:rsid w:val="002D3E6C"/>
    <w:rsid w:val="002D7395"/>
    <w:rsid w:val="002E7A9A"/>
    <w:rsid w:val="002F0677"/>
    <w:rsid w:val="002F4201"/>
    <w:rsid w:val="002F60FA"/>
    <w:rsid w:val="00303133"/>
    <w:rsid w:val="00315F3E"/>
    <w:rsid w:val="00326038"/>
    <w:rsid w:val="003267B9"/>
    <w:rsid w:val="00334C1B"/>
    <w:rsid w:val="0035654F"/>
    <w:rsid w:val="003571C6"/>
    <w:rsid w:val="003634D5"/>
    <w:rsid w:val="0036702A"/>
    <w:rsid w:val="0036731B"/>
    <w:rsid w:val="0037015D"/>
    <w:rsid w:val="00370A69"/>
    <w:rsid w:val="003811D1"/>
    <w:rsid w:val="0038384F"/>
    <w:rsid w:val="00395D9A"/>
    <w:rsid w:val="003974B4"/>
    <w:rsid w:val="003976A1"/>
    <w:rsid w:val="003A6FC7"/>
    <w:rsid w:val="003B2EC3"/>
    <w:rsid w:val="003B4570"/>
    <w:rsid w:val="003B4CDB"/>
    <w:rsid w:val="003B5343"/>
    <w:rsid w:val="003B690A"/>
    <w:rsid w:val="003B7D71"/>
    <w:rsid w:val="003C488D"/>
    <w:rsid w:val="003D1DEE"/>
    <w:rsid w:val="003D6108"/>
    <w:rsid w:val="003D7073"/>
    <w:rsid w:val="003E5E29"/>
    <w:rsid w:val="003E7E57"/>
    <w:rsid w:val="003F0A7C"/>
    <w:rsid w:val="003F238B"/>
    <w:rsid w:val="003F6FDB"/>
    <w:rsid w:val="00401A49"/>
    <w:rsid w:val="004175A1"/>
    <w:rsid w:val="00422EA2"/>
    <w:rsid w:val="00425B06"/>
    <w:rsid w:val="0043319A"/>
    <w:rsid w:val="00437A60"/>
    <w:rsid w:val="0044431B"/>
    <w:rsid w:val="00463BF5"/>
    <w:rsid w:val="00467F5A"/>
    <w:rsid w:val="00471D03"/>
    <w:rsid w:val="00495DC3"/>
    <w:rsid w:val="00496C08"/>
    <w:rsid w:val="004A52AD"/>
    <w:rsid w:val="004B0B32"/>
    <w:rsid w:val="004C4BE6"/>
    <w:rsid w:val="004D33F4"/>
    <w:rsid w:val="005014DE"/>
    <w:rsid w:val="0050161B"/>
    <w:rsid w:val="00505786"/>
    <w:rsid w:val="0052434C"/>
    <w:rsid w:val="0052620D"/>
    <w:rsid w:val="005319F6"/>
    <w:rsid w:val="00532D71"/>
    <w:rsid w:val="00543C34"/>
    <w:rsid w:val="0055364A"/>
    <w:rsid w:val="00553D13"/>
    <w:rsid w:val="00572FF9"/>
    <w:rsid w:val="00575B6C"/>
    <w:rsid w:val="00580812"/>
    <w:rsid w:val="005B22D8"/>
    <w:rsid w:val="005C11DF"/>
    <w:rsid w:val="005C2ABE"/>
    <w:rsid w:val="005C3995"/>
    <w:rsid w:val="005C5D21"/>
    <w:rsid w:val="005E576C"/>
    <w:rsid w:val="005F1E46"/>
    <w:rsid w:val="005F2623"/>
    <w:rsid w:val="00601218"/>
    <w:rsid w:val="00607128"/>
    <w:rsid w:val="006119CF"/>
    <w:rsid w:val="00611B7F"/>
    <w:rsid w:val="006340D9"/>
    <w:rsid w:val="00644275"/>
    <w:rsid w:val="00646B77"/>
    <w:rsid w:val="00647479"/>
    <w:rsid w:val="00651717"/>
    <w:rsid w:val="006540BC"/>
    <w:rsid w:val="00680C7A"/>
    <w:rsid w:val="00683E1F"/>
    <w:rsid w:val="00684404"/>
    <w:rsid w:val="00695B22"/>
    <w:rsid w:val="006A3BB3"/>
    <w:rsid w:val="006E1666"/>
    <w:rsid w:val="006F6EFC"/>
    <w:rsid w:val="0070542D"/>
    <w:rsid w:val="0072012F"/>
    <w:rsid w:val="0072436B"/>
    <w:rsid w:val="00730FB6"/>
    <w:rsid w:val="00734E8A"/>
    <w:rsid w:val="007427EF"/>
    <w:rsid w:val="00746CF9"/>
    <w:rsid w:val="00747994"/>
    <w:rsid w:val="00752348"/>
    <w:rsid w:val="00757FCE"/>
    <w:rsid w:val="007628E4"/>
    <w:rsid w:val="007642EF"/>
    <w:rsid w:val="007754BD"/>
    <w:rsid w:val="00782A3D"/>
    <w:rsid w:val="007872DB"/>
    <w:rsid w:val="007970A6"/>
    <w:rsid w:val="007A3413"/>
    <w:rsid w:val="007A707D"/>
    <w:rsid w:val="007C298E"/>
    <w:rsid w:val="007C49C2"/>
    <w:rsid w:val="007D2161"/>
    <w:rsid w:val="007D5BFF"/>
    <w:rsid w:val="007E0303"/>
    <w:rsid w:val="007E0E53"/>
    <w:rsid w:val="007E29C1"/>
    <w:rsid w:val="007F1405"/>
    <w:rsid w:val="007F344F"/>
    <w:rsid w:val="007F5B20"/>
    <w:rsid w:val="007F6691"/>
    <w:rsid w:val="00800A9B"/>
    <w:rsid w:val="00802793"/>
    <w:rsid w:val="0080741B"/>
    <w:rsid w:val="00815932"/>
    <w:rsid w:val="008316E2"/>
    <w:rsid w:val="00847B3A"/>
    <w:rsid w:val="008507B3"/>
    <w:rsid w:val="0086432C"/>
    <w:rsid w:val="00876CCB"/>
    <w:rsid w:val="00881F30"/>
    <w:rsid w:val="00895924"/>
    <w:rsid w:val="00896AF2"/>
    <w:rsid w:val="008A1068"/>
    <w:rsid w:val="008A1437"/>
    <w:rsid w:val="008B0D91"/>
    <w:rsid w:val="008C11AC"/>
    <w:rsid w:val="008C1BF3"/>
    <w:rsid w:val="008C3C7C"/>
    <w:rsid w:val="008D3A00"/>
    <w:rsid w:val="00907F92"/>
    <w:rsid w:val="00935E28"/>
    <w:rsid w:val="009545A8"/>
    <w:rsid w:val="00957D77"/>
    <w:rsid w:val="009659C4"/>
    <w:rsid w:val="009739EB"/>
    <w:rsid w:val="00977707"/>
    <w:rsid w:val="00981293"/>
    <w:rsid w:val="009917DA"/>
    <w:rsid w:val="00997E6F"/>
    <w:rsid w:val="009A1BFF"/>
    <w:rsid w:val="009D3615"/>
    <w:rsid w:val="009E2DA6"/>
    <w:rsid w:val="009E6F28"/>
    <w:rsid w:val="009F25E0"/>
    <w:rsid w:val="00A00FC1"/>
    <w:rsid w:val="00A074C4"/>
    <w:rsid w:val="00A100DB"/>
    <w:rsid w:val="00A21FF2"/>
    <w:rsid w:val="00A22F63"/>
    <w:rsid w:val="00A3177F"/>
    <w:rsid w:val="00A40283"/>
    <w:rsid w:val="00A50F04"/>
    <w:rsid w:val="00A54170"/>
    <w:rsid w:val="00A64F5B"/>
    <w:rsid w:val="00A65C23"/>
    <w:rsid w:val="00A95A3E"/>
    <w:rsid w:val="00AA4D49"/>
    <w:rsid w:val="00AB17A8"/>
    <w:rsid w:val="00AE019A"/>
    <w:rsid w:val="00AF0508"/>
    <w:rsid w:val="00B10578"/>
    <w:rsid w:val="00B1435C"/>
    <w:rsid w:val="00B17E8D"/>
    <w:rsid w:val="00B23250"/>
    <w:rsid w:val="00B253C4"/>
    <w:rsid w:val="00B33F5B"/>
    <w:rsid w:val="00B427B3"/>
    <w:rsid w:val="00B56EB3"/>
    <w:rsid w:val="00B611B8"/>
    <w:rsid w:val="00B61A24"/>
    <w:rsid w:val="00B6373C"/>
    <w:rsid w:val="00B703CA"/>
    <w:rsid w:val="00B80FC3"/>
    <w:rsid w:val="00B91C55"/>
    <w:rsid w:val="00B92AEB"/>
    <w:rsid w:val="00BA1956"/>
    <w:rsid w:val="00BA2FD3"/>
    <w:rsid w:val="00BA4DBB"/>
    <w:rsid w:val="00BC7640"/>
    <w:rsid w:val="00BD3593"/>
    <w:rsid w:val="00BF0AF4"/>
    <w:rsid w:val="00C104BE"/>
    <w:rsid w:val="00C158BA"/>
    <w:rsid w:val="00C329EF"/>
    <w:rsid w:val="00C43FA9"/>
    <w:rsid w:val="00C52142"/>
    <w:rsid w:val="00C53CAF"/>
    <w:rsid w:val="00C61969"/>
    <w:rsid w:val="00C76534"/>
    <w:rsid w:val="00C810C5"/>
    <w:rsid w:val="00C91823"/>
    <w:rsid w:val="00C958AB"/>
    <w:rsid w:val="00CA4B9D"/>
    <w:rsid w:val="00CC2717"/>
    <w:rsid w:val="00CD37EA"/>
    <w:rsid w:val="00CF0B61"/>
    <w:rsid w:val="00CF2DB4"/>
    <w:rsid w:val="00D063D9"/>
    <w:rsid w:val="00D114EB"/>
    <w:rsid w:val="00D1640D"/>
    <w:rsid w:val="00D178A8"/>
    <w:rsid w:val="00D17F3C"/>
    <w:rsid w:val="00D207A5"/>
    <w:rsid w:val="00D24CE5"/>
    <w:rsid w:val="00D31811"/>
    <w:rsid w:val="00D34CF7"/>
    <w:rsid w:val="00D35C52"/>
    <w:rsid w:val="00D378A0"/>
    <w:rsid w:val="00D409F6"/>
    <w:rsid w:val="00D94F46"/>
    <w:rsid w:val="00DA7266"/>
    <w:rsid w:val="00DD2624"/>
    <w:rsid w:val="00DD38A8"/>
    <w:rsid w:val="00DE4D53"/>
    <w:rsid w:val="00DF53A7"/>
    <w:rsid w:val="00E02700"/>
    <w:rsid w:val="00E029E3"/>
    <w:rsid w:val="00E2526B"/>
    <w:rsid w:val="00E270F8"/>
    <w:rsid w:val="00E351EF"/>
    <w:rsid w:val="00E6708F"/>
    <w:rsid w:val="00E67777"/>
    <w:rsid w:val="00E75528"/>
    <w:rsid w:val="00E768B8"/>
    <w:rsid w:val="00E93A75"/>
    <w:rsid w:val="00E95952"/>
    <w:rsid w:val="00EA7FD5"/>
    <w:rsid w:val="00ED367E"/>
    <w:rsid w:val="00ED4D1C"/>
    <w:rsid w:val="00F053EE"/>
    <w:rsid w:val="00F068E1"/>
    <w:rsid w:val="00F109E1"/>
    <w:rsid w:val="00F13FC2"/>
    <w:rsid w:val="00F14C7F"/>
    <w:rsid w:val="00F24573"/>
    <w:rsid w:val="00F368FD"/>
    <w:rsid w:val="00F449C7"/>
    <w:rsid w:val="00F566A9"/>
    <w:rsid w:val="00F57ABC"/>
    <w:rsid w:val="00F657E0"/>
    <w:rsid w:val="00F7540A"/>
    <w:rsid w:val="00F77D36"/>
    <w:rsid w:val="00F82EBA"/>
    <w:rsid w:val="00FB2F29"/>
    <w:rsid w:val="00FB7D19"/>
    <w:rsid w:val="00FC4B74"/>
    <w:rsid w:val="00FC7719"/>
    <w:rsid w:val="00FD7240"/>
    <w:rsid w:val="00FE2278"/>
    <w:rsid w:val="00FE234D"/>
    <w:rsid w:val="00FF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5DD81"/>
  <w15:chartTrackingRefBased/>
  <w15:docId w15:val="{D9774D92-6D8B-4682-8C96-42A5DEE7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0B"/>
  </w:style>
  <w:style w:type="paragraph" w:styleId="Heading1">
    <w:name w:val="heading 1"/>
    <w:basedOn w:val="Normal"/>
    <w:next w:val="Normal"/>
    <w:link w:val="Heading1Char"/>
    <w:uiPriority w:val="9"/>
    <w:qFormat/>
    <w:rsid w:val="00184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7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7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7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7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BA1956"/>
    <w:rPr>
      <w:color w:val="95201C"/>
      <w:u w:val="single"/>
    </w:rPr>
  </w:style>
  <w:style w:type="character" w:styleId="FollowedHyperlink">
    <w:name w:val="FollowedHyperlink"/>
    <w:basedOn w:val="DefaultParagraphFont"/>
    <w:uiPriority w:val="99"/>
    <w:unhideWhenUsed/>
    <w:qFormat/>
    <w:rsid w:val="00BA1956"/>
    <w:rPr>
      <w:color w:val="95201C"/>
      <w:u w:val="single"/>
    </w:rPr>
  </w:style>
  <w:style w:type="character" w:customStyle="1" w:styleId="Heading1Char">
    <w:name w:val="Heading 1 Char"/>
    <w:basedOn w:val="DefaultParagraphFont"/>
    <w:link w:val="Heading1"/>
    <w:uiPriority w:val="9"/>
    <w:rsid w:val="00184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70B"/>
    <w:rPr>
      <w:rFonts w:eastAsiaTheme="majorEastAsia" w:cstheme="majorBidi"/>
      <w:color w:val="272727" w:themeColor="text1" w:themeTint="D8"/>
    </w:rPr>
  </w:style>
  <w:style w:type="paragraph" w:styleId="Title">
    <w:name w:val="Title"/>
    <w:basedOn w:val="Normal"/>
    <w:next w:val="Normal"/>
    <w:link w:val="TitleChar"/>
    <w:uiPriority w:val="10"/>
    <w:qFormat/>
    <w:rsid w:val="001847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7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7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70B"/>
    <w:rPr>
      <w:i/>
      <w:iCs/>
      <w:color w:val="404040" w:themeColor="text1" w:themeTint="BF"/>
    </w:rPr>
  </w:style>
  <w:style w:type="paragraph" w:styleId="ListParagraph">
    <w:name w:val="List Paragraph"/>
    <w:basedOn w:val="Normal"/>
    <w:uiPriority w:val="34"/>
    <w:qFormat/>
    <w:rsid w:val="0018470B"/>
    <w:pPr>
      <w:ind w:left="720"/>
      <w:contextualSpacing/>
    </w:pPr>
  </w:style>
  <w:style w:type="character" w:styleId="IntenseEmphasis">
    <w:name w:val="Intense Emphasis"/>
    <w:basedOn w:val="DefaultParagraphFont"/>
    <w:uiPriority w:val="21"/>
    <w:qFormat/>
    <w:rsid w:val="0018470B"/>
    <w:rPr>
      <w:i/>
      <w:iCs/>
      <w:color w:val="0F4761" w:themeColor="accent1" w:themeShade="BF"/>
    </w:rPr>
  </w:style>
  <w:style w:type="paragraph" w:styleId="IntenseQuote">
    <w:name w:val="Intense Quote"/>
    <w:basedOn w:val="Normal"/>
    <w:next w:val="Normal"/>
    <w:link w:val="IntenseQuoteChar"/>
    <w:uiPriority w:val="30"/>
    <w:qFormat/>
    <w:rsid w:val="00184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70B"/>
    <w:rPr>
      <w:i/>
      <w:iCs/>
      <w:color w:val="0F4761" w:themeColor="accent1" w:themeShade="BF"/>
    </w:rPr>
  </w:style>
  <w:style w:type="character" w:styleId="IntenseReference">
    <w:name w:val="Intense Reference"/>
    <w:basedOn w:val="DefaultParagraphFont"/>
    <w:uiPriority w:val="32"/>
    <w:qFormat/>
    <w:rsid w:val="0018470B"/>
    <w:rPr>
      <w:b/>
      <w:bCs/>
      <w:smallCaps/>
      <w:color w:val="0F4761" w:themeColor="accent1" w:themeShade="BF"/>
      <w:spacing w:val="5"/>
    </w:rPr>
  </w:style>
  <w:style w:type="paragraph" w:styleId="Header">
    <w:name w:val="header"/>
    <w:basedOn w:val="Normal"/>
    <w:link w:val="HeaderChar"/>
    <w:uiPriority w:val="99"/>
    <w:unhideWhenUsed/>
    <w:rsid w:val="0018470B"/>
    <w:pPr>
      <w:tabs>
        <w:tab w:val="center" w:pos="4680"/>
        <w:tab w:val="right" w:pos="9360"/>
      </w:tabs>
    </w:pPr>
  </w:style>
  <w:style w:type="character" w:customStyle="1" w:styleId="HeaderChar">
    <w:name w:val="Header Char"/>
    <w:basedOn w:val="DefaultParagraphFont"/>
    <w:link w:val="Header"/>
    <w:uiPriority w:val="99"/>
    <w:rsid w:val="0018470B"/>
  </w:style>
  <w:style w:type="paragraph" w:styleId="Footer">
    <w:name w:val="footer"/>
    <w:basedOn w:val="Normal"/>
    <w:link w:val="FooterChar"/>
    <w:uiPriority w:val="99"/>
    <w:unhideWhenUsed/>
    <w:rsid w:val="0018470B"/>
    <w:pPr>
      <w:tabs>
        <w:tab w:val="center" w:pos="4680"/>
        <w:tab w:val="right" w:pos="9360"/>
      </w:tabs>
    </w:pPr>
  </w:style>
  <w:style w:type="character" w:customStyle="1" w:styleId="FooterChar">
    <w:name w:val="Footer Char"/>
    <w:basedOn w:val="DefaultParagraphFont"/>
    <w:link w:val="Footer"/>
    <w:uiPriority w:val="99"/>
    <w:rsid w:val="0018470B"/>
  </w:style>
  <w:style w:type="character" w:styleId="UnresolvedMention">
    <w:name w:val="Unresolved Mention"/>
    <w:basedOn w:val="DefaultParagraphFont"/>
    <w:uiPriority w:val="99"/>
    <w:semiHidden/>
    <w:unhideWhenUsed/>
    <w:rsid w:val="00D207A5"/>
    <w:rPr>
      <w:color w:val="605E5C"/>
      <w:shd w:val="clear" w:color="auto" w:fill="E1DFDD"/>
    </w:rPr>
  </w:style>
  <w:style w:type="paragraph" w:styleId="NormalWeb">
    <w:name w:val="Normal (Web)"/>
    <w:basedOn w:val="Normal"/>
    <w:uiPriority w:val="99"/>
    <w:semiHidden/>
    <w:unhideWhenUsed/>
    <w:rsid w:val="00034B29"/>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14C7F"/>
    <w:rPr>
      <w:sz w:val="16"/>
      <w:szCs w:val="16"/>
    </w:rPr>
  </w:style>
  <w:style w:type="paragraph" w:styleId="CommentText">
    <w:name w:val="annotation text"/>
    <w:basedOn w:val="Normal"/>
    <w:link w:val="CommentTextChar"/>
    <w:uiPriority w:val="99"/>
    <w:semiHidden/>
    <w:unhideWhenUsed/>
    <w:rsid w:val="00F14C7F"/>
    <w:rPr>
      <w:sz w:val="20"/>
      <w:szCs w:val="20"/>
    </w:rPr>
  </w:style>
  <w:style w:type="character" w:customStyle="1" w:styleId="CommentTextChar">
    <w:name w:val="Comment Text Char"/>
    <w:basedOn w:val="DefaultParagraphFont"/>
    <w:link w:val="CommentText"/>
    <w:uiPriority w:val="99"/>
    <w:semiHidden/>
    <w:rsid w:val="00F14C7F"/>
    <w:rPr>
      <w:sz w:val="20"/>
      <w:szCs w:val="20"/>
    </w:rPr>
  </w:style>
  <w:style w:type="paragraph" w:styleId="CommentSubject">
    <w:name w:val="annotation subject"/>
    <w:basedOn w:val="CommentText"/>
    <w:next w:val="CommentText"/>
    <w:link w:val="CommentSubjectChar"/>
    <w:uiPriority w:val="99"/>
    <w:semiHidden/>
    <w:unhideWhenUsed/>
    <w:rsid w:val="00F14C7F"/>
    <w:rPr>
      <w:b/>
      <w:bCs/>
    </w:rPr>
  </w:style>
  <w:style w:type="character" w:customStyle="1" w:styleId="CommentSubjectChar">
    <w:name w:val="Comment Subject Char"/>
    <w:basedOn w:val="CommentTextChar"/>
    <w:link w:val="CommentSubject"/>
    <w:uiPriority w:val="99"/>
    <w:semiHidden/>
    <w:rsid w:val="00F14C7F"/>
    <w:rPr>
      <w:b/>
      <w:bCs/>
      <w:sz w:val="20"/>
      <w:szCs w:val="20"/>
    </w:rPr>
  </w:style>
  <w:style w:type="character" w:styleId="Strong">
    <w:name w:val="Strong"/>
    <w:basedOn w:val="DefaultParagraphFont"/>
    <w:uiPriority w:val="22"/>
    <w:qFormat/>
    <w:rsid w:val="007E29C1"/>
    <w:rPr>
      <w:b/>
      <w:bCs/>
    </w:rPr>
  </w:style>
  <w:style w:type="table" w:styleId="TableGrid">
    <w:name w:val="Table Grid"/>
    <w:basedOn w:val="TableNormal"/>
    <w:uiPriority w:val="39"/>
    <w:rsid w:val="00B80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3177F"/>
  </w:style>
  <w:style w:type="paragraph" w:styleId="Revision">
    <w:name w:val="Revision"/>
    <w:hidden/>
    <w:uiPriority w:val="99"/>
    <w:semiHidden/>
    <w:rsid w:val="00AF0508"/>
  </w:style>
  <w:style w:type="table" w:customStyle="1" w:styleId="TableGrid1">
    <w:name w:val="Table Grid1"/>
    <w:basedOn w:val="TableNormal"/>
    <w:next w:val="TableGrid"/>
    <w:uiPriority w:val="39"/>
    <w:rsid w:val="00AA4D49"/>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lax.edu/globalassets/offices-services/student-life/student-conduct/uwl-expressive-activities-on-campus-policy.pdf" TargetMode="External"/><Relationship Id="rId18" Type="http://schemas.openxmlformats.org/officeDocument/2006/relationships/hyperlink" Target="https://docs.legis.wisconsin.gov/code/admin_code/uws/1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ousing@uwlax.edu" TargetMode="External"/><Relationship Id="rId17" Type="http://schemas.openxmlformats.org/officeDocument/2006/relationships/hyperlink" Target="https://docs.legis.wisconsin.gov/code/admin_code/uws/1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legis.wisconsin.gov/document/administrativecode/UWS%2018.1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wlax.edu/university-centers/orgs/student-org-resourc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reservations/polic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 xmlns="e093e355-c945-4473-9c5d-2835a4da0d94">false</Review>
    <lcf76f155ced4ddcb4097134ff3c332f xmlns="e093e355-c945-4473-9c5d-2835a4da0d94">
      <Terms xmlns="http://schemas.microsoft.com/office/infopath/2007/PartnerControls"/>
    </lcf76f155ced4ddcb4097134ff3c332f>
    <TaxCatchAll xmlns="0662cd8e-359e-4689-9ba4-e6a1b7b5d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12" ma:contentTypeDescription="Create a new document." ma:contentTypeScope="" ma:versionID="867147e58c7a40705b7678a3d52d3c38">
  <xsd:schema xmlns:xsd="http://www.w3.org/2001/XMLSchema" xmlns:xs="http://www.w3.org/2001/XMLSchema" xmlns:p="http://schemas.microsoft.com/office/2006/metadata/properties" xmlns:ns2="4b3a3463-075f-4cfb-a643-5cb8c1a5efb7" xmlns:ns3="e093e355-c945-4473-9c5d-2835a4da0d94" xmlns:ns4="0662cd8e-359e-4689-9ba4-e6a1b7b5d468" targetNamespace="http://schemas.microsoft.com/office/2006/metadata/properties" ma:root="true" ma:fieldsID="bb34f8ea76f1c4f670315f28ec974668" ns2:_="" ns3:_="" ns4:_="">
    <xsd:import namespace="4b3a3463-075f-4cfb-a643-5cb8c1a5efb7"/>
    <xsd:import namespace="e093e355-c945-4473-9c5d-2835a4da0d94"/>
    <xsd:import namespace="0662cd8e-359e-4689-9ba4-e6a1b7b5d4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Review" minOccurs="0"/>
                <xsd:element ref="ns4:SharedWithUsers" minOccurs="0"/>
                <xsd:element ref="ns4:SharedWithDetail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a3463-075f-4cfb-a643-5cb8c1a5e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Review" ma:index="12" nillable="true" ma:displayName="Review" ma:default="0" ma:format="Dropdown" ma:internalName="Review">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c346a6-566f-48d3-a350-cdaff5b5be1b}"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6B75-2C0C-4122-993A-121ABE084464}">
  <ds:schemaRefs>
    <ds:schemaRef ds:uri="http://schemas.microsoft.com/office/2006/metadata/properties"/>
    <ds:schemaRef ds:uri="http://schemas.microsoft.com/office/infopath/2007/PartnerControls"/>
    <ds:schemaRef ds:uri="e093e355-c945-4473-9c5d-2835a4da0d94"/>
    <ds:schemaRef ds:uri="0662cd8e-359e-4689-9ba4-e6a1b7b5d468"/>
  </ds:schemaRefs>
</ds:datastoreItem>
</file>

<file path=customXml/itemProps2.xml><?xml version="1.0" encoding="utf-8"?>
<ds:datastoreItem xmlns:ds="http://schemas.openxmlformats.org/officeDocument/2006/customXml" ds:itemID="{C0EC3212-9463-4D59-8BEF-6D2D7E024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a3463-075f-4cfb-a643-5cb8c1a5efb7"/>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BAA59-D8EB-4AE8-A38D-7CA54BDD8BF0}">
  <ds:schemaRefs>
    <ds:schemaRef ds:uri="http://schemas.microsoft.com/sharepoint/v3/contenttype/forms"/>
  </ds:schemaRefs>
</ds:datastoreItem>
</file>

<file path=customXml/itemProps4.xml><?xml version="1.0" encoding="utf-8"?>
<ds:datastoreItem xmlns:ds="http://schemas.openxmlformats.org/officeDocument/2006/customXml" ds:itemID="{31970DDE-3514-F74C-8FD9-3FFFB269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1699</Words>
  <Characters>9826</Characters>
  <Application>Microsoft Office Word</Application>
  <DocSecurity>0</DocSecurity>
  <Lines>286</Lines>
  <Paragraphs>111</Paragraphs>
  <ScaleCrop>false</ScaleCrop>
  <Company>Uniuversity of Wisconsin-La Crosse</Company>
  <LinksUpToDate>false</LinksUpToDate>
  <CharactersWithSpaces>11444</CharactersWithSpaces>
  <SharedDoc>false</SharedDoc>
  <HLinks>
    <vt:vector size="42" baseType="variant">
      <vt:variant>
        <vt:i4>5570608</vt:i4>
      </vt:variant>
      <vt:variant>
        <vt:i4>21</vt:i4>
      </vt:variant>
      <vt:variant>
        <vt:i4>0</vt:i4>
      </vt:variant>
      <vt:variant>
        <vt:i4>5</vt:i4>
      </vt:variant>
      <vt:variant>
        <vt:lpwstr>https://docs.legis.wisconsin.gov/code/admin_code/uws/18</vt:lpwstr>
      </vt:variant>
      <vt:variant>
        <vt:lpwstr/>
      </vt:variant>
      <vt:variant>
        <vt:i4>5570608</vt:i4>
      </vt:variant>
      <vt:variant>
        <vt:i4>18</vt:i4>
      </vt:variant>
      <vt:variant>
        <vt:i4>0</vt:i4>
      </vt:variant>
      <vt:variant>
        <vt:i4>5</vt:i4>
      </vt:variant>
      <vt:variant>
        <vt:lpwstr>https://docs.legis.wisconsin.gov/code/admin_code/uws/17</vt:lpwstr>
      </vt:variant>
      <vt:variant>
        <vt:lpwstr/>
      </vt:variant>
      <vt:variant>
        <vt:i4>6225948</vt:i4>
      </vt:variant>
      <vt:variant>
        <vt:i4>15</vt:i4>
      </vt:variant>
      <vt:variant>
        <vt:i4>0</vt:i4>
      </vt:variant>
      <vt:variant>
        <vt:i4>5</vt:i4>
      </vt:variant>
      <vt:variant>
        <vt:lpwstr>https://docs.legis.wisconsin.gov/document/administrativecode/UWS 18.11(9)</vt:lpwstr>
      </vt:variant>
      <vt:variant>
        <vt:lpwstr/>
      </vt:variant>
      <vt:variant>
        <vt:i4>1245192</vt:i4>
      </vt:variant>
      <vt:variant>
        <vt:i4>12</vt:i4>
      </vt:variant>
      <vt:variant>
        <vt:i4>0</vt:i4>
      </vt:variant>
      <vt:variant>
        <vt:i4>5</vt:i4>
      </vt:variant>
      <vt:variant>
        <vt:lpwstr>https://www.uwlax.edu/university-centers/orgs/student-org-resources/</vt:lpwstr>
      </vt:variant>
      <vt:variant>
        <vt:lpwstr>tm-168345</vt:lpwstr>
      </vt:variant>
      <vt:variant>
        <vt:i4>1048599</vt:i4>
      </vt:variant>
      <vt:variant>
        <vt:i4>9</vt:i4>
      </vt:variant>
      <vt:variant>
        <vt:i4>0</vt:i4>
      </vt:variant>
      <vt:variant>
        <vt:i4>5</vt:i4>
      </vt:variant>
      <vt:variant>
        <vt:lpwstr>https://www.uwlax.edu/reservations/policies/</vt:lpwstr>
      </vt:variant>
      <vt:variant>
        <vt:lpwstr/>
      </vt:variant>
      <vt:variant>
        <vt:i4>7209012</vt:i4>
      </vt:variant>
      <vt:variant>
        <vt:i4>6</vt:i4>
      </vt:variant>
      <vt:variant>
        <vt:i4>0</vt:i4>
      </vt:variant>
      <vt:variant>
        <vt:i4>5</vt:i4>
      </vt:variant>
      <vt:variant>
        <vt:lpwstr>https://www.uwlax.edu/globalassets/offices-services/student-life/student-conduct/uwl-expressive-activities-on-campus-policy.pdf</vt:lpwstr>
      </vt:variant>
      <vt:variant>
        <vt:lpwstr/>
      </vt:variant>
      <vt:variant>
        <vt:i4>36</vt:i4>
      </vt:variant>
      <vt:variant>
        <vt:i4>3</vt:i4>
      </vt:variant>
      <vt:variant>
        <vt:i4>0</vt:i4>
      </vt:variant>
      <vt:variant>
        <vt:i4>5</vt:i4>
      </vt:variant>
      <vt:variant>
        <vt:lpwstr>mailto:housing@uwlax.edu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L. Ostlund</dc:creator>
  <cp:keywords/>
  <dc:description/>
  <cp:lastModifiedBy>Kara L. Ostlund</cp:lastModifiedBy>
  <cp:revision>4</cp:revision>
  <cp:lastPrinted>2025-12-12T19:17:00Z</cp:lastPrinted>
  <dcterms:created xsi:type="dcterms:W3CDTF">2026-04-22T02:18:00Z</dcterms:created>
  <dcterms:modified xsi:type="dcterms:W3CDTF">2026-04-22T02:23:00Z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ies>
</file>