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FF21DE0" wp14:paraId="21CECB57" wp14:textId="618214AE">
      <w:pPr>
        <w:pStyle w:val="Title"/>
        <w:jc w:val="center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color w:val="auto"/>
          <w:sz w:val="36"/>
          <w:szCs w:val="36"/>
        </w:rPr>
      </w:pP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color w:val="auto"/>
          <w:sz w:val="36"/>
          <w:szCs w:val="36"/>
        </w:rPr>
        <w:t>Criteria – Event Funding Assistance Committee</w:t>
      </w:r>
    </w:p>
    <w:p xmlns:wp14="http://schemas.microsoft.com/office/word/2010/wordml" w:rsidP="7FF21DE0" wp14:paraId="438C980A" wp14:textId="5ED7A143">
      <w:pPr>
        <w:pStyle w:val="Normal"/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</w:pP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The Event Funding Assistance Committee makes allocations from three different funds to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assist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student organizations, university departments/organizations, and student initiatives for academic courses to fund programs that they are unable to fund themselves. These funds include:</w:t>
      </w:r>
    </w:p>
    <w:p xmlns:wp14="http://schemas.microsoft.com/office/word/2010/wordml" w:rsidP="7FF21DE0" wp14:paraId="39DE560D" wp14:textId="49A0899A">
      <w:pPr>
        <w:pStyle w:val="Normal"/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</w:pPr>
      <w:r w:rsidRPr="7FF21DE0" w:rsidR="65DF93F7">
        <w:rPr>
          <w:rStyle w:val="Heading2Char"/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>Pepsi Marketing Fund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(Available to student organizations, university departments/organizations, and student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initiatives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for academic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courses).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This money is provided for non-athletic departments. This fund provides $9,000 for university organizations to be used for: Pepsi banners; beverages; seasonal promotions; and/or merchandise for giveaways, contests, door prizes,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special events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, and other events open to the entire campus community and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benefiting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UW-La Crosse students. Requests should promote campus initiatives and events. Banner requests, which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utilize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approximately one-third of the budget, are made directly to the University Centers administrative office. </w:t>
      </w:r>
    </w:p>
    <w:p xmlns:wp14="http://schemas.microsoft.com/office/word/2010/wordml" w:rsidP="7FF21DE0" wp14:paraId="6495580D" wp14:textId="0F03FAC8">
      <w:pPr>
        <w:pStyle w:val="Normal"/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</w:pPr>
      <w:r w:rsidRPr="7FF21DE0" w:rsidR="65DF93F7">
        <w:rPr>
          <w:rStyle w:val="Heading2Char"/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>Dining Services Account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(Available to student organizations). This fund provides $3,000 from the Dining Services account to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assist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student organizations with specific catering requests.</w:t>
      </w:r>
    </w:p>
    <w:p xmlns:wp14="http://schemas.microsoft.com/office/word/2010/wordml" w:rsidP="7FF21DE0" wp14:paraId="2C5A1C12" wp14:textId="3AE70996">
      <w:pPr>
        <w:pStyle w:val="Normal"/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</w:pPr>
      <w:r w:rsidRPr="7FF21DE0" w:rsidR="65DF93F7">
        <w:rPr>
          <w:rStyle w:val="Heading2Char"/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>Chartwells Dining Fund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(Available to university departments/organizations and student initiatives for academic courses). This fund provides $5,000 from the Chartwells Dining Account to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assist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university organizations with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catering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.</w:t>
      </w:r>
    </w:p>
    <w:p xmlns:wp14="http://schemas.microsoft.com/office/word/2010/wordml" w:rsidP="7FF21DE0" wp14:paraId="77DC4A1F" wp14:textId="5D73E26F">
      <w:pPr>
        <w:pStyle w:val="Normal"/>
        <w:spacing w:after="0" w:afterAutospacing="off"/>
        <w:rPr>
          <w:rStyle w:val="Heading1Char"/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</w:pPr>
      <w:r w:rsidRPr="7FF21DE0" w:rsidR="65DF93F7">
        <w:rPr>
          <w:rStyle w:val="Heading1Char"/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  <w:t>Criteria for Funding</w:t>
      </w:r>
    </w:p>
    <w:p xmlns:wp14="http://schemas.microsoft.com/office/word/2010/wordml" w:rsidP="7FF21DE0" wp14:paraId="6785BF48" wp14:textId="7519B99B">
      <w:pPr>
        <w:pStyle w:val="Normal"/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</w:pP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The focus of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all of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these funds is to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assist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organizations that do not have sufficient funds to sponsor their events.</w:t>
      </w:r>
      <w:r w:rsidRPr="7FF21DE0" w:rsidR="5C570649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These funds are not designed to supplement operation budgets that have sufficient funding for events.</w:t>
      </w:r>
    </w:p>
    <w:p xmlns:wp14="http://schemas.microsoft.com/office/word/2010/wordml" w:rsidP="7FF21DE0" wp14:paraId="754CD54F" wp14:textId="163B45E3">
      <w:pPr>
        <w:pStyle w:val="Normal"/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</w:pP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Priority consideration for funding will be given to:</w:t>
      </w:r>
    </w:p>
    <w:p xmlns:wp14="http://schemas.microsoft.com/office/word/2010/wordml" w:rsidP="7FF21DE0" wp14:paraId="3B4D3AE8" wp14:textId="3C67673E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</w:pPr>
      <w:bookmarkStart w:name="_Int_MLb2Pne2" w:id="1840721025"/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Alcohol</w:t>
      </w:r>
      <w:bookmarkEnd w:id="1840721025"/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alternative events.</w:t>
      </w:r>
    </w:p>
    <w:p xmlns:wp14="http://schemas.microsoft.com/office/word/2010/wordml" w:rsidP="7FF21DE0" wp14:paraId="1D234CE1" wp14:textId="6B21108F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</w:pP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Events </w:t>
      </w:r>
      <w:bookmarkStart w:name="_Int_TaLLNapK" w:id="2094739066"/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open</w:t>
      </w:r>
      <w:bookmarkEnd w:id="2094739066"/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to the entire campus.</w:t>
      </w:r>
    </w:p>
    <w:p xmlns:wp14="http://schemas.microsoft.com/office/word/2010/wordml" w:rsidP="7FF21DE0" wp14:paraId="26B72D2E" wp14:textId="64D7917C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</w:pP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Events held on the UW-La Crosse campus.</w:t>
      </w:r>
    </w:p>
    <w:p xmlns:wp14="http://schemas.microsoft.com/office/word/2010/wordml" w:rsidP="7FF21DE0" wp14:paraId="5779D323" wp14:textId="01E7965B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</w:pP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Fundraisers for philanthropies/charities; not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fund raisers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for the organization.</w:t>
      </w:r>
    </w:p>
    <w:p xmlns:wp14="http://schemas.microsoft.com/office/word/2010/wordml" w:rsidP="7FF21DE0" wp14:paraId="6E6EFEC3" wp14:textId="757A5DDA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</w:pP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Inclusive excellence initiatives.</w:t>
      </w:r>
    </w:p>
    <w:p xmlns:wp14="http://schemas.microsoft.com/office/word/2010/wordml" w:rsidP="7FF21DE0" wp14:paraId="4F719B49" wp14:textId="6560611A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</w:pP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Student organizations with active status on “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MyOrgs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.”</w:t>
      </w:r>
    </w:p>
    <w:p xmlns:wp14="http://schemas.microsoft.com/office/word/2010/wordml" w:rsidP="7FF21DE0" wp14:paraId="0F5E8722" wp14:textId="7C75FB33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</w:pP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Incentives for participation in surveys. (Recipient must be a UW-La Crosse student.)</w:t>
      </w:r>
    </w:p>
    <w:p xmlns:wp14="http://schemas.microsoft.com/office/word/2010/wordml" w:rsidP="7FF21DE0" wp14:paraId="3397BFA1" wp14:textId="6CCD76DE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</w:pP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Enrichment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programs open to campus employees and/or students.</w:t>
      </w:r>
    </w:p>
    <w:p xmlns:wp14="http://schemas.microsoft.com/office/word/2010/wordml" w:rsidP="7FF21DE0" wp14:paraId="6BD668C3" wp14:textId="27C73BC5">
      <w:pPr>
        <w:pStyle w:val="Normal"/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</w:pP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Consideration for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allocating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funds includes:</w:t>
      </w:r>
    </w:p>
    <w:p xmlns:wp14="http://schemas.microsoft.com/office/word/2010/wordml" w:rsidP="7FF21DE0" wp14:paraId="697B7A53" wp14:textId="538D1C2C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</w:pP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Financial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status of requesting organization.</w:t>
      </w:r>
    </w:p>
    <w:p xmlns:wp14="http://schemas.microsoft.com/office/word/2010/wordml" w:rsidP="7FF21DE0" wp14:paraId="0C65F021" wp14:textId="59A0C56D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</w:pP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Demonstrated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financial need—able to show that the organization has limited financial resources.</w:t>
      </w:r>
    </w:p>
    <w:p xmlns:wp14="http://schemas.microsoft.com/office/word/2010/wordml" w:rsidP="7FF21DE0" wp14:paraId="2F77E454" wp14:textId="3DC80273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</w:pP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Number of events previously funded by any of these funds during the year.</w:t>
      </w:r>
    </w:p>
    <w:p xmlns:wp14="http://schemas.microsoft.com/office/word/2010/wordml" w:rsidP="7FF21DE0" wp14:paraId="14FB9B58" wp14:textId="602DFBC4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</w:pP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Number of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anticipated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participants.</w:t>
      </w:r>
    </w:p>
    <w:p xmlns:wp14="http://schemas.microsoft.com/office/word/2010/wordml" w:rsidP="7FF21DE0" wp14:paraId="4F6CC102" wp14:textId="20E27230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</w:pP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Event co-sponsorships.</w:t>
      </w:r>
    </w:p>
    <w:p xmlns:wp14="http://schemas.microsoft.com/office/word/2010/wordml" w:rsidP="7FF21DE0" wp14:paraId="19585012" wp14:textId="64F938B0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</w:pP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Benefit for the UW-La Crosse student.</w:t>
      </w:r>
    </w:p>
    <w:p xmlns:wp14="http://schemas.microsoft.com/office/word/2010/wordml" w:rsidP="7FF21DE0" wp14:paraId="7E33FC7E" wp14:textId="1DF1F1B2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</w:pP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Benefit for the campus.</w:t>
      </w:r>
    </w:p>
    <w:p xmlns:wp14="http://schemas.microsoft.com/office/word/2010/wordml" w:rsidP="7FF21DE0" wp14:paraId="58DD0A23" wp14:textId="6C74C5E5">
      <w:pPr>
        <w:pStyle w:val="Heading1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</w:pP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  <w:t>Process for Requesting Funding</w:t>
      </w:r>
    </w:p>
    <w:p xmlns:wp14="http://schemas.microsoft.com/office/word/2010/wordml" w:rsidP="7FF21DE0" wp14:paraId="07B41F98" wp14:textId="40884ED4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</w:pP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Complete “</w:t>
      </w:r>
      <w:hyperlink r:id="R47f46551a0194fc3">
        <w:r w:rsidRPr="7FF21DE0" w:rsidR="65DF93F7">
          <w:rPr>
            <w:rStyle w:val="Hyperlink"/>
            <w:rFonts w:ascii="Times New Roman" w:hAnsi="Times New Roman" w:eastAsia="Times New Roman" w:cs="Times New Roman" w:asciiTheme="minorAscii" w:hAnsiTheme="minorAscii" w:eastAsiaTheme="minorAscii" w:cstheme="minorAscii"/>
            <w:color w:val="auto"/>
            <w:sz w:val="24"/>
            <w:szCs w:val="24"/>
          </w:rPr>
          <w:t>Event Funding Assistance – Request for Donations</w:t>
        </w:r>
      </w:hyperlink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” form</w:t>
      </w:r>
      <w:r w:rsidRPr="7FF21DE0" w:rsidR="4CD47F22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.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The committee is scheduled to meet every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Wednesday, if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there</w:t>
      </w:r>
      <w:r w:rsidRPr="7FF21DE0" w:rsidR="00FC5E59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are requests to review. Once requests are approved, a minimum of two weeks is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required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for placing</w:t>
      </w:r>
      <w:r w:rsidRPr="7FF21DE0" w:rsidR="566DA976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orders and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processing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requests. Requests should be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submitted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well in advance of the date needed to</w:t>
      </w:r>
      <w:r w:rsidRPr="7FF21DE0" w:rsidR="451B846C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accommodate the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time lines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required by vendors providing these services.</w:t>
      </w:r>
    </w:p>
    <w:p xmlns:wp14="http://schemas.microsoft.com/office/word/2010/wordml" w:rsidP="7FF21DE0" wp14:paraId="50A4E12E" wp14:textId="13BA596E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</w:pP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Complete and attach all applicable information/forms – Food approval, event agenda, poster, budget,</w:t>
      </w:r>
      <w:r w:rsidRPr="7FF21DE0" w:rsidR="1D293628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attendance roster – as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indicated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on the request form. Failure to attach all</w:t>
      </w:r>
      <w:r w:rsidRPr="7FF21DE0" w:rsidR="3B24F25D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applicable information ma</w:t>
      </w:r>
      <w:r w:rsidRPr="7FF21DE0" w:rsidR="6B3A929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y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delay the committee’s review of your request.</w:t>
      </w:r>
    </w:p>
    <w:p xmlns:wp14="http://schemas.microsoft.com/office/word/2010/wordml" w:rsidP="7FF21DE0" wp14:paraId="28106C26" wp14:textId="0389A849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</w:pP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Submit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all information – electronically or paper copy – to University Centers, 3200 UWL Student</w:t>
      </w:r>
      <w:r w:rsidRPr="7FF21DE0" w:rsidR="093285A8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Union; E-mail</w:t>
      </w:r>
      <w:r w:rsidRPr="7FF21DE0" w:rsidR="3ABF783F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Tricia Pelishek at </w:t>
      </w:r>
      <w:hyperlink r:id="R7e14b488737d4b87">
        <w:r w:rsidRPr="7FF21DE0" w:rsidR="3ABF783F">
          <w:rPr>
            <w:rStyle w:val="Hyperlink"/>
            <w:rFonts w:ascii="Times New Roman" w:hAnsi="Times New Roman" w:eastAsia="Times New Roman" w:cs="Times New Roman" w:asciiTheme="minorAscii" w:hAnsiTheme="minorAscii" w:eastAsiaTheme="minorAscii" w:cstheme="minorAscii"/>
            <w:color w:val="auto"/>
            <w:sz w:val="24"/>
            <w:szCs w:val="24"/>
          </w:rPr>
          <w:t>tpelishek@uwlax.edu</w:t>
        </w:r>
      </w:hyperlink>
      <w:r w:rsidRPr="7FF21DE0" w:rsidR="3ABF783F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.</w:t>
      </w:r>
    </w:p>
    <w:p xmlns:wp14="http://schemas.microsoft.com/office/word/2010/wordml" w:rsidP="7FF21DE0" wp14:paraId="2C5E19D7" wp14:textId="400B462F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</w:pP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The requester will be notified via e-mail of the decision by the Event Funding Assistance Committee.</w:t>
      </w:r>
    </w:p>
    <w:p xmlns:wp14="http://schemas.microsoft.com/office/word/2010/wordml" w:rsidP="7FF21DE0" wp14:paraId="718DB21D" wp14:textId="0E3A199F">
      <w:pPr>
        <w:pStyle w:val="Normal"/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</w:pP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NOTE: The committee reviews requests for the current semester only. Requests received for a future</w:t>
      </w:r>
      <w:r w:rsidRPr="7FF21DE0" w:rsidR="49BEF96B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semester will be held and reviewed by the committee at the beginning of the semester in which the</w:t>
      </w:r>
      <w:r w:rsidRPr="7FF21DE0" w:rsidR="37523279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event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is scheduled to occur.</w:t>
      </w:r>
    </w:p>
    <w:p xmlns:wp14="http://schemas.microsoft.com/office/word/2010/wordml" w:rsidP="7FF21DE0" wp14:paraId="1D13DB1E" wp14:textId="1FEDA746">
      <w:pPr>
        <w:pStyle w:val="Heading1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</w:pP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  <w:t>Definitions of Terms</w:t>
      </w:r>
    </w:p>
    <w:p xmlns:wp14="http://schemas.microsoft.com/office/word/2010/wordml" w:rsidP="7FF21DE0" wp14:paraId="22BE8914" wp14:textId="6C754F69">
      <w:pPr>
        <w:pStyle w:val="ListParagraph"/>
        <w:numPr>
          <w:ilvl w:val="0"/>
          <w:numId w:val="6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</w:pP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Pepsi products and merchandise: Requests for Pepsi products and merchandise should be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identified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on</w:t>
      </w:r>
      <w:r w:rsidRPr="7FF21DE0" w:rsidR="290B39D3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the Request for Donations form. Examples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include:</w:t>
      </w:r>
    </w:p>
    <w:p xmlns:wp14="http://schemas.microsoft.com/office/word/2010/wordml" w:rsidP="7FF21DE0" wp14:paraId="196A877E" wp14:textId="698BB000">
      <w:pPr>
        <w:pStyle w:val="ListParagraph"/>
        <w:numPr>
          <w:ilvl w:val="1"/>
          <w:numId w:val="6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</w:pP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Soda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and water – provided in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20 oz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. bottles; cases of 24 only. Approximately $20/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case.</w:t>
      </w:r>
    </w:p>
    <w:p xmlns:wp14="http://schemas.microsoft.com/office/word/2010/wordml" w:rsidP="7FF21DE0" wp14:paraId="561BABD4" wp14:textId="06172817">
      <w:pPr>
        <w:pStyle w:val="ListParagraph"/>
        <w:numPr>
          <w:ilvl w:val="1"/>
          <w:numId w:val="6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</w:pP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Merchandise – Merchandise through the Pepsi account is pre-ordered and available from</w:t>
      </w:r>
      <w:r w:rsidRPr="7FF21DE0" w:rsidR="029B2DCC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University Centers. Requests can be made by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identifying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a dollar amount for the donation and</w:t>
      </w:r>
      <w:r w:rsidRPr="7FF21DE0" w:rsidR="2B1B4458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specifying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the type of item being requested. Supplies may be limited. Examples of merchandise</w:t>
      </w:r>
      <w:r w:rsidRPr="7FF21DE0" w:rsidR="7F39FC5D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requests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include Pepsi t-shirts or hats, travel mugs, water bottles, and gift cards. Some</w:t>
      </w:r>
      <w:r w:rsidRPr="7FF21DE0" w:rsidR="4AB4897E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electronic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items are also available.</w:t>
      </w:r>
      <w:r w:rsidRPr="7FF21DE0" w:rsidR="2E6C03B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</w:t>
      </w:r>
    </w:p>
    <w:p xmlns:wp14="http://schemas.microsoft.com/office/word/2010/wordml" w:rsidP="7FF21DE0" wp14:paraId="13AC1893" wp14:textId="4EDD9423">
      <w:pPr>
        <w:pStyle w:val="ListParagraph"/>
        <w:numPr>
          <w:ilvl w:val="1"/>
          <w:numId w:val="6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</w:pP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Please note that all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un-used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cases of Pepsi products and giveaways awarded for an</w:t>
      </w:r>
      <w:r w:rsidRPr="7FF21DE0" w:rsidR="0BCBE640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event must</w:t>
      </w:r>
      <w:r w:rsidRPr="7FF21DE0" w:rsidR="3AB9C8B3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be returned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to University Centers.</w:t>
      </w:r>
    </w:p>
    <w:p xmlns:wp14="http://schemas.microsoft.com/office/word/2010/wordml" w:rsidP="7FF21DE0" wp14:paraId="01CBB879" wp14:textId="1FD884D8">
      <w:pPr>
        <w:pStyle w:val="ListParagraph"/>
        <w:numPr>
          <w:ilvl w:val="0"/>
          <w:numId w:val="6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</w:pP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Student Initiatives for Academic Courses – Students enrolled in UW-La Crosse academic courses may</w:t>
      </w:r>
      <w:r w:rsidRPr="7FF21DE0" w:rsidR="0D2B357D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request Pepsi donations for events they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are required to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complete for course credit. Events must meet</w:t>
      </w:r>
      <w:r w:rsidRPr="7FF21DE0" w:rsidR="0A5718CB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criteria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listed above.</w:t>
      </w:r>
    </w:p>
    <w:p xmlns:wp14="http://schemas.microsoft.com/office/word/2010/wordml" w:rsidP="7FF21DE0" wp14:paraId="0FC0F421" wp14:textId="0ADC3505">
      <w:pPr>
        <w:pStyle w:val="ListParagraph"/>
        <w:numPr>
          <w:ilvl w:val="0"/>
          <w:numId w:val="6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</w:pP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Student Organizations – Refers to UW-La Crosse recognized student organizations.</w:t>
      </w:r>
    </w:p>
    <w:p xmlns:wp14="http://schemas.microsoft.com/office/word/2010/wordml" w:rsidP="7FF21DE0" wp14:paraId="60399C1E" wp14:textId="1A292CE7">
      <w:pPr>
        <w:pStyle w:val="ListParagraph"/>
        <w:numPr>
          <w:ilvl w:val="0"/>
          <w:numId w:val="6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</w:pP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Surveys – Survey’s must be UW-La Crosse sponsored. Results must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benefit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UW-La Crosse students and</w:t>
      </w:r>
      <w:r w:rsidRPr="7FF21DE0" w:rsidR="2849B8CC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campus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. Recipients of prizes or giveaways must be UW-La Crosse students.</w:t>
      </w:r>
    </w:p>
    <w:p xmlns:wp14="http://schemas.microsoft.com/office/word/2010/wordml" w:rsidP="7FF21DE0" wp14:paraId="724A7B16" wp14:textId="6EF07D66">
      <w:pPr>
        <w:pStyle w:val="ListParagraph"/>
        <w:numPr>
          <w:ilvl w:val="0"/>
          <w:numId w:val="6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</w:pP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Enrichment Programs – Refers to programs providing professional development to faculty, staff, or</w:t>
      </w:r>
      <w:r w:rsidRPr="7FF21DE0" w:rsidR="30FE8E30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students that typically do not receive funding through state funds.</w:t>
      </w:r>
    </w:p>
    <w:p xmlns:wp14="http://schemas.microsoft.com/office/word/2010/wordml" w:rsidP="7FF21DE0" wp14:paraId="2EAE30AE" wp14:textId="3200B72B">
      <w:pPr>
        <w:pStyle w:val="ListParagraph"/>
        <w:numPr>
          <w:ilvl w:val="0"/>
          <w:numId w:val="6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</w:pP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University departments/organizations – Refers to UW-La Crosse departments (Ex., Theater Department,</w:t>
      </w:r>
      <w:r w:rsidRPr="7FF21DE0" w:rsidR="21C309A6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Career Services, etc.) or UW-La Crosse campus organizations (Ex.,</w:t>
      </w:r>
      <w:r w:rsidRPr="7FF21DE0" w:rsidR="357A7825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CAB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.)</w:t>
      </w:r>
    </w:p>
    <w:p xmlns:wp14="http://schemas.microsoft.com/office/word/2010/wordml" w:rsidP="7FF21DE0" wp14:paraId="2C078E63" wp14:textId="32879468">
      <w:pPr>
        <w:pStyle w:val="ListParagraph"/>
        <w:numPr>
          <w:ilvl w:val="0"/>
          <w:numId w:val="6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</w:pP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Total Dollar Amount Requested: This amount should total the value of the entire request being made</w:t>
      </w:r>
      <w:r w:rsidRPr="7FF21DE0" w:rsidR="6E210BF4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 xml:space="preserve">(food, 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beverage</w:t>
      </w:r>
      <w:r w:rsidRPr="7FF21DE0" w:rsidR="65DF93F7">
        <w:rPr>
          <w:rFonts w:ascii="Times New Roman" w:hAnsi="Times New Roman" w:eastAsia="Times New Roman" w:cs="Times New Roman" w:asciiTheme="minorAscii" w:hAnsiTheme="minorAscii" w:eastAsiaTheme="minorAscii" w:cstheme="minorAscii"/>
          <w:color w:val="auto"/>
          <w:sz w:val="24"/>
          <w:szCs w:val="24"/>
        </w:rPr>
        <w:t>, and merchandise).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TaLLNapK" int2:invalidationBookmarkName="" int2:hashCode="X8fji//gDKRq3Y" int2:id="HNnlqles">
      <int2:state int2:type="gram" int2:value="Rejected"/>
    </int2:bookmark>
    <int2:bookmark int2:bookmarkName="_Int_MLb2Pne2" int2:invalidationBookmarkName="" int2:hashCode="Nfpqe1GKgi7zAN" int2:id="nU4F5ybQ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5813c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17feea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b8b3166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bc83504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a5b13b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">
    <w:nsid w:val="11c19ff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48D992"/>
    <w:rsid w:val="00FC5E59"/>
    <w:rsid w:val="029B2DCC"/>
    <w:rsid w:val="047647B1"/>
    <w:rsid w:val="093285A8"/>
    <w:rsid w:val="0A5718CB"/>
    <w:rsid w:val="0BCBE640"/>
    <w:rsid w:val="0D2B357D"/>
    <w:rsid w:val="0D48D992"/>
    <w:rsid w:val="11E2EFC8"/>
    <w:rsid w:val="193E9F94"/>
    <w:rsid w:val="1D293628"/>
    <w:rsid w:val="21C309A6"/>
    <w:rsid w:val="2656B9A3"/>
    <w:rsid w:val="2849B8CC"/>
    <w:rsid w:val="290B39D3"/>
    <w:rsid w:val="2B1B4458"/>
    <w:rsid w:val="2C5560A0"/>
    <w:rsid w:val="2E6C03B7"/>
    <w:rsid w:val="2EAA8D22"/>
    <w:rsid w:val="2F03EFA2"/>
    <w:rsid w:val="30FE8E30"/>
    <w:rsid w:val="357A7825"/>
    <w:rsid w:val="37523279"/>
    <w:rsid w:val="39A9B23C"/>
    <w:rsid w:val="3AB9C8B3"/>
    <w:rsid w:val="3ABF783F"/>
    <w:rsid w:val="3B24F25D"/>
    <w:rsid w:val="3BC9652B"/>
    <w:rsid w:val="3D73730D"/>
    <w:rsid w:val="451B846C"/>
    <w:rsid w:val="49BEF96B"/>
    <w:rsid w:val="4AB4897E"/>
    <w:rsid w:val="4CD47F22"/>
    <w:rsid w:val="52D93E65"/>
    <w:rsid w:val="566DA976"/>
    <w:rsid w:val="5B1ABDAE"/>
    <w:rsid w:val="5C570649"/>
    <w:rsid w:val="5E0AFF8C"/>
    <w:rsid w:val="6411173F"/>
    <w:rsid w:val="65DF93F7"/>
    <w:rsid w:val="6AB2D0F5"/>
    <w:rsid w:val="6B3A9297"/>
    <w:rsid w:val="6E210BF4"/>
    <w:rsid w:val="72AEB615"/>
    <w:rsid w:val="763521FB"/>
    <w:rsid w:val="7F39FC5D"/>
    <w:rsid w:val="7FF2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8D992"/>
  <w15:chartTrackingRefBased/>
  <w15:docId w15:val="{FD1A66E8-2E56-40B5-8E88-08D2DA84A3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7FF21DE0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Hyperlink">
    <w:uiPriority w:val="99"/>
    <w:name w:val="Hyperlink"/>
    <w:basedOn w:val="DefaultParagraphFont"/>
    <w:unhideWhenUsed/>
    <w:rsid w:val="7FF21DE0"/>
    <w:rPr>
      <w:color w:val="467886"/>
      <w:u w:val="single"/>
    </w:rPr>
  </w:style>
  <w:style w:type="character" w:styleId="Heading1Char" w:customStyle="true">
    <w:uiPriority w:val="9"/>
    <w:name w:val="Heading 1 Char"/>
    <w:basedOn w:val="DefaultParagraphFont"/>
    <w:link w:val="Heading1"/>
    <w:rsid w:val="7FF21DE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</w:style>
  <w:style w:type="character" w:styleId="Heading2Char" w:customStyle="true">
    <w:uiPriority w:val="9"/>
    <w:name w:val="Heading 2 Char"/>
    <w:basedOn w:val="DefaultParagraphFont"/>
    <w:rsid w:val="7FF21DE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</w:style>
  <w:style w:type="paragraph" w:styleId="ListParagraph">
    <w:uiPriority w:val="34"/>
    <w:name w:val="List Paragraph"/>
    <w:basedOn w:val="Normal"/>
    <w:qFormat/>
    <w:rsid w:val="7FF21DE0"/>
    <w:pPr>
      <w:spacing/>
      <w:ind w:left="720"/>
      <w:contextualSpacing/>
    </w:pPr>
  </w:style>
  <w:style w:type="paragraph" w:styleId="Heading1">
    <w:uiPriority w:val="9"/>
    <w:name w:val="heading 1"/>
    <w:basedOn w:val="Normal"/>
    <w:next w:val="Normal"/>
    <w:link w:val="Heading1Char"/>
    <w:qFormat/>
    <w:rsid w:val="7FF21DE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uwlax.edu/globalassets/offices-services/university-centers/event-funding-assistancecommittee---request-for-donations.pdf" TargetMode="External" Id="R47f46551a0194fc3" /><Relationship Type="http://schemas.openxmlformats.org/officeDocument/2006/relationships/hyperlink" Target="mailto:tpelishek@uwlax.edu" TargetMode="External" Id="R7e14b488737d4b87" /><Relationship Type="http://schemas.microsoft.com/office/2020/10/relationships/intelligence" Target="intelligence2.xml" Id="R4d2399f9755f411c" /><Relationship Type="http://schemas.openxmlformats.org/officeDocument/2006/relationships/numbering" Target="numbering.xml" Id="Rb8a491d387d94d4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2026-03-25T20:45:03.5000749Z</dcterms:created>
  <dcterms:modified xsi:type="dcterms:W3CDTF">2026-03-25T20:56:23.9891590Z</dcterms:modified>
  <dc:creator>Isabella Ostman</dc:creator>
  <lastModifiedBy>Isabella Ostman</lastModifiedBy>
</coreProperties>
</file>